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0"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3700" w:type="dxa"/>
            <w:vAlign w:val="bottom"/>
          </w:tcPr>
          <w:p>
            <w:pPr>
              <w:jc w:val="center"/>
              <w:ind w:right="1732"/>
              <w:spacing w:after="0"/>
              <w:rPr>
                <w:sz w:val="20"/>
                <w:szCs w:val="20"/>
                <w:color w:val="auto"/>
              </w:rPr>
            </w:pPr>
            <w:r>
              <w:rPr>
                <w:rFonts w:ascii="Times New Roman" w:cs="Times New Roman" w:eastAsia="Times New Roman" w:hAnsi="Times New Roman"/>
                <w:sz w:val="18"/>
                <w:szCs w:val="18"/>
                <w:b w:val="1"/>
                <w:bCs w:val="1"/>
                <w:color w:val="auto"/>
                <w:w w:val="97"/>
              </w:rPr>
              <w:t>For the Quarterly Period</w:t>
            </w:r>
          </w:p>
        </w:tc>
        <w:tc>
          <w:tcPr>
            <w:tcW w:w="4440" w:type="dxa"/>
            <w:vAlign w:val="bottom"/>
          </w:tcPr>
          <w:p>
            <w:pPr>
              <w:spacing w:after="0"/>
              <w:rPr>
                <w:sz w:val="18"/>
                <w:szCs w:val="18"/>
                <w:color w:val="auto"/>
              </w:rPr>
            </w:pPr>
          </w:p>
        </w:tc>
      </w:tr>
      <w:tr>
        <w:trPr>
          <w:trHeight w:val="244"/>
        </w:trPr>
        <w:tc>
          <w:tcPr>
            <w:tcW w:w="3700" w:type="dxa"/>
            <w:vAlign w:val="bottom"/>
          </w:tcPr>
          <w:p>
            <w:pPr>
              <w:jc w:val="center"/>
              <w:ind w:right="1732"/>
              <w:spacing w:after="0"/>
              <w:rPr>
                <w:sz w:val="20"/>
                <w:szCs w:val="20"/>
                <w:color w:val="auto"/>
              </w:rPr>
            </w:pPr>
            <w:r>
              <w:rPr>
                <w:rFonts w:ascii="Times New Roman" w:cs="Times New Roman" w:eastAsia="Times New Roman" w:hAnsi="Times New Roman"/>
                <w:sz w:val="18"/>
                <w:szCs w:val="18"/>
                <w:b w:val="1"/>
                <w:bCs w:val="1"/>
                <w:color w:val="auto"/>
                <w:w w:val="97"/>
              </w:rPr>
              <w:t>Ended May 4, 2013</w:t>
            </w:r>
          </w:p>
        </w:tc>
        <w:tc>
          <w:tcPr>
            <w:tcW w:w="44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w w:val="96"/>
              </w:rPr>
              <w:t>Commission File Number 01-34219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jc w:val="center"/>
              <w:ind w:left="154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7080" w:type="dxa"/>
            <w:vAlign w:val="bottom"/>
            <w:gridSpan w:val="3"/>
          </w:tcPr>
          <w:p>
            <w:pPr>
              <w:jc w:val="right"/>
              <w:ind w:right="2092"/>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4160" w:type="dxa"/>
            <w:vAlign w:val="bottom"/>
          </w:tcPr>
          <w:p>
            <w:pPr>
              <w:jc w:val="center"/>
              <w:ind w:left="1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340" w:type="dxa"/>
            <w:vAlign w:val="bottom"/>
          </w:tcPr>
          <w:p>
            <w:pPr>
              <w:jc w:val="center"/>
              <w:ind w:right="772"/>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r>
      <w:tr>
        <w:trPr>
          <w:trHeight w:val="178"/>
        </w:trPr>
        <w:tc>
          <w:tcPr>
            <w:tcW w:w="4160" w:type="dxa"/>
            <w:vAlign w:val="bottom"/>
          </w:tcPr>
          <w:p>
            <w:pPr>
              <w:jc w:val="center"/>
              <w:ind w:left="156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340" w:type="dxa"/>
            <w:vAlign w:val="bottom"/>
          </w:tcPr>
          <w:p>
            <w:pPr>
              <w:jc w:val="center"/>
              <w:ind w:right="77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02"/>
        </w:trPr>
        <w:tc>
          <w:tcPr>
            <w:tcW w:w="4160" w:type="dxa"/>
            <w:vAlign w:val="bottom"/>
          </w:tcPr>
          <w:p>
            <w:pPr>
              <w:jc w:val="center"/>
              <w:ind w:left="1540"/>
              <w:spacing w:after="0"/>
              <w:rPr>
                <w:sz w:val="20"/>
                <w:szCs w:val="20"/>
                <w:color w:val="auto"/>
              </w:rPr>
            </w:pPr>
            <w:r>
              <w:rPr>
                <w:rFonts w:ascii="Times New Roman" w:cs="Times New Roman" w:eastAsia="Times New Roman" w:hAnsi="Times New Roman"/>
                <w:sz w:val="18"/>
                <w:szCs w:val="18"/>
                <w:b w:val="1"/>
                <w:bCs w:val="1"/>
                <w:color w:val="auto"/>
                <w:w w:val="96"/>
              </w:rPr>
              <w:t>555 Turnpike Street, Canton, MA</w:t>
            </w:r>
          </w:p>
        </w:tc>
        <w:tc>
          <w:tcPr>
            <w:tcW w:w="7080" w:type="dxa"/>
            <w:vAlign w:val="bottom"/>
            <w:gridSpan w:val="3"/>
          </w:tcPr>
          <w:p>
            <w:pPr>
              <w:jc w:val="right"/>
              <w:ind w:right="2292"/>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4160" w:type="dxa"/>
            <w:vAlign w:val="bottom"/>
          </w:tcPr>
          <w:p>
            <w:pPr>
              <w:jc w:val="center"/>
              <w:ind w:left="1540"/>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340" w:type="dxa"/>
            <w:vAlign w:val="bottom"/>
          </w:tcPr>
          <w:p>
            <w:pPr>
              <w:jc w:val="center"/>
              <w:ind w:right="772"/>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4160" w:type="dxa"/>
            <w:vAlign w:val="bottom"/>
          </w:tcPr>
          <w:p>
            <w:pPr>
              <w:spacing w:after="0"/>
              <w:rPr>
                <w:sz w:val="24"/>
                <w:szCs w:val="24"/>
                <w:color w:val="auto"/>
              </w:rPr>
            </w:pPr>
          </w:p>
        </w:tc>
        <w:tc>
          <w:tcPr>
            <w:tcW w:w="27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(781) 828-9300</w:t>
            </w:r>
          </w:p>
        </w:tc>
        <w:tc>
          <w:tcPr>
            <w:tcW w:w="4340" w:type="dxa"/>
            <w:vAlign w:val="bottom"/>
          </w:tcPr>
          <w:p>
            <w:pPr>
              <w:spacing w:after="0"/>
              <w:rPr>
                <w:sz w:val="24"/>
                <w:szCs w:val="24"/>
                <w:color w:val="auto"/>
              </w:rPr>
            </w:pPr>
          </w:p>
        </w:tc>
      </w:tr>
      <w:tr>
        <w:trPr>
          <w:trHeight w:val="178"/>
        </w:trPr>
        <w:tc>
          <w:tcPr>
            <w:tcW w:w="4160" w:type="dxa"/>
            <w:vAlign w:val="bottom"/>
          </w:tcPr>
          <w:p>
            <w:pPr>
              <w:spacing w:after="0"/>
              <w:rPr>
                <w:sz w:val="15"/>
                <w:szCs w:val="15"/>
                <w:color w:val="auto"/>
              </w:rPr>
            </w:pPr>
          </w:p>
        </w:tc>
        <w:tc>
          <w:tcPr>
            <w:tcW w:w="7080" w:type="dxa"/>
            <w:vAlign w:val="bottom"/>
            <w:gridSpan w:val="3"/>
          </w:tcPr>
          <w:p>
            <w:pPr>
              <w:jc w:val="center"/>
              <w:ind w:right="3912"/>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r>
        <w:trPr>
          <w:trHeight w:val="271"/>
        </w:trPr>
        <w:tc>
          <w:tcPr>
            <w:tcW w:w="4520" w:type="dxa"/>
            <w:vAlign w:val="bottom"/>
            <w:gridSpan w:val="2"/>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4340" w:type="dxa"/>
            <w:vAlign w:val="bottom"/>
          </w:tcPr>
          <w:p>
            <w:pPr>
              <w:spacing w:after="0"/>
              <w:rPr>
                <w:sz w:val="23"/>
                <w:szCs w:val="23"/>
                <w:color w:val="auto"/>
              </w:rPr>
            </w:pPr>
          </w:p>
        </w:tc>
      </w:tr>
      <w:tr>
        <w:trPr>
          <w:trHeight w:val="357"/>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Indicate by check mark whether the registrant: (1) has filed all reports required to be filed by Section 13 or 15(d) of the Securities Exchange Act of 1934 during</w:t>
            </w:r>
          </w:p>
        </w:tc>
      </w:tr>
      <w:tr>
        <w:trPr>
          <w:trHeight w:val="190"/>
        </w:trPr>
        <w:tc>
          <w:tcPr>
            <w:tcW w:w="112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w w:val="97"/>
              </w:rPr>
              <w:t>the preceding 12 months (or for such shorter period that the registrant was required to file such reports), and (2) has been subject to such filing requirements for</w:t>
            </w:r>
          </w:p>
        </w:tc>
      </w:tr>
      <w:tr>
        <w:trPr>
          <w:trHeight w:val="275"/>
        </w:trPr>
        <w:tc>
          <w:tcPr>
            <w:tcW w:w="41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340" w:type="dxa"/>
            <w:vAlign w:val="bottom"/>
          </w:tcPr>
          <w:p>
            <w:pPr>
              <w:spacing w:after="0"/>
              <w:rPr>
                <w:sz w:val="23"/>
                <w:szCs w:val="23"/>
                <w:color w:val="auto"/>
              </w:rPr>
            </w:pPr>
          </w:p>
        </w:tc>
      </w:tr>
    </w:tbl>
    <w:p>
      <w:pPr>
        <w:spacing w:after="0" w:line="130" w:lineRule="exact"/>
        <w:rPr>
          <w:sz w:val="24"/>
          <w:szCs w:val="24"/>
          <w:color w:val="auto"/>
        </w:rPr>
      </w:pPr>
    </w:p>
    <w:p>
      <w:pPr>
        <w:ind w:right="14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whether the registrant is a shell company (as defined in Rule 12b-2 of the Exchange Act).  Yes </w:t>
            </w:r>
            <w:r>
              <w:rPr>
                <w:rFonts w:ascii="MS PGothic" w:cs="MS PGothic" w:eastAsia="MS PGothic" w:hAnsi="MS PGothic"/>
                <w:sz w:val="18"/>
                <w:szCs w:val="18"/>
                <w:color w:val="auto"/>
                <w:w w:val="99"/>
              </w:rPr>
              <w:t>☐</w:t>
            </w:r>
          </w:p>
        </w:tc>
        <w:tc>
          <w:tcPr>
            <w:tcW w:w="22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as of May 10, 2013 was 48,613,561.</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1"/>
        </w:trPr>
        <w:tc>
          <w:tcPr>
            <w:tcW w:w="1760" w:type="dxa"/>
            <w:vAlign w:val="bottom"/>
            <w:tcBorders>
              <w:bottom w:val="single" w:sz="8" w:color="auto"/>
            </w:tcBorders>
          </w:tcPr>
          <w:p>
            <w:pPr>
              <w:spacing w:after="0"/>
              <w:rPr>
                <w:sz w:val="13"/>
                <w:szCs w:val="13"/>
                <w:color w:val="auto"/>
              </w:rPr>
            </w:pPr>
          </w:p>
        </w:tc>
        <w:tc>
          <w:tcPr>
            <w:tcW w:w="69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08"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Statements.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80" w:type="dxa"/>
            <w:vAlign w:val="bottom"/>
          </w:tcPr>
          <w:p>
            <w:pPr>
              <w:jc w:val="center"/>
              <w:ind w:left="1592"/>
              <w:spacing w:after="0"/>
              <w:rPr>
                <w:sz w:val="20"/>
                <w:szCs w:val="20"/>
                <w:color w:val="auto"/>
              </w:rPr>
            </w:pPr>
            <w:r>
              <w:rPr>
                <w:rFonts w:ascii="Times New Roman" w:cs="Times New Roman" w:eastAsia="Times New Roman" w:hAnsi="Times New Roman"/>
                <w:sz w:val="18"/>
                <w:szCs w:val="18"/>
                <w:color w:val="auto"/>
                <w:w w:val="95"/>
              </w:rPr>
              <w:t>DESTINATION XL GROUP, INC.</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8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6"/>
              </w:rPr>
              <w:t>CONSOLIDATED BALANCE SHEETS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8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7"/>
              </w:rPr>
              <w:t>(In thousands, except share data)</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2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2, 2013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4"/>
              </w:rPr>
              <w:t>(Fiscal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(Unaudited)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ASSETS</w:t>
            </w:r>
          </w:p>
        </w:tc>
        <w:tc>
          <w:tcPr>
            <w:tcW w:w="8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6,102</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5,086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112,381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5,458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9,146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1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72,294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65,942</w:t>
            </w:r>
          </w:p>
        </w:tc>
        <w:tc>
          <w:tcPr>
            <w:tcW w:w="0" w:type="dxa"/>
            <w:vAlign w:val="bottom"/>
          </w:tcPr>
          <w:p>
            <w:pPr>
              <w:spacing w:after="0"/>
              <w:rPr>
                <w:sz w:val="1"/>
                <w:szCs w:val="1"/>
                <w:color w:val="auto"/>
              </w:rPr>
            </w:pPr>
          </w:p>
        </w:tc>
      </w:tr>
      <w:tr>
        <w:trPr>
          <w:trHeight w:val="323"/>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5,715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39,112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257,315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deferred gain on sale-leaseback</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1,465</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26,728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33,019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72,800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62,146</w:t>
            </w:r>
          </w:p>
        </w:tc>
        <w:tc>
          <w:tcPr>
            <w:tcW w:w="0" w:type="dxa"/>
            <w:vAlign w:val="bottom"/>
          </w:tcPr>
          <w:p>
            <w:pPr>
              <w:spacing w:after="0"/>
              <w:rPr>
                <w:sz w:val="1"/>
                <w:szCs w:val="1"/>
                <w:color w:val="auto"/>
              </w:rPr>
            </w:pPr>
          </w:p>
        </w:tc>
      </w:tr>
      <w:tr>
        <w:trPr>
          <w:trHeight w:val="329"/>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gain on sale-leaseback, net of current portion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17,219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22,107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329"/>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E)</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gridSpan w:val="2"/>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$0.01 par value, 100,000,000 shares authorized, 59,488,927 and 59,477,008 shares issued at May 4,</w:t>
            </w: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2013 and February 2, 2013, respectively</w:t>
            </w:r>
          </w:p>
        </w:tc>
        <w:tc>
          <w:tcPr>
            <w:tcW w:w="12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294,136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 at cost, 10,877,439 shares at May 4, 2013 and February 2, 2013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(87,977)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(38,811)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162,408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257,315</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May 4, 2013</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April 28, 2012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2013)</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(Fiscal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34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93,594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2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49,111</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44,483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45,603</w:t>
            </w:r>
          </w:p>
        </w:tc>
        <w:tc>
          <w:tcPr>
            <w:tcW w:w="0" w:type="dxa"/>
            <w:vAlign w:val="bottom"/>
          </w:tcPr>
          <w:p>
            <w:pPr>
              <w:spacing w:after="0"/>
              <w:rPr>
                <w:sz w:val="1"/>
                <w:szCs w:val="1"/>
                <w:color w:val="auto"/>
              </w:rPr>
            </w:pPr>
          </w:p>
        </w:tc>
      </w:tr>
      <w:tr>
        <w:trPr>
          <w:trHeight w:val="323"/>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38,332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42,502</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1,981</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(178)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32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 before provision for income taxes</w:t>
            </w:r>
          </w:p>
        </w:tc>
        <w:tc>
          <w:tcPr>
            <w:tcW w:w="2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1,803</w:t>
            </w:r>
          </w:p>
        </w:tc>
        <w:tc>
          <w:tcPr>
            <w:tcW w:w="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330"/>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w:t>
            </w:r>
          </w:p>
        </w:tc>
        <w:tc>
          <w:tcPr>
            <w:tcW w:w="54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3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5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34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3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3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5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34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3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48,291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48,587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48,176</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3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May 4, 2013</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April 28, 2012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(Fiscal 2013)</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(Fiscal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1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1,011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Pension plan</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Tax benefit related to items of other comprehensive income</w:t>
            </w:r>
          </w:p>
        </w:tc>
        <w:tc>
          <w:tcPr>
            <w:tcW w:w="220" w:type="dxa"/>
            <w:vAlign w:val="bottom"/>
          </w:tcPr>
          <w:p>
            <w:pPr>
              <w:spacing w:after="0"/>
              <w:rPr>
                <w:sz w:val="19"/>
                <w:szCs w:val="19"/>
                <w:color w:val="auto"/>
              </w:rPr>
            </w:pPr>
          </w:p>
        </w:tc>
        <w:tc>
          <w:tcPr>
            <w:tcW w:w="11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(40)</w:t>
            </w:r>
          </w:p>
        </w:tc>
        <w:tc>
          <w:tcPr>
            <w:tcW w:w="2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months ended May 4, 2013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6"/>
              </w:rPr>
              <w:t>Accumulated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0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2"/>
                <w:szCs w:val="12"/>
                <w:color w:val="auto"/>
              </w:rPr>
            </w:pPr>
          </w:p>
        </w:tc>
        <w:tc>
          <w:tcPr>
            <w:tcW w:w="680" w:type="dxa"/>
            <w:vAlign w:val="bottom"/>
          </w:tcPr>
          <w:p>
            <w:pPr>
              <w:jc w:val="right"/>
              <w:ind w:right="87"/>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260" w:type="dxa"/>
            <w:vAlign w:val="bottom"/>
          </w:tcPr>
          <w:p>
            <w:pPr>
              <w:spacing w:after="0"/>
              <w:rPr>
                <w:sz w:val="12"/>
                <w:szCs w:val="12"/>
                <w:color w:val="auto"/>
              </w:rPr>
            </w:pPr>
          </w:p>
        </w:tc>
        <w:tc>
          <w:tcPr>
            <w:tcW w:w="1800" w:type="dxa"/>
            <w:vAlign w:val="bottom"/>
            <w:gridSpan w:val="4"/>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5"/>
              </w:rPr>
              <w:t>Comprehensive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3"/>
              </w:rPr>
              <w:t>Amounts</w:t>
            </w:r>
          </w:p>
        </w:tc>
        <w:tc>
          <w:tcPr>
            <w:tcW w:w="280" w:type="dxa"/>
            <w:vAlign w:val="bottom"/>
          </w:tcPr>
          <w:p>
            <w:pPr>
              <w:spacing w:after="0"/>
              <w:rPr>
                <w:sz w:val="14"/>
                <w:szCs w:val="14"/>
                <w:color w:val="auto"/>
              </w:rPr>
            </w:pPr>
          </w:p>
        </w:tc>
        <w:tc>
          <w:tcPr>
            <w:tcW w:w="68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Capital</w:t>
            </w:r>
          </w:p>
        </w:tc>
        <w:tc>
          <w:tcPr>
            <w:tcW w:w="2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Amounts</w:t>
            </w:r>
          </w:p>
        </w:tc>
        <w:tc>
          <w:tcPr>
            <w:tcW w:w="12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Deficit</w:t>
            </w: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8"/>
              </w:rPr>
              <w:t>Income (Loss)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2013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59,477</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595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293,977</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(10,877)</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 xml:space="preserve"> (87,977)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(39,822)</w:t>
            </w: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(5,561)</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161,212</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Exercises under option program</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compensation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Unrecognized loss associated with Pension Plan,</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of taxes of $62</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net of taxes of $(22)</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4, 2013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59,489</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595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294,136</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(10,877)</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 xml:space="preserve"> (87,977)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(38,811)</w:t>
            </w: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162,408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w w:val="96"/>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3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May 4, 2013</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April 28, 2012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(Fiscal 2013)</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(Fiscal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1,011</w:t>
            </w:r>
          </w:p>
        </w:tc>
        <w:tc>
          <w:tcPr>
            <w:tcW w:w="6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for) operating activities: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of deferred gain on sale leaseback</w:t>
            </w:r>
          </w:p>
        </w:tc>
        <w:tc>
          <w:tcPr>
            <w:tcW w:w="18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(366)</w:t>
            </w:r>
          </w:p>
        </w:tc>
        <w:tc>
          <w:tcPr>
            <w:tcW w:w="3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4,170</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taxes, net of valuation allowance</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794</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Issuance of common stock to Board of Directors</w:t>
            </w:r>
          </w:p>
        </w:tc>
        <w:tc>
          <w:tcPr>
            <w:tcW w:w="1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(79)</w:t>
            </w: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(8,170)</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(113)</w:t>
            </w:r>
          </w:p>
        </w:tc>
        <w:tc>
          <w:tcPr>
            <w:tcW w:w="3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Intangibles and other assets</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1,264</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lease incentives</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786</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(5,088)</w:t>
            </w:r>
          </w:p>
        </w:tc>
        <w:tc>
          <w:tcPr>
            <w:tcW w:w="3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for) provided by operating activities</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(5,620)</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Additions to property and equipment, net</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(8,028)</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Proceeds from sale of businesses</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(8,028)</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11,588</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11,588</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(2,060)</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8,162</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End of period</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7"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(formerly known as Casual Male Retail Group, Inc. and collectively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2, 2013 included in the Company’s Annual Report on Form 10-K, which was filed with the Securities and Exchange Commission on March 15, 2013.</w:t>
      </w:r>
    </w:p>
    <w:p>
      <w:pPr>
        <w:spacing w:after="0" w:line="13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fiscal year is a 52- or 53- week period ending on the Saturday closest to January 31. Fiscal 2013 is a 52-week period ending on February 1, 2014.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2012 was a 53-week period ending on February 2, 2013.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w:t>
      </w:r>
    </w:p>
    <w:p>
      <w:pPr>
        <w:spacing w:after="0" w:line="9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Results for the first quarter of fiscal 2012 have been restated to reflect the operating results of the Company’s European operations as discontinued operations. See Note 5, “Discontinued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Information</w:t>
      </w:r>
    </w:p>
    <w:p>
      <w:pPr>
        <w:spacing w:after="0" w:line="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reports its operations as one reportable segment, Big &amp; Tall Men’s Apparel, which consists of two principal operating segments: its retail business and its direct businesses.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ShoesXL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Intangibles</w:t>
      </w:r>
    </w:p>
    <w:p>
      <w:pPr>
        <w:spacing w:after="0" w:line="90"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At May 4, 2013, the “Casual Male” trademark has a carrying value of $3.6 million and is considered a definite-lived asset. The Company is amortizing the remaining carrying value of $3.6 million on an accelerated basis consistent with projected cash flows through fiscal 2018, its estimated remaining useful life.</w:t>
      </w:r>
    </w:p>
    <w:p>
      <w:pPr>
        <w:spacing w:after="0" w:line="7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Company’s “Rochester” trademark is considered an indefinite-lived intangible asset and has a carrying value of $1.5 million. During the first three months of fiscal 2013, no event or circumstance occurred which would cause a reduction in the fair value of the Company’s reporting units, requiring interim testing of the Company’s “Rochester” trademark.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8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 xml:space="preserve">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requires disclosure of the fair value of certain financial instruments. The carrying amounts for the Company’s long-term debt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Income (Loss) - (“AOCI”)</w:t>
      </w:r>
    </w:p>
    <w:p>
      <w:pPr>
        <w:spacing w:after="0" w:line="90"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8"/>
          <w:szCs w:val="18"/>
          <w:color w:val="auto"/>
        </w:rPr>
        <w:t>Other comprehensive income (loss) include amounts related to foreign currency and pension plans and are reported in the Consolidated Statements of Comprehensive Income. Other comprehensive income and reclassifications from AOCI for the three months ended May 4, 2013 and April 28, 2012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May 4, 2013</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April 28, 2012</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For the three months ended (in thousands):</w:t>
            </w:r>
          </w:p>
        </w:tc>
        <w:tc>
          <w:tcPr>
            <w:tcW w:w="6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Pension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Pension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00" w:type="dxa"/>
            <w:vAlign w:val="bottom"/>
            <w:gridSpan w:val="2"/>
            <w:vMerge w:val="continue"/>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Plans</w:t>
            </w:r>
          </w:p>
        </w:tc>
        <w:tc>
          <w:tcPr>
            <w:tcW w:w="2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w:t>
            </w: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Total</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Plans</w:t>
            </w:r>
          </w:p>
        </w:tc>
        <w:tc>
          <w:tcPr>
            <w:tcW w:w="2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fiscal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$(5,828)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267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$(5,561)</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$(5,949)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233</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 of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102</w:t>
            </w:r>
          </w:p>
        </w:tc>
        <w:tc>
          <w:tcPr>
            <w:tcW w:w="240" w:type="dxa"/>
            <w:vAlign w:val="bottom"/>
          </w:tcPr>
          <w:p>
            <w:pPr>
              <w:spacing w:after="0"/>
              <w:rPr>
                <w:sz w:val="24"/>
                <w:szCs w:val="2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Amounts reclassified from accumulated other comprehensive income (loss), net of taxes </w:t>
            </w:r>
            <w:r>
              <w:rPr>
                <w:rFonts w:ascii="Times New Roman" w:cs="Times New Roman" w:eastAsia="Times New Roman" w:hAnsi="Times New Roman"/>
                <w:sz w:val="11"/>
                <w:szCs w:val="11"/>
                <w:color w:val="auto"/>
              </w:rPr>
              <w:t>(1)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for the period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102</w:t>
            </w:r>
          </w:p>
        </w:tc>
        <w:tc>
          <w:tcPr>
            <w:tcW w:w="240" w:type="dxa"/>
            <w:vAlign w:val="bottom"/>
          </w:tcPr>
          <w:p>
            <w:pPr>
              <w:spacing w:after="0"/>
              <w:rPr>
                <w:sz w:val="24"/>
                <w:szCs w:val="2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6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quarter</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(5,734)</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199</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(5,535)</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(5,854)</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335</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right="160" w:hanging="452"/>
        <w:spacing w:after="0" w:line="26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the unrecognized (gain)/loss. The amortization of the unrecognized loss, before tax, of $84,000 and $116,000 for the three months ended May 4, 2013 and April 28, 2012, respectively, was charged to Selling, General &amp; Administrative expense on the Consolidated Statement of Operations.</w:t>
      </w:r>
    </w:p>
    <w:p>
      <w:pPr>
        <w:sectPr>
          <w:pgSz w:w="11900" w:h="16838" w:orient="portrait"/>
          <w:cols w:equalWidth="0" w:num="1">
            <w:col w:w="11420"/>
          </w:cols>
          <w:pgMar w:left="240" w:top="272" w:right="23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272" w:right="239" w:bottom="1440" w:gutter="0" w:footer="0" w:header="0"/>
          <w:type w:val="continuous"/>
        </w:sectPr>
      </w:pPr>
    </w:p>
    <w:bookmarkStart w:id="7" w:name="page8"/>
    <w:bookmarkEnd w:id="7"/>
    <w:p>
      <w:pPr>
        <w:ind w:right="18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defines fair value, establishes a framework for measuring fair value and enhances disclosures about fair value measurements.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38"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For the first three months of fiscal 2013 and fiscal 2012, the Company recognized total stock-based compensation expense of $0.1 million and $0.4 million, respectively.</w:t>
      </w:r>
    </w:p>
    <w:p>
      <w:pPr>
        <w:spacing w:after="0" w:line="120"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total compensation cost related to non-vested awards not yet recognized as of May 4, 2013 is approximately $0.3 million which will be expensed over a weighted average remaining life of 16 months.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Valuation Assumptions for Stock Options and Restricted Stock</w:t>
      </w:r>
    </w:p>
    <w:p>
      <w:pPr>
        <w:spacing w:after="0" w:line="9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Company granted stock options to purchase 1,077 and 1,286 shares of common stock to certain of its non-employee directors as compensation for the three months ended May 4, 2013 and April 28, 2012, respectively. There were no grants of restricted stock.</w:t>
      </w:r>
    </w:p>
    <w:p>
      <w:pPr>
        <w:spacing w:after="0" w:line="1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Black-Scholes option-pricing model. The weighted-average grant date fair-value of stock options granted during the first quarter of fiscal 2013 was $1.74 per share.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for grants for the first quarter of fiscal 2013 and fiscal 2012:</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May 4, 2013</w:t>
            </w:r>
          </w:p>
        </w:tc>
        <w:tc>
          <w:tcPr>
            <w:tcW w:w="136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color w:val="auto"/>
                <w:w w:val="94"/>
              </w:rPr>
              <w:t>April 28, 2012</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52.0%</w:t>
            </w:r>
          </w:p>
        </w:tc>
        <w:tc>
          <w:tcPr>
            <w:tcW w:w="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0.36-0.38%</w:t>
            </w:r>
          </w:p>
        </w:tc>
        <w:tc>
          <w:tcPr>
            <w:tcW w:w="1360" w:type="dxa"/>
            <w:vAlign w:val="bottom"/>
            <w:gridSpan w:val="2"/>
          </w:tcPr>
          <w:p>
            <w:pPr>
              <w:jc w:val="center"/>
              <w:ind w:left="462"/>
              <w:spacing w:after="0"/>
              <w:rPr>
                <w:sz w:val="20"/>
                <w:szCs w:val="20"/>
                <w:color w:val="auto"/>
              </w:rPr>
            </w:pPr>
            <w:r>
              <w:rPr>
                <w:rFonts w:ascii="Times New Roman" w:cs="Times New Roman" w:eastAsia="Times New Roman" w:hAnsi="Times New Roman"/>
                <w:sz w:val="18"/>
                <w:szCs w:val="18"/>
                <w:color w:val="auto"/>
                <w:w w:val="98"/>
              </w:rPr>
              <w:t>0.31%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5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 yrs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3.0 yrs</w:t>
            </w: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500" w:type="dxa"/>
            <w:vAlign w:val="bottom"/>
          </w:tcPr>
          <w:p>
            <w:pPr>
              <w:spacing w:after="0"/>
              <w:rPr>
                <w:sz w:val="19"/>
                <w:szCs w:val="19"/>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bl>
    <w:p>
      <w:pPr>
        <w:spacing w:after="0" w:line="1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32"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During the first three months of fiscal 2013, options to purchase 200,000 shares of common stock, with an intrinsic value of approximately $42,000, were exercised through net share settlement. As a result, only 8,047 shares were issued.</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Company granted 3,872 shares of common stock, with a fair value of approximately $18,000, to certain of its non-employee directors as compensation for the first three months of fiscal 2013.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9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26" w:right="239" w:bottom="1440" w:gutter="0" w:footer="0" w:header="0"/>
        </w:sectPr>
      </w:pPr>
    </w:p>
    <w:bookmarkStart w:id="8" w:name="page9"/>
    <w:bookmarkEnd w:id="8"/>
    <w:p>
      <w:pPr>
        <w:ind w:right="100"/>
        <w:spacing w:after="0" w:line="29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February 2013, the FASB issued ASU No. 2013-02, </w:t>
      </w:r>
      <w:r>
        <w:rPr>
          <w:rFonts w:ascii="Times New Roman" w:cs="Times New Roman" w:eastAsia="Times New Roman" w:hAnsi="Times New Roman"/>
          <w:sz w:val="16"/>
          <w:szCs w:val="16"/>
          <w:i w:val="1"/>
          <w:iCs w:val="1"/>
          <w:color w:val="auto"/>
        </w:rPr>
        <w:t>Comprehensive Income – Reporting of Amounts Reclassified Out of Accumulated Other Comprehensive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Income </w:t>
      </w:r>
      <w:r>
        <w:rPr>
          <w:rFonts w:ascii="Times New Roman" w:cs="Times New Roman" w:eastAsia="Times New Roman" w:hAnsi="Times New Roman"/>
          <w:sz w:val="16"/>
          <w:szCs w:val="16"/>
          <w:color w:val="auto"/>
        </w:rPr>
        <w:t>(“ASU 2013-02”). ASU 2013-02 requires the presentation of the effects on the line items of net income of significant amounts reclassified out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accumulated other comprehensive income, but only if the item reclassified is required under generally accepted accounting principles in the United States (“U.S. GAAP”) to be reclassified to net income in its entirety in the same reporting period. The guidance was effective for fiscal years beginning after December 15, 2012. The Company has adopted ASU 2013-2 and has included the related disclosure within the notes to the consolidated financial statements.</w:t>
      </w:r>
    </w:p>
    <w:p>
      <w:pPr>
        <w:spacing w:after="0" w:line="226"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Bank of America Retail Group,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credit facility with Bank of America, N.A., most recently amended on November 10, 2010 (the “Credit Facility”).</w:t>
      </w:r>
    </w:p>
    <w:p>
      <w:pPr>
        <w:spacing w:after="0" w:line="171"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letters of credit and a sublimit of up to $15 million for Swingline Loans. The maturity date of the Credit Facility is November 10, 2014.</w:t>
      </w:r>
    </w:p>
    <w:p>
      <w:pPr>
        <w:spacing w:after="0" w:line="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 The Company is also subject to an unused line fee. At May 4, 2013, the Company’s prime-based interest rate was 4.25%. The Company had approximately $5.0 million of its outstanding borrowings in a LIBOR-based contract with an interest rate of 2.18%. The LIBOR-based contract expired May 7, 2013. When a LIBOR-based contract expires, the borrowings revert back to prime-based borrowings unless the Company enters into a new LIBOR-based contract.</w:t>
      </w:r>
    </w:p>
    <w:p>
      <w:pPr>
        <w:spacing w:after="0" w:line="13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all of its assets. The Company is not subject to any financial covenants pursuant to the Credit Facility.</w:t>
      </w:r>
    </w:p>
    <w:p>
      <w:pPr>
        <w:spacing w:after="0" w:line="120"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color w:val="auto"/>
        </w:rPr>
        <w:t>At May 4, 2013, the Company had outstanding borrowings under the Credit Facility of $11.6 million. Outstanding standby letters of credit were $1.8 million and documentary letters of credit were $0.4 million. Unused excess availability at May 4, 2013 was $61.2 million. Average borrowings outstanding under this facility during the first quarter of fiscal 2013 were $6.0 million, resulting in an average unused excess availability of approximately $65.5 million. The Company’s ability to borrow under the Credit Facility is determined using an availability formula based on eligible assets, with increased advance rates based on seasonality.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amount outstanding under the Credit Facility at May 4, 2013 approximated the carrying value.</w:t>
      </w:r>
    </w:p>
    <w:p>
      <w:pPr>
        <w:spacing w:after="0" w:line="291" w:lineRule="exact"/>
        <w:rPr>
          <w:sz w:val="20"/>
          <w:szCs w:val="20"/>
          <w:color w:val="auto"/>
        </w:rPr>
      </w:pPr>
    </w:p>
    <w:p>
      <w:pPr>
        <w:ind w:right="10060" w:firstLine="8"/>
        <w:spacing w:after="0" w:line="388" w:lineRule="auto"/>
        <w:tabs>
          <w:tab w:leader="none" w:pos="446"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Equity </w:t>
      </w:r>
      <w:r>
        <w:rPr>
          <w:rFonts w:ascii="Times New Roman" w:cs="Times New Roman" w:eastAsia="Times New Roman" w:hAnsi="Times New Roman"/>
          <w:sz w:val="16"/>
          <w:szCs w:val="16"/>
          <w:u w:val="single" w:color="auto"/>
          <w:color w:val="auto"/>
        </w:rPr>
        <w:t>Earnings per Share</w:t>
      </w:r>
    </w:p>
    <w:p>
      <w:pPr>
        <w:spacing w:after="0" w:line="1"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4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May 4, 2013</w:t>
            </w:r>
          </w:p>
        </w:tc>
        <w:tc>
          <w:tcPr>
            <w:tcW w:w="154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April 28, 2012</w:t>
            </w: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48,291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Equivalents - stock options and restricted stock</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0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48,587</w:t>
            </w:r>
          </w:p>
        </w:tc>
        <w:tc>
          <w:tcPr>
            <w:tcW w:w="6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430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2" w:right="259" w:bottom="1440" w:gutter="0" w:footer="0" w:header="0"/>
        </w:sectPr>
      </w:pPr>
    </w:p>
    <w:bookmarkStart w:id="9" w:name="page10"/>
    <w:bookmarkEnd w:id="9"/>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potential common stock equivalents were excluded from the computation of diluted earnings per share in each period because the exercise price of such options was greater than the average market price per share of common stock for the respective periods.</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52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61"/>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660" w:type="dxa"/>
            <w:vAlign w:val="bottom"/>
          </w:tcPr>
          <w:p>
            <w:pPr>
              <w:spacing w:after="0"/>
              <w:rPr>
                <w:sz w:val="14"/>
                <w:szCs w:val="14"/>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May 4, 2013</w:t>
            </w:r>
          </w:p>
        </w:tc>
        <w:tc>
          <w:tcPr>
            <w:tcW w:w="34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April 28, 2012</w:t>
            </w:r>
          </w:p>
        </w:tc>
        <w:tc>
          <w:tcPr>
            <w:tcW w:w="0" w:type="dxa"/>
            <w:vAlign w:val="bottom"/>
          </w:tcPr>
          <w:p>
            <w:pPr>
              <w:spacing w:after="0"/>
              <w:rPr>
                <w:sz w:val="1"/>
                <w:szCs w:val="1"/>
                <w:color w:val="auto"/>
              </w:rPr>
            </w:pPr>
          </w:p>
        </w:tc>
      </w:tr>
      <w:tr>
        <w:trPr>
          <w:trHeight w:val="129"/>
        </w:trPr>
        <w:tc>
          <w:tcPr>
            <w:tcW w:w="4500" w:type="dxa"/>
            <w:vAlign w:val="bottom"/>
            <w:vMerge w:val="continue"/>
          </w:tcPr>
          <w:p>
            <w:pPr>
              <w:spacing w:after="0"/>
              <w:rPr>
                <w:sz w:val="11"/>
                <w:szCs w:val="11"/>
                <w:color w:val="auto"/>
              </w:rPr>
            </w:pPr>
          </w:p>
        </w:tc>
        <w:tc>
          <w:tcPr>
            <w:tcW w:w="16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$4.91 - $10.26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$3.76 - $10.26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at May 4, 2013, expire from June 30, 2013 to April 30, 2023.</w:t>
      </w:r>
    </w:p>
    <w:p>
      <w:pPr>
        <w:spacing w:after="0" w:line="291"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May 4, 2013, the Company had total deferred tax assets of approximately $48.2 million, with a corresponding valuation allowance of $3.6 million. The deferred tax assets include approximately $28.4 million of net operating loss carryforwards and approximately $7.4 million of deferred gain on sale-leaseback and, to a lesser extent, other book/tax timing differences. As of May 4, 2013, the Company had gross net operating loss carryforwards of $77.4 million for federal income tax purposes and $43.0 million for state income tax purposes that are available to offset future taxable income through fiscal year 2033. Included in the net operating loss carryforwards for both federal and state income tax is approximately $12.7 million relating to stock compensation deductions, the tax benefit from which, if realized, will be credited to additional paid-in capital.</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 continuing income basis, the Company’s effective tax rate for the first quarter of fiscal 2013 was 43.9% as compared to 38.6% for the first quarter of fiscal 2012 and is consistent with the statutory tax rate applicable to the U.S. and the blended state rate for the states in which the Company conducts business. The effective state rate for fiscal 2013 is projected to be greater than fiscal 2012 as a result of certain states in which tax is derived using gross margin or a similar measure on lower pre-tax earnings.</w:t>
      </w:r>
    </w:p>
    <w:p>
      <w:pPr>
        <w:spacing w:after="0" w:line="13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the Company will recognize the benefit from a tax position only if it is more likely than not that the position would be sustained upon audit based solely on the technical merits of the tax position. At May 4, 2013, the Company had no material unrecognized tax benefits.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 subject to U.S. federal income tax as well as income tax of multiple state and certain foreign jurisdictions. The Company has concluded all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matters for years through fiscal 1997, with remaining fiscal years subject to income tax examination by federal tax authorities.</w:t>
      </w:r>
    </w:p>
    <w:p>
      <w:pPr>
        <w:spacing w:after="0" w:line="159"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The Company’s policy is to recognize accrued interest and penalties related to unrecognized tax benefits in its income tax provision. The Company has not accrued or paid interest or penalties which were material to its results of operations for the first quarter of fiscal 2013.</w:t>
      </w:r>
    </w:p>
    <w:p>
      <w:pPr>
        <w:spacing w:after="0" w:line="239"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In the second quarter of fiscal 2012, the Company exited its European Direct business. As a result, the operating results of the European Direct business for the first quarter of fiscal 2012 have been reclassified to reflect the operating results as discontinued operations. The following table summarizes the results from discontinued operations from the Company’s European Direct Business for the first quarter of fiscal 2012</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0" w:type="dxa"/>
            <w:vAlign w:val="bottom"/>
            <w:gridSpan w:val="4"/>
          </w:tcPr>
          <w:p>
            <w:pPr>
              <w:ind w:left="26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61"/>
        </w:trPr>
        <w:tc>
          <w:tcPr>
            <w:tcW w:w="356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April 28, 2012</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620" w:type="dxa"/>
            <w:vAlign w:val="bottom"/>
            <w:vMerge w:val="restart"/>
          </w:tcPr>
          <w:p>
            <w:pPr>
              <w:jc w:val="right"/>
              <w:ind w:right="2142"/>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10" w:name="page11"/>
    <w:bookmarkEnd w:id="10"/>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fiscal year ended February 2, 2013, filed with the Securities and Exchange Commission on March 15, 2013, and Part II, Item 1A of this Quarterly Report which identify certain risks and uncertainties that may have an impact on our future earnings and the direction of our Company.</w:t>
      </w:r>
    </w:p>
    <w:p>
      <w:pPr>
        <w:spacing w:after="0" w:line="33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92" w:lineRule="exact"/>
        <w:rPr>
          <w:sz w:val="20"/>
          <w:szCs w:val="20"/>
          <w:color w:val="auto"/>
        </w:rPr>
      </w:pPr>
    </w:p>
    <w:p>
      <w:pPr>
        <w:jc w:val="both"/>
        <w:ind w:right="40"/>
        <w:spacing w:after="0" w:line="296" w:lineRule="auto"/>
        <w:rPr>
          <w:sz w:val="20"/>
          <w:szCs w:val="20"/>
          <w:color w:val="auto"/>
        </w:rPr>
      </w:pPr>
      <w:r>
        <w:rPr>
          <w:rFonts w:ascii="Times New Roman" w:cs="Times New Roman" w:eastAsia="Times New Roman" w:hAnsi="Times New Roman"/>
          <w:sz w:val="16"/>
          <w:szCs w:val="16"/>
          <w:color w:val="auto"/>
        </w:rPr>
        <w:t>Destination XL Group, Inc. (formerly known as Casual Male Retail Group, Inc.) together with our subsidiaries is the largest specialty retailer of big &amp; tall men’s apparel with retail and direct operations in the United States, London, England and direct businesses throughout the United States and Canada. We operate under the trade names of Destination XL</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DXL</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Casual Male XL</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Casual Male XL Outlets, Rochester Clothing, B&amp;T Factory Direct™, ShoesXL</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and LivingXL</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At May 4, 2013, we operated 54 Destination XL stores, 280 Casual Male XL retail stores, 55 Casual Male XL outlet stores and 12 Rochester Clothing stores. Our direct business includes our DestinationXL.com e-commerce site and several catalogs which support our brands and product extensions.</w:t>
      </w:r>
    </w:p>
    <w:p>
      <w:pPr>
        <w:spacing w:after="0" w:line="108"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“ours,” “us” and “the Company” refer to Destination XL Group, Inc. and our consolidated subsidiaries. We refer to our fiscal years which end on February 1, 2014 and February 2, 2013 as “fiscal 2013” and “fiscal 2012,” respectively. Fiscal 2013 is a 52-week period and Fiscal 2012 was a 53-week period.</w:t>
      </w:r>
    </w:p>
    <w:p>
      <w:pPr>
        <w:spacing w:after="0" w:line="13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Total comparable sales for all periods include our retail stores that have been open for at least one full fiscal year together with our e-commerce and catalog sales. Our direct businesses are included as part of our calculation of total comparable sales because we are a multi-channel retailer offering our customers convenient alternatives for their shopping needs. Retail comparable sales reflect same-store sales and exclude our direct business. Stores that have been remodeled, expanded or re-located during the period are also included in our determination of comparable sales. Most of our DXL stores are considered relocations and comparable to all the closed stores in each respective market area for the first twelve months. For the first quarter of fiscal 2013, 53 DXL stores were included in our comparable store base. The sales from 30 of those 53 DXL stores are comparable to prior year sales that included the sales from 40 closed Casual Male XL stores and 1 closed Rochester Clothing store. On a comparable sales basis, our selling square footage for those 30 DXL stores increased 80.7% compared to the square footage of the comparable Casual Male XL and Rochester Clothing stores that were closed. The method of calculating comparable sales varies across the retail industry and, as a result, our calculation of comparable sales is not necessarily comparable to similarly titled measures reported by other companies.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2"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REPORTING</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report our operations as one reportable segment, Big &amp; Tall Men’s Apparel, which consists of our two principal operating segments: retail and direct. We consider our operating segments to be similar in terms of economic characteristic, production processes and operations, and have therefore aggregated them into a single reporting segment.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Summary</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Our earnings for the first quarter of fiscal 2013 of $1.0 million, or $0.02 per diluted share, compared with $2.3 million, or $0.05 per diluted share, for the first quarter of fiscal 2012 was in line with our expectations and our earnings guidance. As we have mentioned, fiscal 2013 will be a transition year for us as we work towards transforming from Casual Male XL stores to DXL stores.</w:t>
      </w:r>
    </w:p>
    <w:p>
      <w:pPr>
        <w:spacing w:after="0" w:line="13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Sales for the first quarter of fiscal 2013 of $93.6 million were sluggish during February and March, with a comparable store decrease of 3.9%. This was largely due to the delayed spring weather which had a negative impact on our seasonal merchandise categories, such as shorts. As the weather warmed up, however, we saw a significant improvement in April, with a comparable sales increase of 7.4% for the month. As a result, our comparable sales for the first quarter of fiscal 2013 decreased 0.5%. Merchandise margins for the first quarter of fiscal 2013 continue to improve with a 50 basis point improvement over the prior year due to continued improvements in initial markups and lower markdown costs. As expected, our occupancy costs, selling, general &amp; administrative (“SG&amp;A”) and depreciation and amortization all increased slightly over the prior year’s first quarter as a result of our accelerated DXL store opening initiative and our increased investment in our marketing program.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Name Change</w:t>
      </w:r>
    </w:p>
    <w:p>
      <w:pPr>
        <w:spacing w:after="0" w:line="9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 xml:space="preserve">During the first quarter of fiscal 2013, we formally changed our corporate name to Destination XL Group, Inc. to reflect our transition to our DXL retail stores and </w:t>
      </w:r>
      <w:r>
        <w:rPr>
          <w:rFonts w:ascii="Times New Roman" w:cs="Times New Roman" w:eastAsia="Times New Roman" w:hAnsi="Times New Roman"/>
          <w:sz w:val="18"/>
          <w:szCs w:val="18"/>
          <w:u w:val="single" w:color="auto"/>
          <w:color w:val="auto"/>
        </w:rPr>
        <w:t>DestinationXL.com</w:t>
      </w:r>
      <w:r>
        <w:rPr>
          <w:rFonts w:ascii="Times New Roman" w:cs="Times New Roman" w:eastAsia="Times New Roman" w:hAnsi="Times New Roman"/>
          <w:sz w:val="18"/>
          <w:szCs w:val="18"/>
          <w:color w:val="auto"/>
        </w:rPr>
        <w:t xml:space="preserve"> website. This followed the change we made in December 2012 of our stock ticker symbol to “DXLG.”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Destination XL</w:t>
      </w:r>
    </w:p>
    <w:p>
      <w:pPr>
        <w:spacing w:after="0" w:line="9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Fiscal 2013 will be a critical year for us as we continue to accelerate our DXL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store openings. Our plan is to open 57 to 64 DXL stores in fiscal 2013 while closing 110-119 Casual Male XL and Rochester Clothing stores. In fiscal 2014, we plan to open another 60 DXL stores, completing the roll-out with an expected total of 215 to 230 stores by the end of fiscal 2015.</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Through the end of the first quarter of fiscal 2013, we have opened 54 DXL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stores. Of these 54 stores, 53 stores are considered “comparable stores” and had a combined comparable sales increase of 17.7% for the first quarter of fiscal 2013 when compared to the prior year’s first quarter. For the 23 DXL stores opened longer than a year, the comparable sales increase in the first quarter was 4.7%. An important metric for the long-term growth of the DXL concept is dollars per transaction which rose 17.6% in the first quarter to $154 from last year’s $131 as a result of both improved sales associate productivity and an enhancement in the sales mix towards higher priced name brands and increased sales penetration in tailored clothing. In comparison, the dollars per transaction for the Casual Male XL retail stores in the first quarter of fiscal 2013 was $110. The comparable DXL stores accounted for approximately 22.1% of our total retail comparable store sales for the first quarter of fiscal 2013, compared to 8.3% in the first quarter of fiscal 2012. Our DXL stores continue to outperform our Casual Male XL stores and as the chain is converted, our top line sales growth should improve accordingly.</w:t>
      </w:r>
    </w:p>
    <w:p>
      <w:pPr>
        <w:spacing w:after="0" w:line="13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we have previously disclosed, this transition will result in incremental costs of approximately $8.0 to $11.0 million over the next three years, primarily associated with lease terminations and asset impairments as a result of early store closures, as well as additional SG&amp;A expenses of approximately $6.0 million per year to support the rollout. The rollout is expected to be substantially completed by the end of fiscal 2015. Our projections, which are based on current economic conditions, suggest that this investment will significantly enhance revenues and produce double-digit operating margins for the longer term. Our financial modeling, based upon the performance of the DXL stores to date, indicates that at the end of the three-year accelerated investment period in the DXL concept, our sales in fiscal 2016 should exceed $600 million with operating margins greater than 10%. The capital expenditures, incremental SG&amp;A and other charges totaling</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2" w:right="259" w:bottom="1440" w:gutter="0" w:footer="0" w:header="0"/>
        </w:sectPr>
      </w:pPr>
    </w:p>
    <w:bookmarkStart w:id="12" w:name="page13"/>
    <w:bookmarkEnd w:id="12"/>
    <w:p>
      <w:pPr>
        <w:ind w:right="120"/>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$150 million over the next three years associated with the accelerated rollout, are expected to be funded primarily from operating cash flows and limited borrowings under our credit facility of $10.0 to $15.0 million We expect to have approximately $10.0-$15.0 million in borrowings at the end of fiscal 2013. By the end of fiscal 2015, we anticipate we will be cash positive with no borrowings. Longer-term, we expect revenues to grow to over $600 million with operating margins greater than 10% and free cash flow in the range of $60 to $70 million by the end of fiscal 2016. Projection of free cash flow (non-GAAP) for fiscal 2016 is based on expected cash flow from operating activities of $77.0-$87.0 million, less expected capital expenditures of $17.0 million.</w:t>
      </w:r>
    </w:p>
    <w:p>
      <w:pPr>
        <w:spacing w:after="0" w:line="108"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For the first quarter of fiscal 2013, we incurred transition costs of $2.4 million related to $0.3 million of pre-opening occupancy costs, $1.6 million of SG&amp;A expenses related to pre-opening payroll, training, store operations and increased marketing and $0.5 million related to trademark amortization.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National Marketing Campaign</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fiscal 2012, we developed and tested a new marketing program to help us build DXL brand awareness, introducing our customer base to the new DXL concept. We developed and tested a full marketing campaign in select markets, which consisted of a combination of television, radio and digital advertising. The results of that testing was refined during the first quarter of fiscal 2013 with marketing expanded to the Dallas and Providence markets. Based on the successful results, we launched the first flight of our National Marketing Campaign on May 5, 2013. The advertising will run for a six week period. Another advertising flight is currently scheduled for the late fall. In both advertising flights, we are using a mix of TV, radio and digital advertising and will leverage strategic relationships with our new public relations and social media agencies to further drive awareness and brand interest.</w:t>
      </w:r>
    </w:p>
    <w:p>
      <w:pPr>
        <w:spacing w:after="0" w:line="13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Our DXL stores have had strong success since we began opening them in fiscal 2010, with very minimal advertising. We believe that this marketing campaign will significantly raise DXL brand awareness for our DXL stores and the destinationxl.com shopping website which is expected to translate to an increase in our active customer base as well as increased customer traffic.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2013 Outlook</w:t>
      </w:r>
    </w:p>
    <w:p>
      <w:pPr>
        <w:spacing w:after="0" w:line="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earnings guidance remains unchanged from the guidance previously disclosed. For fiscal 2013, we are planning on a sales range of $415.0 to $420.0 million. This sales increase is driven by the expansion of our DXL stores and by continued growth in our direct businesses. We expect our gross margin rate to be ± 20 basis points from fiscal 2012, which is based on merchandise margins improving by approximately 40 to 60 basis points with an offsetting increase in occupancy costs of 40 to 60 basis points. SG&amp;A costs are planned to increase by approximately $15.0 to $17.1 million, primarily related to preopening costs, payroll (both store and support) as well as increased marketing costs associated with two major flights of a national media campaign to raise DXL awareness with our target market. As a percentage of sales, SG&amp;A expenses are expected to increase by 220 basis points.</w:t>
      </w:r>
    </w:p>
    <w:p>
      <w:pPr>
        <w:spacing w:after="0" w:line="13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Because of our added SG&amp;A costs, we expect our operating margin as a percent of sales for fiscal 2013 will be breakeven to 0.5%. As a result, our earnings for fiscal 2013 will be between breakeven and $0.03 per diluted share.</w:t>
      </w:r>
    </w:p>
    <w:p>
      <w:pPr>
        <w:spacing w:after="0" w:line="1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expect to spend approximately $54.0 million in capital expenditures in fiscal 2013, which will be partially offset by approximately $9.0 million in tenant allowances, primarily related to opening our DXL stores. We expect to fund the remainder of our capital expenditures primarily from our operating cash flow but expect to have borrowings under our credit facility of $10.0-$15.0 million at the end of the fiscal year. From a liquidity perspective, we expect cash flow from operating activities of $32.0 million (including the $9.0 million of lease incentives), resulting in free cash flow (as defined below under “Presentation of Non-GAAP Measures”) of approximately $(22.0)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Presentation of Non-GAAP Measures</w:t>
      </w:r>
    </w:p>
    <w:p>
      <w:pPr>
        <w:spacing w:after="0" w:line="90"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presentation of non-GAAP free cash flow is not a measure determined by U.S. GAAP and should not be considered superior to or as a substitute for net income or cash flows from operating activities or any other measure of performance derived in accordance with U.S.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Projected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color w:val="auto"/>
                <w:w w:val="96"/>
              </w:rPr>
              <w:t>For the quarter</w:t>
            </w: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For the quarter</w:t>
            </w:r>
          </w:p>
        </w:tc>
        <w:tc>
          <w:tcPr>
            <w:tcW w:w="3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6"/>
              </w:rPr>
              <w:t>Cash Flow</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04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color w:val="auto"/>
                <w:w w:val="95"/>
              </w:rPr>
              <w:t>ended</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36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5"/>
              </w:rPr>
              <w:t>Fiscal</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3"/>
          </w:tcPr>
          <w:p>
            <w:pPr>
              <w:jc w:val="center"/>
              <w:ind w:right="780"/>
              <w:spacing w:after="0" w:line="148" w:lineRule="exact"/>
              <w:rPr>
                <w:sz w:val="20"/>
                <w:szCs w:val="20"/>
                <w:color w:val="auto"/>
              </w:rPr>
            </w:pPr>
            <w:r>
              <w:rPr>
                <w:rFonts w:ascii="Times New Roman" w:cs="Times New Roman" w:eastAsia="Times New Roman" w:hAnsi="Times New Roman"/>
                <w:sz w:val="14"/>
                <w:szCs w:val="14"/>
                <w:color w:val="auto"/>
                <w:w w:val="95"/>
              </w:rPr>
              <w:t>May 4, 2013</w:t>
            </w:r>
          </w:p>
        </w:tc>
        <w:tc>
          <w:tcPr>
            <w:tcW w:w="122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color w:val="auto"/>
              </w:rPr>
              <w:t>April 28, 2012</w:t>
            </w:r>
          </w:p>
        </w:tc>
        <w:tc>
          <w:tcPr>
            <w:tcW w:w="960" w:type="dxa"/>
            <w:vAlign w:val="bottom"/>
            <w:gridSpan w:val="2"/>
          </w:tcPr>
          <w:p>
            <w:pPr>
              <w:jc w:val="center"/>
              <w:ind w:left="257"/>
              <w:spacing w:after="0" w:line="148" w:lineRule="exact"/>
              <w:rPr>
                <w:sz w:val="20"/>
                <w:szCs w:val="20"/>
                <w:color w:val="auto"/>
              </w:rPr>
            </w:pPr>
            <w:r>
              <w:rPr>
                <w:rFonts w:ascii="Times New Roman" w:cs="Times New Roman" w:eastAsia="Times New Roman" w:hAnsi="Times New Roman"/>
                <w:sz w:val="14"/>
                <w:szCs w:val="14"/>
                <w:color w:val="auto"/>
                <w:w w:val="92"/>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7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 provided by (used for) operating activities:</w:t>
            </w:r>
          </w:p>
        </w:tc>
        <w:tc>
          <w:tcPr>
            <w:tcW w:w="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flow provided by operating activities other than deferred lease incentives</w:t>
            </w:r>
          </w:p>
        </w:tc>
        <w:tc>
          <w:tcPr>
            <w:tcW w:w="9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7"/>
              </w:rPr>
              <w:t>1.2</w:t>
            </w:r>
          </w:p>
        </w:tc>
        <w:tc>
          <w:tcPr>
            <w:tcW w:w="4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23.0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lease incentives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(0.1)</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provided by (used for) operating activities</w:t>
            </w:r>
          </w:p>
        </w:tc>
        <w:tc>
          <w:tcPr>
            <w:tcW w:w="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center"/>
              <w:ind w:left="336"/>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capital expenditures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(5.6)</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(54.0)</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(13.6)</w:t>
            </w:r>
          </w:p>
        </w:tc>
        <w:tc>
          <w:tcPr>
            <w:tcW w:w="16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(4.5)</w:t>
            </w:r>
          </w:p>
        </w:tc>
        <w:tc>
          <w:tcPr>
            <w:tcW w:w="36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(22.0)</w:t>
            </w:r>
          </w:p>
        </w:tc>
        <w:tc>
          <w:tcPr>
            <w:tcW w:w="0" w:type="dxa"/>
            <w:vAlign w:val="bottom"/>
          </w:tcPr>
          <w:p>
            <w:pPr>
              <w:spacing w:after="0"/>
              <w:rPr>
                <w:sz w:val="1"/>
                <w:szCs w:val="1"/>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60"/>
        <w:spacing w:after="0" w:line="275" w:lineRule="auto"/>
        <w:rPr>
          <w:sz w:val="20"/>
          <w:szCs w:val="20"/>
          <w:color w:val="auto"/>
        </w:rPr>
      </w:pPr>
      <w:r>
        <w:rPr>
          <w:rFonts w:ascii="Times New Roman" w:cs="Times New Roman" w:eastAsia="Times New Roman" w:hAnsi="Times New Roman"/>
          <w:sz w:val="18"/>
          <w:szCs w:val="18"/>
          <w:color w:val="auto"/>
        </w:rPr>
        <w:t>The decrease in free cash flow of $(9.1) million for the first quarter of fiscal 2013 as compared to the first quarter of the prior year is due to the timing of certain working capital accounts, specifically payroll and other payables, as well as an increase in capital expenditures related to the DXL store openings.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9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For the first quarter of fiscal 2013, total sales were $93.6 million as compared to $95.5 million for the first quarter of fiscal 2012. The decrease of $1.9 million in total sales was due to a decrease of $1.5 million in closed stores and a comparable sales decrease of 0.5%, or $0.4 million, as compared to the first quarter of fiscal 2012.</w:t>
      </w:r>
    </w:p>
    <w:p>
      <w:pPr>
        <w:spacing w:after="0" w:line="1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comparable sales decrease of 0.5% consisted of an increase in our retail business of 0.8%, or $0.6 million, offset by a decrease in our direct business of 6.0%, or $1.0 million. In total, sales for the first quarter of fiscal 2013 started out slowly. Because of the unseasonably cool weather, specifically in the Northeast and Midwest, our comparable sales through the end of March were down approximately 3.9%; however, our comparable sales for April increased 7.4% once the warmer weather arrived.</w:t>
      </w:r>
    </w:p>
    <w:p>
      <w:pPr>
        <w:spacing w:after="0" w:line="13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increase in our retail business was driven by our 53 DXL stores which had a comparable store sales increase of 17.7%, or $2.6 million, over the prior year’s first quarter while our remaining stores had a comparable store sales decrease of 3.2%, or $2.0 million.</w:t>
      </w:r>
    </w:p>
    <w:p>
      <w:pPr>
        <w:spacing w:after="0" w:line="120"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With respect to our direct business, our e-commerce business continues to grow, with an increase of 5.1% for the first quarter of fiscal 2013 as compared to the first quarter of fiscal 2012. This growth was offset by a significant decrease from our catalog business of 60%. We continue to decrease our catalog circulation and impressions on existing catalogs, which are down approximately 56% and 70%, respectively, over last year, to shift emphasis towards our digital marketing efforts and our more profitable e-commerce business. Catalog sales accounted for approximately 6.4% of our sales for the first quarter of fiscal 2013 as compared to 15.2% for the first quarter of fiscal 2012. While catalog sales decreased during the quarter, the operating margin from our direct business increased 7.8%, from 24.3% to 26.2%, for the first quarter of fiscal 2013. In the long-term, we expect this business to replace the current shortfall in sales from legacy brand catalogs.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63"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summary of the breakdown of our comparable sales for the first quarter of fiscal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Comparable sales:</w:t>
            </w:r>
          </w:p>
        </w:tc>
        <w:tc>
          <w:tcPr>
            <w:tcW w:w="67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Number of stores</w:t>
            </w:r>
          </w:p>
        </w:tc>
        <w:tc>
          <w:tcPr>
            <w:tcW w:w="1080" w:type="dxa"/>
            <w:vAlign w:val="bottom"/>
          </w:tcPr>
          <w:p>
            <w:pPr>
              <w:spacing w:after="0"/>
              <w:rPr>
                <w:sz w:val="16"/>
                <w:szCs w:val="16"/>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Comparable Sales %</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2"/>
              </w:rPr>
              <w:t>Total comparable</w:t>
            </w:r>
          </w:p>
        </w:tc>
        <w:tc>
          <w:tcPr>
            <w:tcW w:w="6700" w:type="dxa"/>
            <w:vAlign w:val="bottom"/>
          </w:tcPr>
          <w:p>
            <w:pPr>
              <w:ind w:left="220"/>
              <w:spacing w:after="0" w:line="190" w:lineRule="exact"/>
              <w:rPr>
                <w:sz w:val="20"/>
                <w:szCs w:val="20"/>
                <w:color w:val="auto"/>
              </w:rPr>
            </w:pPr>
            <w:r>
              <w:rPr>
                <w:rFonts w:ascii="Times New Roman" w:cs="Times New Roman" w:eastAsia="Times New Roman" w:hAnsi="Times New Roman"/>
                <w:sz w:val="18"/>
                <w:szCs w:val="18"/>
                <w:b w:val="1"/>
                <w:bCs w:val="1"/>
                <w:color w:val="auto"/>
              </w:rPr>
              <w:t>sales for the first quarter of fiscal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Retail Business</w:t>
            </w:r>
          </w:p>
        </w:tc>
        <w:tc>
          <w:tcPr>
            <w:tcW w:w="100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b w:val="1"/>
                <w:bCs w:val="1"/>
                <w:color w:val="auto"/>
                <w:w w:val="96"/>
              </w:rPr>
              <w:t>400</w:t>
            </w:r>
          </w:p>
        </w:tc>
        <w:tc>
          <w:tcPr>
            <w:tcW w:w="2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DXL comp stores</w:t>
            </w:r>
          </w:p>
        </w:tc>
        <w:tc>
          <w:tcPr>
            <w:tcW w:w="1000" w:type="dxa"/>
            <w:vAlign w:val="bottom"/>
          </w:tcPr>
          <w:p>
            <w:pPr>
              <w:jc w:val="center"/>
              <w:ind w:left="75"/>
              <w:spacing w:after="0" w:line="201" w:lineRule="exact"/>
              <w:rPr>
                <w:sz w:val="20"/>
                <w:szCs w:val="20"/>
                <w:color w:val="auto"/>
              </w:rPr>
            </w:pPr>
            <w:r>
              <w:rPr>
                <w:rFonts w:ascii="Times New Roman" w:cs="Times New Roman" w:eastAsia="Times New Roman" w:hAnsi="Times New Roman"/>
                <w:sz w:val="18"/>
                <w:szCs w:val="18"/>
                <w:color w:val="auto"/>
                <w:w w:val="88"/>
              </w:rPr>
              <w:t>53</w:t>
            </w:r>
          </w:p>
        </w:tc>
        <w:tc>
          <w:tcPr>
            <w:tcW w:w="2580" w:type="dxa"/>
            <w:vAlign w:val="bottom"/>
            <w:gridSpan w:val="3"/>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8"/>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Casual Male XL and Rochester Clothing stores</w:t>
            </w:r>
          </w:p>
        </w:tc>
        <w:tc>
          <w:tcPr>
            <w:tcW w:w="10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6"/>
              </w:rPr>
              <w:t>347</w:t>
            </w:r>
          </w:p>
        </w:tc>
        <w:tc>
          <w:tcPr>
            <w:tcW w:w="2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Business</w:t>
            </w:r>
          </w:p>
        </w:tc>
        <w:tc>
          <w:tcPr>
            <w:tcW w:w="100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2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E-commerce</w:t>
            </w:r>
          </w:p>
        </w:tc>
        <w:tc>
          <w:tcPr>
            <w:tcW w:w="1000" w:type="dxa"/>
            <w:vAlign w:val="bottom"/>
          </w:tcPr>
          <w:p>
            <w:pPr>
              <w:jc w:val="center"/>
              <w:ind w:left="75"/>
              <w:spacing w:after="0" w:line="200"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580" w:type="dxa"/>
            <w:vAlign w:val="bottom"/>
            <w:gridSpan w:val="3"/>
          </w:tcPr>
          <w:p>
            <w:pPr>
              <w:jc w:val="right"/>
              <w:ind w:right="140"/>
              <w:spacing w:after="0" w:line="200"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Catalog</w:t>
            </w:r>
          </w:p>
        </w:tc>
        <w:tc>
          <w:tcPr>
            <w:tcW w:w="1000" w:type="dxa"/>
            <w:vAlign w:val="bottom"/>
          </w:tcPr>
          <w:p>
            <w:pPr>
              <w:jc w:val="center"/>
              <w:ind w:left="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right="160" w:hanging="452"/>
        <w:spacing w:after="0" w:line="27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53 comparable DXL stores, 23 stores have been open more than one year and had a comparable sales increase of 4.7% for the first quarter of fiscal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p>
      <w:pPr>
        <w:spacing w:after="0" w:line="9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6"/>
          <w:szCs w:val="16"/>
          <w:color w:val="auto"/>
        </w:rPr>
        <w:t>For the first quarter of fiscal 2013, our gross margin rate, inclusive of occupancy costs, was 47.5% as compared to a gross margin rate of 47.7% for the first quarter of fiscal 2012. The decrease of 20 basis points for the first quarter of fiscal 2013 was the result of an increase in occupancy costs of 70 basis points, partially offset by an improvement of 50 basis points in merchandise margins. On a dollar basis, occupancy costs for the first quarter of fiscal 2013 increased</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2.6% over the prior year. The increase in occupancy costs for the first quarter of fiscal 2013 as compared to the prior year’s first quarter was due to the DXL store openings and the associated pre-opening costs as well as the timing of our Casual Male XL store closings. The improvement in merchandise margins of 50 basis points was the result of continued improvement in our initial markups as well as a favorable markdown rate compared to the prior year.</w:t>
      </w:r>
    </w:p>
    <w:p>
      <w:pPr>
        <w:spacing w:after="0" w:line="1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fiscal 2013, we are expecting that our occupancy costs, on a dollar-basis, will increase approximately $5.0 million as a result of adding approximately 57 to 64 DXL stores in fiscal 2013 and certain lease termination costs associated with closing 110-119 Casual Male XL and Rochester Clothing stores. As a result, we expect occupancy costs will be between 40 to 60 basis points higher than fiscal 2012. From a merchandise margin perspective, we are planning a continued improvement of approximately 40 to 60 basis points. Accordingly, for fiscal 2013, we are expecting gross margin will be ± 20 basis points.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percentage of sales, SG&amp;A expenses for the first quarter of fiscal 2013 increased to 41.0% as compared to 39.5% for the first quarter of fiscal 2012. On a dollar basis, SG&amp;A expenses increased $0.6 million, or 1.5%, for the first quarter of fiscal 2013 as compared to the prior year’s first quarter. The increase of $0.6 million consists of incremental costs of approximately $0.3 million related to payroll costs such as pre-opening payroll, training and store operations to support the new DXL stores and a net increase of $0.3 million in marketing costs associated with the preparation for the launch of our national marketing campaign on May 5, 2013.</w:t>
      </w:r>
    </w:p>
    <w:p>
      <w:pPr>
        <w:spacing w:after="0" w:line="13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Included in the SG&amp;A expenses for the first quarter of fiscal 2013 are transition costs of approximately $1.6 million related to pre-opening payroll, training, store operations and increased marketing to support the DXL roll-out.</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above, fiscal 2013 is a building year for us and as such, our SG&amp;A expenses are expected to be noticeably higher than they have been in past years. We expect that our SG&amp;A expenses will increase by $15.0 to $17.1 million and as a percentage of sales will be 220 basis points higher than fiscal 2012. This increase in dollars is primarily related to incremental marketing costs associated with our effort to increase brand awareness, increased store payroll to support our planned opening of 57 to 64 new DXL stores, costs to close 110-119 Casual Male XL and Rochester Clothing stores and other infrastructure-related costs. Overall, we expect to limit our SG&amp;A growth rates, except where necessary to support our growth activities or where there are unanticipated costs that are necessary to support our overall activities.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Depreciation and Amortization</w:t>
      </w:r>
    </w:p>
    <w:p>
      <w:pPr>
        <w:spacing w:after="0" w:line="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Depreciation and amortization for the first quarter of fiscal 2013 was $4.2 million as compared to $3.7 million for the first quarter of fiscal 2012. The increase of $0.5 million is due to the store growth associated with our DXL store concept.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interest expense of $0.2 million for the first quarter of fiscal 2013 was flat with the first quarter of fiscal 2012. Interest expense for the past few years has remained relatively low due to minimal borrowings on our credit facility. However, with our planned store growth in fiscal 2013, we expect interest costs during fiscal 2013 will increase slightly as we fund a portion of our store growth with limited borrowings from our credit facility. See “Liquidity and Capital Resources” for more discussion regarding our current debt obligations and future liquidity needs.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At May 4, 2013, our total deferred tax assets were approximately $48.2 million, with a corresponding valuation allowance of $3.6 million. The deferred tax assets include approximately $28.4 million of net operating loss carryforwards and approximately $7.4 million of deferred gain on our sale-leaseback and, to a lesser extent, other book/tax timing differences.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 the second quarter of fiscal 2012, we closed our European direct business. The operating results for the European direct business for the first quarter of fiscal 2012 have been reclassified to discontinued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For the first quarter of fiscal 2013, we had net income of $1.0 million, or $0.02 per diluted share, compared to net income of $2.3 million, or $0.05 per diluted share, for the first quarter of fiscal 2012.</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decrease of $0.03 per diluted share in earnings for the first quarter of fiscal 2013, as compared to the first quarter of fiscal 2012, is consistent with our expectations. For the first quarter of fiscal 2013, we incurred transition charges of $2.4 million related to costs incurred in connection with our transition to DXL. As we discussed above, we are forecasting a decrease in operating income in fiscal 2013 as we accelerate the rollout of our DXL stores, close our existing Casual Male XL stores and launch our national marketing campaign.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92"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At May 4, 2013, total inventory was $112.4 million compared to $104.2 million at February 2, 2013 and $112.2 million at April 28, 2012. While inventory levels on a dollar basis were flat at May 4, 2013 when compared to April 28, 2012, on a unit basis inventories decreased 4%. Although our store count has decreased from the first quarter of fiscal 2012, our square footage increased 1.7% and, as a result, our average inventory per square foot was lower than the prior year’s first quarter. The increase in inventory from February 2, 2013 is consistent with the prior year as we increase our inventory levels for the upcoming Father’s Day.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and availability under our credit facility, as amended, with Bank of America, N.A (“Credit Facility”). Our current cash needs are primarily for working capital (essentially inventory requirements), capital expenditures and growth initiatives. As discussed above, our capital expenditures for fiscal 2013 are expected to be $54.0 million, primarily related to the planned opening of 57 to 64 new DXL stores and information technology projects. However, we expect to receive approximately $9.0 million in lease incentives to offset a portion of</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72" w:right="279" w:bottom="1440" w:gutter="0" w:footer="0" w:header="0"/>
        </w:sectPr>
      </w:pPr>
    </w:p>
    <w:bookmarkStart w:id="16" w:name="page17"/>
    <w:bookmarkEnd w:id="16"/>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capital expenditures. We expect to fund our store growth in fiscal 2013 primarily through earnings with limited borrowings from our Credit Facility. For fiscal 2013, while our borrowings are projected to reach approximately $40.0 million during our key seasonal buying periods, we expect that our borrowings at the end of fiscal 2013 will be approximately $10.0-$15.0 million.</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currently believe that our existing cash generated by operations together with our availability under our credit facility will be sufficient within current forecasts for us to meet our foreseeable liquidity requirements. For the first three months of fiscal 2013, free cash flow, which we define as cash flow from operating activities, less capital expenditures and discretionary store asset acquisitions, if any, decreased by $9.1 million to $(13.6) million from $(4.5) million for the first three months of fiscal 2012. This decrease in free cash flow was principally due to the timing of working capital accounts, specifically certain payroll and accrued expenses of $4.2 million, as well an increase in capital expenditures of $2.4 million related to the new store openings. See “Presentation of Non-GAAP Measure” above regarding non-GAAP free cash flow.</w:t>
      </w:r>
    </w:p>
    <w:p>
      <w:pPr>
        <w:spacing w:after="0" w:line="13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Credit Facility provides for a maximum committed borrowing of $75 million, which, pursuant to an accordion feature, may be increased to $125 million upon our request and the agreement of the lender(s) participating in the increase. The Credit Facility includes a sublimit of $20 million for commercial and standby letters of credit and a sublimit of up to $15 million for Swingline Loans. The maturity date of the Credit Facility is November 10, 2014. Our Credit Facility is described in more detail in Note 2 to the Notes to the Consolidated Financial Statements. The Company is in discussions with its bank to extend the Credit Facility to 2018, raise the borrowing limit to $100 million and lower the associated facility costs.</w:t>
      </w:r>
    </w:p>
    <w:p>
      <w:pPr>
        <w:spacing w:after="0" w:line="139"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We had outstanding borrowings of $11.6 million under the Credit Facility at May 4, 2013. Outstanding standby letters of credit were $1.8 million and outstanding documentary letters of credit were $0.4 million. The average monthly borrowing outstanding under this facility during the first three months of fiscal 2013 was approximately $6.0 million, resulting in an average unused excess availability of approximately $65.5 million. Unused excess availability at May 4, 2013 was $61.2 million. Our obligations under the Credit Facility are secured by a lien on all of our assets. The facility contains no financial covenants.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May 4, 2013 and April 28, 2012,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Store Concept</w:t>
            </w:r>
          </w:p>
        </w:tc>
        <w:tc>
          <w:tcPr>
            <w:tcW w:w="3400" w:type="dxa"/>
            <w:vAlign w:val="bottom"/>
            <w:gridSpan w:val="4"/>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At May 4, 2013</w:t>
            </w:r>
          </w:p>
        </w:tc>
        <w:tc>
          <w:tcPr>
            <w:tcW w:w="276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At April 28, 2012</w:t>
            </w:r>
          </w:p>
        </w:tc>
        <w:tc>
          <w:tcPr>
            <w:tcW w:w="0" w:type="dxa"/>
            <w:vAlign w:val="bottom"/>
          </w:tcPr>
          <w:p>
            <w:pPr>
              <w:spacing w:after="0"/>
              <w:rPr>
                <w:sz w:val="1"/>
                <w:szCs w:val="1"/>
                <w:color w:val="auto"/>
              </w:rPr>
            </w:pPr>
          </w:p>
        </w:tc>
      </w:tr>
      <w:tr>
        <w:trPr>
          <w:trHeight w:val="172"/>
        </w:trPr>
        <w:tc>
          <w:tcPr>
            <w:tcW w:w="5260" w:type="dxa"/>
            <w:vAlign w:val="bottom"/>
            <w:gridSpan w:val="2"/>
            <w:vMerge w:val="continue"/>
          </w:tcPr>
          <w:p>
            <w:pPr>
              <w:spacing w:after="0"/>
              <w:rPr>
                <w:sz w:val="14"/>
                <w:szCs w:val="14"/>
                <w:color w:val="auto"/>
              </w:rPr>
            </w:pPr>
          </w:p>
        </w:tc>
        <w:tc>
          <w:tcPr>
            <w:tcW w:w="1760" w:type="dxa"/>
            <w:vAlign w:val="bottom"/>
            <w:gridSpan w:val="2"/>
          </w:tcPr>
          <w:p>
            <w:pPr>
              <w:jc w:val="right"/>
              <w:ind w:right="740"/>
              <w:spacing w:after="0" w:line="152" w:lineRule="exact"/>
              <w:rPr>
                <w:sz w:val="20"/>
                <w:szCs w:val="20"/>
                <w:color w:val="auto"/>
              </w:rPr>
            </w:pPr>
            <w:r>
              <w:rPr>
                <w:rFonts w:ascii="Times New Roman" w:cs="Times New Roman" w:eastAsia="Times New Roman" w:hAnsi="Times New Roman"/>
                <w:sz w:val="14"/>
                <w:szCs w:val="14"/>
                <w:b w:val="1"/>
                <w:bCs w:val="1"/>
                <w:color w:val="auto"/>
                <w:w w:val="94"/>
              </w:rPr>
              <w:t>Number of Stores</w:t>
            </w:r>
          </w:p>
        </w:tc>
        <w:tc>
          <w:tcPr>
            <w:tcW w:w="1640" w:type="dxa"/>
            <w:vAlign w:val="bottom"/>
            <w:gridSpan w:val="2"/>
          </w:tcPr>
          <w:p>
            <w:pPr>
              <w:jc w:val="right"/>
              <w:ind w:right="740"/>
              <w:spacing w:after="0" w:line="152" w:lineRule="exact"/>
              <w:rPr>
                <w:sz w:val="20"/>
                <w:szCs w:val="20"/>
                <w:color w:val="auto"/>
              </w:rPr>
            </w:pPr>
            <w:r>
              <w:rPr>
                <w:rFonts w:ascii="Times New Roman" w:cs="Times New Roman" w:eastAsia="Times New Roman" w:hAnsi="Times New Roman"/>
                <w:sz w:val="14"/>
                <w:szCs w:val="14"/>
                <w:b w:val="1"/>
                <w:bCs w:val="1"/>
                <w:color w:val="auto"/>
                <w:w w:val="93"/>
              </w:rPr>
              <w:t>Square Footage</w:t>
            </w:r>
          </w:p>
        </w:tc>
        <w:tc>
          <w:tcPr>
            <w:tcW w:w="176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Number of Stores</w:t>
            </w:r>
          </w:p>
        </w:tc>
        <w:tc>
          <w:tcPr>
            <w:tcW w:w="10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36"/>
        </w:trPr>
        <w:tc>
          <w:tcPr>
            <w:tcW w:w="8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i w:val="1"/>
                <w:iCs w:val="1"/>
                <w:color w:val="auto"/>
                <w:w w:val="97"/>
              </w:rPr>
              <w:t>(square footage</w:t>
            </w:r>
          </w:p>
        </w:tc>
        <w:tc>
          <w:tcPr>
            <w:tcW w:w="4380" w:type="dxa"/>
            <w:vAlign w:val="bottom"/>
          </w:tcPr>
          <w:p>
            <w:pPr>
              <w:spacing w:after="0" w:line="136"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Casual Male XL</w:t>
            </w:r>
          </w:p>
        </w:tc>
        <w:tc>
          <w:tcPr>
            <w:tcW w:w="17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335</w:t>
            </w:r>
          </w:p>
        </w:tc>
        <w:tc>
          <w:tcPr>
            <w:tcW w:w="16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1,182</w:t>
            </w:r>
          </w:p>
        </w:tc>
        <w:tc>
          <w:tcPr>
            <w:tcW w:w="17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DXL</w:t>
            </w: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54</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525</w:t>
            </w: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Rochester Clothing</w:t>
            </w:r>
          </w:p>
        </w:tc>
        <w:tc>
          <w:tcPr>
            <w:tcW w:w="17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12</w:t>
            </w:r>
          </w:p>
        </w:tc>
        <w:tc>
          <w:tcPr>
            <w:tcW w:w="16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108</w:t>
            </w:r>
          </w:p>
        </w:tc>
        <w:tc>
          <w:tcPr>
            <w:tcW w:w="17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7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7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7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store openings and closings from February 2, 2013 to May 4,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Casual</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Casual</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Stores:</w:t>
            </w:r>
          </w:p>
        </w:tc>
        <w:tc>
          <w:tcPr>
            <w:tcW w:w="3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Male XL</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Rochester</w:t>
            </w: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Male XL</w:t>
            </w:r>
          </w:p>
        </w:tc>
        <w:tc>
          <w:tcPr>
            <w:tcW w:w="40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2"/>
        </w:trPr>
        <w:tc>
          <w:tcPr>
            <w:tcW w:w="4280" w:type="dxa"/>
            <w:vAlign w:val="bottom"/>
            <w:gridSpan w:val="3"/>
            <w:vMerge w:val="continue"/>
          </w:tcPr>
          <w:p>
            <w:pPr>
              <w:spacing w:after="0"/>
              <w:rPr>
                <w:sz w:val="13"/>
                <w:szCs w:val="13"/>
                <w:color w:val="auto"/>
              </w:rPr>
            </w:pPr>
          </w:p>
        </w:tc>
        <w:tc>
          <w:tcPr>
            <w:tcW w:w="3160" w:type="dxa"/>
            <w:vAlign w:val="bottom"/>
          </w:tcPr>
          <w:p>
            <w:pPr>
              <w:spacing w:after="0"/>
              <w:rPr>
                <w:sz w:val="13"/>
                <w:szCs w:val="13"/>
                <w:color w:val="auto"/>
              </w:rPr>
            </w:pPr>
          </w:p>
        </w:tc>
        <w:tc>
          <w:tcPr>
            <w:tcW w:w="72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rPr>
              <w:t>DXL</w:t>
            </w:r>
          </w:p>
        </w:tc>
        <w:tc>
          <w:tcPr>
            <w:tcW w:w="92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w w:val="94"/>
              </w:rPr>
              <w:t>Retail</w:t>
            </w:r>
          </w:p>
        </w:tc>
        <w:tc>
          <w:tcPr>
            <w:tcW w:w="5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9"/>
              </w:rPr>
              <w:t>Clothing</w:t>
            </w:r>
          </w:p>
        </w:tc>
        <w:tc>
          <w:tcPr>
            <w:tcW w:w="400" w:type="dxa"/>
            <w:vAlign w:val="bottom"/>
          </w:tcPr>
          <w:p>
            <w:pPr>
              <w:spacing w:after="0"/>
              <w:rPr>
                <w:sz w:val="13"/>
                <w:szCs w:val="13"/>
                <w:color w:val="auto"/>
              </w:rPr>
            </w:pPr>
          </w:p>
        </w:tc>
        <w:tc>
          <w:tcPr>
            <w:tcW w:w="5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Outlets</w:t>
            </w:r>
          </w:p>
        </w:tc>
        <w:tc>
          <w:tcPr>
            <w:tcW w:w="400" w:type="dxa"/>
            <w:vAlign w:val="bottom"/>
          </w:tcPr>
          <w:p>
            <w:pPr>
              <w:spacing w:after="0"/>
              <w:rPr>
                <w:sz w:val="13"/>
                <w:szCs w:val="13"/>
                <w:color w:val="auto"/>
              </w:rPr>
            </w:pPr>
          </w:p>
        </w:tc>
        <w:tc>
          <w:tcPr>
            <w:tcW w:w="4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stores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February 2, 2013</w:t>
            </w:r>
          </w:p>
        </w:tc>
        <w:tc>
          <w:tcPr>
            <w:tcW w:w="3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297</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412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New stores</w:t>
            </w:r>
            <w:r>
              <w:rPr>
                <w:rFonts w:ascii="Times New Roman" w:cs="Times New Roman" w:eastAsia="Times New Roman" w:hAnsi="Times New Roman"/>
                <w:sz w:val="11"/>
                <w:szCs w:val="11"/>
                <w:color w:val="auto"/>
              </w:rPr>
              <w:t>(1)</w:t>
            </w:r>
          </w:p>
        </w:tc>
        <w:tc>
          <w:tcPr>
            <w:tcW w:w="3160" w:type="dxa"/>
            <w:vAlign w:val="bottom"/>
          </w:tcPr>
          <w:p>
            <w:pPr>
              <w:spacing w:after="0"/>
              <w:rPr>
                <w:sz w:val="18"/>
                <w:szCs w:val="18"/>
                <w:color w:val="auto"/>
              </w:rPr>
            </w:pPr>
          </w:p>
        </w:tc>
        <w:tc>
          <w:tcPr>
            <w:tcW w:w="7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Replaced stores</w:t>
            </w:r>
            <w:r>
              <w:rPr>
                <w:rFonts w:ascii="Times New Roman" w:cs="Times New Roman" w:eastAsia="Times New Roman" w:hAnsi="Times New Roman"/>
                <w:sz w:val="11"/>
                <w:szCs w:val="11"/>
                <w:color w:val="auto"/>
              </w:rPr>
              <w:t>(2)</w:t>
            </w:r>
          </w:p>
        </w:tc>
        <w:tc>
          <w:tcPr>
            <w:tcW w:w="3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Closed retail stores</w:t>
            </w:r>
            <w:r>
              <w:rPr>
                <w:rFonts w:ascii="Times New Roman" w:cs="Times New Roman" w:eastAsia="Times New Roman" w:hAnsi="Times New Roman"/>
                <w:sz w:val="11"/>
                <w:szCs w:val="11"/>
                <w:color w:val="auto"/>
              </w:rPr>
              <w:t>(3)</w:t>
            </w:r>
          </w:p>
        </w:tc>
        <w:tc>
          <w:tcPr>
            <w:tcW w:w="31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May 4, 2013</w:t>
            </w:r>
          </w:p>
        </w:tc>
        <w:tc>
          <w:tcPr>
            <w:tcW w:w="3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store count at February 1, 2014</w:t>
            </w:r>
          </w:p>
        </w:tc>
        <w:tc>
          <w:tcPr>
            <w:tcW w:w="3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60" w:type="dxa"/>
            <w:vAlign w:val="bottom"/>
          </w:tcPr>
          <w:p>
            <w:pPr>
              <w:jc w:val="right"/>
              <w:ind w:right="1552"/>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opening of new DXL stores represents DXL stores opened in new markets.</w:t>
      </w:r>
    </w:p>
    <w:p>
      <w:pPr>
        <w:spacing w:after="0" w:line="21" w:lineRule="exact"/>
        <w:rPr>
          <w:rFonts w:ascii="Times New Roman" w:cs="Times New Roman" w:eastAsia="Times New Roman" w:hAnsi="Times New Roman"/>
          <w:sz w:val="18"/>
          <w:szCs w:val="18"/>
          <w:color w:val="auto"/>
        </w:rPr>
      </w:pPr>
    </w:p>
    <w:p>
      <w:pPr>
        <w:ind w:left="460" w:right="340" w:hanging="452"/>
        <w:spacing w:after="0" w:line="25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closed stores for which there were no corresponding openings of a DXL store in the same market.</w:t>
      </w:r>
    </w:p>
    <w:p>
      <w:pPr>
        <w:spacing w:after="0" w:line="159"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6"/>
          <w:szCs w:val="16"/>
          <w:color w:val="auto"/>
        </w:rPr>
        <w:t>Our capital expenditures for the first quarter of fiscal 2013 were $8.0 million as compared to $5.6 million for the first quarter of fiscal 2012. The $2.4 million increase is primarily related to the opening of 6 new DXL stores during the first quarter of fiscal 2013 as well as a number of stores under construction.</w:t>
      </w:r>
    </w:p>
    <w:p>
      <w:pPr>
        <w:spacing w:after="0" w:line="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fiscal 2013, our capital expenditures are expected to be approximately $54.0 million and we expect to receive approximately $9.0 million in tenant allowances to offset these expenditures. The budget includes approximately $44.7 million, excluding any allowance, related to the opening of 57-64 new Destination XL stores and approximately $7.4 million for continued information technology projects, including further web-related enhancements, upgraded planning and allocation software and upgraded POS system, with the remainder for general overhead projects. In addition, we expect to close approximately 110-119 existing stores, most of which are in connection with the opening of our new DXL stores.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Annual Report on Form 10-K for the year ended February 2, 2013 filed with the SEC on March 15, 2013.</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Rates</w:t>
      </w:r>
    </w:p>
    <w:p>
      <w:pPr>
        <w:spacing w:after="0" w:line="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November 10, 2014, bear interest at variable rates based on Bank of America’s prime rate or LIBOR. At May 4, 2013, the interest rate on our prime based borrowings was 4.25%. Approximately $5.0 million of our outstanding borrowings were in LIBOR contracts with an interest rate of 2.18%. Based upon a sensitivity analysis as of May 4, 2013, assuming average outstanding borrowing during the first quarter of fiscal 2013 of $6.0 million, a 50 basis point increase in interest rates would have resulted in a potential increase in interest expense of approximately $30,000 on an annualized basis.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Sears Canada catalog operations conduct business in Canadian dollars and our Rochester Clothing store located in London, England conducts business in British pounds. If the value of the Canadian dollar or British pound against the U.S. dollar weakens, the revenues and earnings of these operations will be reduced when they are translated or remeasured to U.S. dollars. Also, the value of these assets to U.S. dollars may decline. As of May 4, 2013, sales from our Sears Canada operations and our London Rochester Clothing store were immaterial to consolidated sales. As such, we believe that movement in foreign currency exchange rates will not have a material adverse affect on our financial position or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9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4, 2013.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4, 2013, our disclosure controls and procedures were effective.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90"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May 4, 2013 that has materially affected, or is reasonably likely to materially affect, our internal control over financial reporting.</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272"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left="1040" w:right="100"/>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(“Risk Factors”) of our Annual Report on Form 10-K for the year ended February 2, 2013 filed with the SEC on March 15, 2013.</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9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960" w:right="160" w:hanging="952"/>
        <w:spacing w:after="0" w:line="258"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Quarterly Report on Form 10-Q for the quarter ended May 4, 2013,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 **</w:t>
      </w:r>
    </w:p>
    <w:p>
      <w:pPr>
        <w:spacing w:after="0" w:line="82" w:lineRule="exact"/>
        <w:rPr>
          <w:sz w:val="20"/>
          <w:szCs w:val="20"/>
          <w:color w:val="auto"/>
        </w:rPr>
      </w:pPr>
    </w:p>
    <w:p>
      <w:pPr>
        <w:ind w:left="960" w:right="20" w:hanging="952"/>
        <w:spacing w:after="0" w:line="26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272" w:right="299" w:bottom="1440" w:gutter="0" w:footer="0" w:header="0"/>
        </w:sectPr>
      </w:pPr>
    </w:p>
    <w:bookmarkStart w:id="20" w:name="page21"/>
    <w:bookmarkEnd w:id="20"/>
    <w:p>
      <w:pPr>
        <w:jc w:val="center"/>
        <w:ind w:right="-8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25"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May 24, 2013</w:t>
      </w:r>
      <w:r>
        <w:rPr>
          <w:sz w:val="20"/>
          <w:szCs w:val="20"/>
          <w:color w:val="auto"/>
        </w:rPr>
        <w:tab/>
      </w:r>
      <w:r>
        <w:rPr>
          <w:rFonts w:ascii="Times New Roman" w:cs="Times New Roman" w:eastAsia="Times New Roman" w:hAnsi="Times New Roman"/>
          <w:sz w:val="16"/>
          <w:szCs w:val="16"/>
          <w:color w:val="auto"/>
        </w:rPr>
        <w:t>By: /S/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Peter H. Stratton, Jr.</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of Finance, Corporate Controller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0"/>
          </w:cols>
          <w:pgMar w:left="240" w:top="274" w:right="11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Casual Male Retail Group,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24,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A. Levin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3"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Casual Male Retail Group,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24,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Dennis R. Hernreich</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Casual Male Retail Group, Inc. (the “Company”) for the period ended May 4, 2012, as filed with the Securities and Exchange Commission on the date hereof (the “Report”), I, David A. Levin, Chief Executive Officer of the Company, certify pursuant to 18 U.S.C. § 1350, as adopted pursuant to § 906 of the Sarbanes-Oxley Act of 2002, that:</w:t>
      </w:r>
    </w:p>
    <w:p>
      <w:pPr>
        <w:spacing w:after="0" w:line="51" w:lineRule="exact"/>
        <w:rPr>
          <w:sz w:val="20"/>
          <w:szCs w:val="20"/>
          <w:color w:val="auto"/>
        </w:rPr>
      </w:pPr>
    </w:p>
    <w:p>
      <w:pPr>
        <w:ind w:left="1480" w:right="720" w:hanging="567"/>
        <w:spacing w:after="0" w:line="275"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38" w:lineRule="exact"/>
        <w:rPr>
          <w:rFonts w:ascii="Times New Roman" w:cs="Times New Roman" w:eastAsia="Times New Roman" w:hAnsi="Times New Roman"/>
          <w:sz w:val="18"/>
          <w:szCs w:val="18"/>
          <w:color w:val="auto"/>
        </w:rPr>
      </w:pPr>
    </w:p>
    <w:p>
      <w:pPr>
        <w:ind w:left="1480" w:right="500" w:hanging="567"/>
        <w:spacing w:after="0" w:line="275"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20"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4"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Dated: May 24, 2013</w:t>
      </w:r>
      <w:r>
        <w:rPr>
          <w:sz w:val="20"/>
          <w:szCs w:val="20"/>
          <w:color w:val="auto"/>
        </w:rPr>
        <w:tab/>
      </w:r>
      <w:r>
        <w:rPr>
          <w:rFonts w:ascii="Times New Roman" w:cs="Times New Roman" w:eastAsia="Times New Roman" w:hAnsi="Times New Roman"/>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A. Levin</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0" w:lineRule="exact"/>
        <w:rPr>
          <w:sz w:val="20"/>
          <w:szCs w:val="20"/>
          <w:color w:val="auto"/>
        </w:rPr>
      </w:pPr>
    </w:p>
    <w:p>
      <w:pPr>
        <w:ind w:firstLine="913"/>
        <w:spacing w:after="0" w:line="26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3"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Casual Male Retail Group, Inc. (the “Company”) for the period ended May 4, 2013,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1" w:lineRule="exact"/>
        <w:rPr>
          <w:sz w:val="20"/>
          <w:szCs w:val="20"/>
          <w:color w:val="auto"/>
        </w:rPr>
      </w:pPr>
    </w:p>
    <w:p>
      <w:pPr>
        <w:ind w:left="1480" w:right="720" w:hanging="567"/>
        <w:spacing w:after="0" w:line="275"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38" w:lineRule="exact"/>
        <w:rPr>
          <w:rFonts w:ascii="Times New Roman" w:cs="Times New Roman" w:eastAsia="Times New Roman" w:hAnsi="Times New Roman"/>
          <w:sz w:val="18"/>
          <w:szCs w:val="18"/>
          <w:color w:val="auto"/>
        </w:rPr>
      </w:pPr>
    </w:p>
    <w:p>
      <w:pPr>
        <w:ind w:left="1480" w:right="500" w:hanging="567"/>
        <w:spacing w:after="0" w:line="275"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20"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4"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Dated: May 24, 2013</w:t>
      </w:r>
      <w:r>
        <w:rPr>
          <w:sz w:val="20"/>
          <w:szCs w:val="20"/>
          <w:color w:val="auto"/>
        </w:rPr>
        <w:tab/>
      </w:r>
      <w:r>
        <w:rPr>
          <w:rFonts w:ascii="Times New Roman" w:cs="Times New Roman" w:eastAsia="Times New Roman" w:hAnsi="Times New Roman"/>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Dennis R. Hernreich</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7" w:lineRule="exact"/>
        <w:rPr>
          <w:sz w:val="20"/>
          <w:szCs w:val="20"/>
          <w:color w:val="auto"/>
        </w:rPr>
      </w:pPr>
    </w:p>
    <w:p>
      <w:pPr>
        <w:ind w:firstLine="913"/>
        <w:spacing w:after="0" w:line="26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0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2019-12-06T01:11:24Z</dcterms:created>
  <dcterms:modified xsi:type="dcterms:W3CDTF">2019-12-06T01:11:24Z</dcterms:modified>
</cp:coreProperties>
</file>