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1, 2009</w:t>
      </w:r>
    </w:p>
    <w:p>
      <w:pPr>
        <w:spacing w:after="0" w:line="21" w:lineRule="exact"/>
        <w:rPr>
          <w:sz w:val="24"/>
          <w:szCs w:val="24"/>
          <w:color w:val="auto"/>
        </w:rPr>
      </w:pPr>
    </w:p>
    <w:p>
      <w:pPr>
        <w:ind w:left="8500"/>
        <w:spacing w:after="0"/>
        <w:rPr>
          <w:sz w:val="20"/>
          <w:szCs w:val="20"/>
          <w:color w:val="auto"/>
        </w:rPr>
      </w:pPr>
      <w:r>
        <w:rPr>
          <w:rFonts w:ascii="Arial" w:cs="Arial" w:eastAsia="Arial" w:hAnsi="Arial"/>
          <w:sz w:val="15"/>
          <w:szCs w:val="15"/>
          <w:b w:val="1"/>
          <w:bCs w:val="1"/>
          <w:color w:val="auto"/>
        </w:rPr>
        <w:t>Registration Statement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900" w:orient="portrait"/>
          <w:cols w:equalWidth="0" w:num="1">
            <w:col w:w="11420"/>
          </w:cols>
          <w:pgMar w:left="240" w:top="230" w:right="239" w:bottom="0" w:gutter="0" w:footer="0" w:header="0"/>
        </w:sectPr>
      </w:pPr>
    </w:p>
    <w:p>
      <w:pPr>
        <w:spacing w:after="0" w:line="175"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56" w:lineRule="exact"/>
        <w:rPr>
          <w:sz w:val="24"/>
          <w:szCs w:val="24"/>
          <w:color w:val="auto"/>
        </w:rPr>
      </w:pPr>
    </w:p>
    <w:p>
      <w:pPr>
        <w:sectPr>
          <w:pgSz w:w="11900" w:h="16900" w:orient="portrait"/>
          <w:cols w:equalWidth="0" w:num="2">
            <w:col w:w="7540" w:space="720"/>
            <w:col w:w="3160"/>
          </w:cols>
          <w:pgMar w:left="240" w:top="230" w:right="239" w:bottom="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900" w:orient="portrait"/>
          <w:cols w:equalWidth="0" w:num="2">
            <w:col w:w="7440" w:space="720"/>
            <w:col w:w="3260"/>
          </w:cols>
          <w:pgMar w:left="240" w:top="230"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555 Turnpike Street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828-9300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(Address, including zip code, and telephone number, including</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900" w:orient="portrait"/>
          <w:cols w:equalWidth="0" w:num="1">
            <w:col w:w="11420"/>
          </w:cols>
          <w:pgMar w:left="240" w:top="230" w:right="239" w:bottom="0" w:gutter="0" w:footer="0" w:header="0"/>
          <w:type w:val="continuous"/>
        </w:sect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Dennis R. Hernreich</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828-9300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Bradley A. Jacobson,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Greenberg Traurig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International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Massachusetts 02110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(617) 310-6205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Telecopy: (617) 310-6001</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 xml:space="preserve">Approximate date of commencement of proposed sale to public: </w:t>
      </w:r>
      <w:r>
        <w:rPr>
          <w:rFonts w:ascii="Arial" w:cs="Arial" w:eastAsia="Arial" w:hAnsi="Arial"/>
          <w:sz w:val="18"/>
          <w:szCs w:val="18"/>
          <w:color w:val="auto"/>
        </w:rPr>
        <w:t>From time to time after this Registration Statement becomes effective.</w:t>
      </w:r>
    </w:p>
    <w:p>
      <w:pPr>
        <w:spacing w:after="0" w:line="13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27" w:lineRule="exact"/>
        <w:rPr>
          <w:sz w:val="24"/>
          <w:szCs w:val="24"/>
          <w:color w:val="auto"/>
        </w:rPr>
      </w:pPr>
    </w:p>
    <w:p>
      <w:pPr>
        <w:ind w:right="320"/>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right="240"/>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140"/>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100"/>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140"/>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93" w:lineRule="exact"/>
        <w:rPr>
          <w:sz w:val="24"/>
          <w:szCs w:val="24"/>
          <w:color w:val="auto"/>
        </w:rPr>
      </w:pPr>
    </w:p>
    <w:p>
      <w:pPr>
        <w:ind w:left="3100" w:right="460" w:hanging="5955"/>
        <w:spacing w:after="0" w:line="236" w:lineRule="exact"/>
        <w:tabs>
          <w:tab w:leader="none" w:pos="30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w:t>
      </w:r>
    </w:p>
    <w:p>
      <w:pPr>
        <w:ind w:left="5960"/>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40"/>
        </w:trPr>
        <w:tc>
          <w:tcPr>
            <w:tcW w:w="5060" w:type="dxa"/>
            <w:vAlign w:val="bottom"/>
            <w:tcBorders>
              <w:top w:val="single" w:sz="8" w:color="auto"/>
              <w:left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right w:val="single" w:sz="8" w:color="auto"/>
            </w:tcBorders>
          </w:tcPr>
          <w:p>
            <w:pPr>
              <w:spacing w:after="0"/>
              <w:rPr>
                <w:sz w:val="3"/>
                <w:szCs w:val="3"/>
                <w:color w:val="auto"/>
              </w:rPr>
            </w:pPr>
          </w:p>
        </w:tc>
      </w:tr>
      <w:tr>
        <w:trPr>
          <w:trHeight w:val="116"/>
        </w:trPr>
        <w:tc>
          <w:tcPr>
            <w:tcW w:w="5060" w:type="dxa"/>
            <w:vAlign w:val="bottom"/>
            <w:tcBorders>
              <w:left w:val="single" w:sz="8" w:color="auto"/>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34"/>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34"/>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Borders>
              <w:right w:val="single" w:sz="8" w:color="auto"/>
            </w:tcBorders>
          </w:tcPr>
          <w:p>
            <w:pPr>
              <w:spacing w:after="0"/>
              <w:rPr>
                <w:sz w:val="10"/>
                <w:szCs w:val="10"/>
                <w:color w:val="auto"/>
              </w:rPr>
            </w:pPr>
          </w:p>
        </w:tc>
      </w:tr>
      <w:tr>
        <w:trPr>
          <w:trHeight w:val="149"/>
        </w:trPr>
        <w:tc>
          <w:tcPr>
            <w:tcW w:w="5060" w:type="dxa"/>
            <w:vAlign w:val="bottom"/>
            <w:tcBorders>
              <w:left w:val="single" w:sz="8" w:color="auto"/>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0"/>
              </w:rPr>
              <w:t>Amount</w:t>
            </w:r>
          </w:p>
        </w:tc>
        <w:tc>
          <w:tcPr>
            <w:tcW w:w="1600" w:type="dxa"/>
            <w:vAlign w:val="bottom"/>
            <w:tcBorders>
              <w:right w:val="single" w:sz="8" w:color="auto"/>
            </w:tcBorders>
          </w:tcPr>
          <w:p>
            <w:pPr>
              <w:jc w:val="center"/>
              <w:ind w:left="14"/>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14"/>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5060" w:type="dxa"/>
            <w:vAlign w:val="bottom"/>
            <w:tcBorders>
              <w:left w:val="single" w:sz="8" w:color="auto"/>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3"/>
              </w:rPr>
              <w:t>to be</w:t>
            </w:r>
          </w:p>
        </w:tc>
        <w:tc>
          <w:tcPr>
            <w:tcW w:w="1600" w:type="dxa"/>
            <w:vAlign w:val="bottom"/>
            <w:tcBorders>
              <w:right w:val="single" w:sz="8" w:color="auto"/>
            </w:tcBorders>
          </w:tcPr>
          <w:p>
            <w:pPr>
              <w:jc w:val="center"/>
              <w:ind w:left="14"/>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4"/>
              <w:spacing w:after="0" w:line="149"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5"/>
        </w:trPr>
        <w:tc>
          <w:tcPr>
            <w:tcW w:w="5060" w:type="dxa"/>
            <w:vAlign w:val="bottom"/>
            <w:tcBorders>
              <w:left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5"/>
              </w:rPr>
              <w:t>Registered (1)</w:t>
            </w:r>
          </w:p>
        </w:tc>
        <w:tc>
          <w:tcPr>
            <w:tcW w:w="160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89"/>
              </w:rPr>
              <w:t>Per Unit</w:t>
            </w:r>
          </w:p>
        </w:tc>
        <w:tc>
          <w:tcPr>
            <w:tcW w:w="160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90"/>
              </w:rPr>
              <w:t>Offering Price</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Fee (3)</w:t>
            </w:r>
          </w:p>
        </w:tc>
      </w:tr>
      <w:tr>
        <w:trPr>
          <w:trHeight w:val="199"/>
        </w:trPr>
        <w:tc>
          <w:tcPr>
            <w:tcW w:w="506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r>
    </w:tbl>
    <w:p>
      <w:pPr>
        <w:sectPr>
          <w:pgSz w:w="11900" w:h="16900" w:orient="portrait"/>
          <w:cols w:equalWidth="0" w:num="1">
            <w:col w:w="11420"/>
          </w:cols>
          <w:pgMar w:left="240" w:top="230"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 per share</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right"/>
              <w:ind w:right="572"/>
              <w:spacing w:after="0"/>
              <w:rPr>
                <w:sz w:val="20"/>
                <w:szCs w:val="20"/>
                <w:color w:val="auto"/>
              </w:rPr>
            </w:pPr>
            <w:r>
              <w:rPr>
                <w:rFonts w:ascii="Arial" w:cs="Arial" w:eastAsia="Arial" w:hAnsi="Arial"/>
                <w:sz w:val="18"/>
                <w:szCs w:val="18"/>
                <w:color w:val="auto"/>
              </w:rPr>
              <w:t>(2)</w:t>
            </w:r>
          </w:p>
        </w:tc>
        <w:tc>
          <w:tcPr>
            <w:tcW w:w="1600" w:type="dxa"/>
            <w:vAlign w:val="bottom"/>
            <w:tcBorders>
              <w:bottom w:val="single" w:sz="8" w:color="auto"/>
              <w:right w:val="single" w:sz="8" w:color="auto"/>
            </w:tcBorders>
          </w:tcPr>
          <w:p>
            <w:pPr>
              <w:jc w:val="right"/>
              <w:ind w:right="572"/>
              <w:spacing w:after="0"/>
              <w:rPr>
                <w:sz w:val="20"/>
                <w:szCs w:val="20"/>
                <w:color w:val="auto"/>
              </w:rPr>
            </w:pPr>
            <w:r>
              <w:rPr>
                <w:rFonts w:ascii="Arial" w:cs="Arial" w:eastAsia="Arial" w:hAnsi="Arial"/>
                <w:sz w:val="18"/>
                <w:szCs w:val="18"/>
                <w:color w:val="auto"/>
              </w:rPr>
              <w:t>(2)</w:t>
            </w:r>
          </w:p>
        </w:tc>
        <w:tc>
          <w:tcPr>
            <w:tcW w:w="1560" w:type="dxa"/>
            <w:vAlign w:val="bottom"/>
            <w:tcBorders>
              <w:bottom w:val="single" w:sz="8" w:color="auto"/>
              <w:right w:val="single" w:sz="8" w:color="auto"/>
            </w:tcBorders>
          </w:tcPr>
          <w:p>
            <w:pPr>
              <w:spacing w:after="0"/>
              <w:rPr>
                <w:sz w:val="18"/>
                <w:szCs w:val="18"/>
                <w:color w:val="auto"/>
              </w:rPr>
            </w:pPr>
          </w:p>
        </w:tc>
      </w:tr>
      <w:tr>
        <w:trPr>
          <w:trHeight w:val="210"/>
        </w:trPr>
        <w:tc>
          <w:tcPr>
            <w:tcW w:w="5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Preferred Stock, $0.01 par value per share</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right"/>
              <w:ind w:right="572"/>
              <w:spacing w:after="0"/>
              <w:rPr>
                <w:sz w:val="20"/>
                <w:szCs w:val="20"/>
                <w:color w:val="auto"/>
              </w:rPr>
            </w:pPr>
            <w:r>
              <w:rPr>
                <w:rFonts w:ascii="Arial" w:cs="Arial" w:eastAsia="Arial" w:hAnsi="Arial"/>
                <w:sz w:val="18"/>
                <w:szCs w:val="18"/>
                <w:color w:val="auto"/>
              </w:rPr>
              <w:t>(2)</w:t>
            </w:r>
          </w:p>
        </w:tc>
        <w:tc>
          <w:tcPr>
            <w:tcW w:w="1600" w:type="dxa"/>
            <w:vAlign w:val="bottom"/>
            <w:tcBorders>
              <w:bottom w:val="single" w:sz="8" w:color="auto"/>
              <w:right w:val="single" w:sz="8" w:color="auto"/>
            </w:tcBorders>
          </w:tcPr>
          <w:p>
            <w:pPr>
              <w:jc w:val="right"/>
              <w:ind w:right="572"/>
              <w:spacing w:after="0"/>
              <w:rPr>
                <w:sz w:val="20"/>
                <w:szCs w:val="20"/>
                <w:color w:val="auto"/>
              </w:rPr>
            </w:pPr>
            <w:r>
              <w:rPr>
                <w:rFonts w:ascii="Arial" w:cs="Arial" w:eastAsia="Arial" w:hAnsi="Arial"/>
                <w:sz w:val="18"/>
                <w:szCs w:val="18"/>
                <w:color w:val="auto"/>
              </w:rPr>
              <w:t>(2)</w:t>
            </w:r>
          </w:p>
        </w:tc>
        <w:tc>
          <w:tcPr>
            <w:tcW w:w="1560" w:type="dxa"/>
            <w:vAlign w:val="bottom"/>
            <w:tcBorders>
              <w:bottom w:val="single" w:sz="8" w:color="auto"/>
              <w:right w:val="single" w:sz="8" w:color="auto"/>
            </w:tcBorders>
          </w:tcPr>
          <w:p>
            <w:pPr>
              <w:spacing w:after="0"/>
              <w:rPr>
                <w:sz w:val="18"/>
                <w:szCs w:val="18"/>
                <w:color w:val="auto"/>
              </w:rPr>
            </w:pPr>
          </w:p>
        </w:tc>
      </w:tr>
      <w:tr>
        <w:trPr>
          <w:trHeight w:val="210"/>
        </w:trPr>
        <w:tc>
          <w:tcPr>
            <w:tcW w:w="5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Warrants</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right"/>
              <w:ind w:right="572"/>
              <w:spacing w:after="0"/>
              <w:rPr>
                <w:sz w:val="20"/>
                <w:szCs w:val="20"/>
                <w:color w:val="auto"/>
              </w:rPr>
            </w:pPr>
            <w:r>
              <w:rPr>
                <w:rFonts w:ascii="Arial" w:cs="Arial" w:eastAsia="Arial" w:hAnsi="Arial"/>
                <w:sz w:val="18"/>
                <w:szCs w:val="18"/>
                <w:color w:val="auto"/>
              </w:rPr>
              <w:t>(2)</w:t>
            </w:r>
          </w:p>
        </w:tc>
        <w:tc>
          <w:tcPr>
            <w:tcW w:w="1600" w:type="dxa"/>
            <w:vAlign w:val="bottom"/>
            <w:tcBorders>
              <w:bottom w:val="single" w:sz="8" w:color="auto"/>
              <w:right w:val="single" w:sz="8" w:color="auto"/>
            </w:tcBorders>
          </w:tcPr>
          <w:p>
            <w:pPr>
              <w:jc w:val="right"/>
              <w:ind w:right="572"/>
              <w:spacing w:after="0"/>
              <w:rPr>
                <w:sz w:val="20"/>
                <w:szCs w:val="20"/>
                <w:color w:val="auto"/>
              </w:rPr>
            </w:pPr>
            <w:r>
              <w:rPr>
                <w:rFonts w:ascii="Arial" w:cs="Arial" w:eastAsia="Arial" w:hAnsi="Arial"/>
                <w:sz w:val="18"/>
                <w:szCs w:val="18"/>
                <w:color w:val="auto"/>
              </w:rPr>
              <w:t>(2)</w:t>
            </w:r>
          </w:p>
        </w:tc>
        <w:tc>
          <w:tcPr>
            <w:tcW w:w="1560" w:type="dxa"/>
            <w:vAlign w:val="bottom"/>
            <w:tcBorders>
              <w:bottom w:val="single" w:sz="8" w:color="auto"/>
              <w:right w:val="single" w:sz="8" w:color="auto"/>
            </w:tcBorders>
          </w:tcPr>
          <w:p>
            <w:pPr>
              <w:spacing w:after="0"/>
              <w:rPr>
                <w:sz w:val="18"/>
                <w:szCs w:val="18"/>
                <w:color w:val="auto"/>
              </w:rPr>
            </w:pPr>
          </w:p>
        </w:tc>
      </w:tr>
      <w:tr>
        <w:trPr>
          <w:trHeight w:val="210"/>
        </w:trPr>
        <w:tc>
          <w:tcPr>
            <w:tcW w:w="5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Purchase Contracts</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right"/>
              <w:ind w:right="572"/>
              <w:spacing w:after="0"/>
              <w:rPr>
                <w:sz w:val="20"/>
                <w:szCs w:val="20"/>
                <w:color w:val="auto"/>
              </w:rPr>
            </w:pPr>
            <w:r>
              <w:rPr>
                <w:rFonts w:ascii="Arial" w:cs="Arial" w:eastAsia="Arial" w:hAnsi="Arial"/>
                <w:sz w:val="18"/>
                <w:szCs w:val="18"/>
                <w:color w:val="auto"/>
              </w:rPr>
              <w:t>(2)</w:t>
            </w:r>
          </w:p>
        </w:tc>
        <w:tc>
          <w:tcPr>
            <w:tcW w:w="1600" w:type="dxa"/>
            <w:vAlign w:val="bottom"/>
            <w:tcBorders>
              <w:bottom w:val="single" w:sz="8" w:color="auto"/>
              <w:right w:val="single" w:sz="8" w:color="auto"/>
            </w:tcBorders>
          </w:tcPr>
          <w:p>
            <w:pPr>
              <w:jc w:val="right"/>
              <w:ind w:right="572"/>
              <w:spacing w:after="0"/>
              <w:rPr>
                <w:sz w:val="20"/>
                <w:szCs w:val="20"/>
                <w:color w:val="auto"/>
              </w:rPr>
            </w:pPr>
            <w:r>
              <w:rPr>
                <w:rFonts w:ascii="Arial" w:cs="Arial" w:eastAsia="Arial" w:hAnsi="Arial"/>
                <w:sz w:val="18"/>
                <w:szCs w:val="18"/>
                <w:color w:val="auto"/>
              </w:rPr>
              <w:t>(2)</w:t>
            </w:r>
          </w:p>
        </w:tc>
        <w:tc>
          <w:tcPr>
            <w:tcW w:w="1560" w:type="dxa"/>
            <w:vAlign w:val="bottom"/>
            <w:tcBorders>
              <w:bottom w:val="single" w:sz="8" w:color="auto"/>
              <w:right w:val="single" w:sz="8" w:color="auto"/>
            </w:tcBorders>
          </w:tcPr>
          <w:p>
            <w:pPr>
              <w:spacing w:after="0"/>
              <w:rPr>
                <w:sz w:val="18"/>
                <w:szCs w:val="18"/>
                <w:color w:val="auto"/>
              </w:rPr>
            </w:pPr>
          </w:p>
        </w:tc>
      </w:tr>
      <w:tr>
        <w:trPr>
          <w:trHeight w:val="210"/>
        </w:trPr>
        <w:tc>
          <w:tcPr>
            <w:tcW w:w="5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Depositary Shares (4)</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right"/>
              <w:ind w:right="572"/>
              <w:spacing w:after="0"/>
              <w:rPr>
                <w:sz w:val="20"/>
                <w:szCs w:val="20"/>
                <w:color w:val="auto"/>
              </w:rPr>
            </w:pPr>
            <w:r>
              <w:rPr>
                <w:rFonts w:ascii="Arial" w:cs="Arial" w:eastAsia="Arial" w:hAnsi="Arial"/>
                <w:sz w:val="18"/>
                <w:szCs w:val="18"/>
                <w:color w:val="auto"/>
              </w:rPr>
              <w:t>(2)</w:t>
            </w:r>
          </w:p>
        </w:tc>
        <w:tc>
          <w:tcPr>
            <w:tcW w:w="1600" w:type="dxa"/>
            <w:vAlign w:val="bottom"/>
            <w:tcBorders>
              <w:bottom w:val="single" w:sz="8" w:color="auto"/>
              <w:right w:val="single" w:sz="8" w:color="auto"/>
            </w:tcBorders>
          </w:tcPr>
          <w:p>
            <w:pPr>
              <w:jc w:val="right"/>
              <w:ind w:right="572"/>
              <w:spacing w:after="0"/>
              <w:rPr>
                <w:sz w:val="20"/>
                <w:szCs w:val="20"/>
                <w:color w:val="auto"/>
              </w:rPr>
            </w:pPr>
            <w:r>
              <w:rPr>
                <w:rFonts w:ascii="Arial" w:cs="Arial" w:eastAsia="Arial" w:hAnsi="Arial"/>
                <w:sz w:val="18"/>
                <w:szCs w:val="18"/>
                <w:color w:val="auto"/>
              </w:rPr>
              <w:t>(2)</w:t>
            </w:r>
          </w:p>
        </w:tc>
        <w:tc>
          <w:tcPr>
            <w:tcW w:w="1560" w:type="dxa"/>
            <w:vAlign w:val="bottom"/>
            <w:tcBorders>
              <w:bottom w:val="single" w:sz="8" w:color="auto"/>
              <w:right w:val="single" w:sz="8" w:color="auto"/>
            </w:tcBorders>
          </w:tcPr>
          <w:p>
            <w:pPr>
              <w:spacing w:after="0"/>
              <w:rPr>
                <w:sz w:val="18"/>
                <w:szCs w:val="18"/>
                <w:color w:val="auto"/>
              </w:rPr>
            </w:pPr>
          </w:p>
        </w:tc>
      </w:tr>
      <w:tr>
        <w:trPr>
          <w:trHeight w:val="210"/>
        </w:trPr>
        <w:tc>
          <w:tcPr>
            <w:tcW w:w="5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Rights</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210"/>
        </w:trPr>
        <w:tc>
          <w:tcPr>
            <w:tcW w:w="5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Units (5)</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right"/>
              <w:ind w:right="572"/>
              <w:spacing w:after="0"/>
              <w:rPr>
                <w:sz w:val="20"/>
                <w:szCs w:val="20"/>
                <w:color w:val="auto"/>
              </w:rPr>
            </w:pPr>
            <w:r>
              <w:rPr>
                <w:rFonts w:ascii="Arial" w:cs="Arial" w:eastAsia="Arial" w:hAnsi="Arial"/>
                <w:sz w:val="18"/>
                <w:szCs w:val="18"/>
                <w:color w:val="auto"/>
              </w:rPr>
              <w:t>(2)</w:t>
            </w:r>
          </w:p>
        </w:tc>
        <w:tc>
          <w:tcPr>
            <w:tcW w:w="1600" w:type="dxa"/>
            <w:vAlign w:val="bottom"/>
            <w:tcBorders>
              <w:bottom w:val="single" w:sz="8" w:color="auto"/>
              <w:right w:val="single" w:sz="8" w:color="auto"/>
            </w:tcBorders>
          </w:tcPr>
          <w:p>
            <w:pPr>
              <w:jc w:val="right"/>
              <w:ind w:right="572"/>
              <w:spacing w:after="0"/>
              <w:rPr>
                <w:sz w:val="20"/>
                <w:szCs w:val="20"/>
                <w:color w:val="auto"/>
              </w:rPr>
            </w:pPr>
            <w:r>
              <w:rPr>
                <w:rFonts w:ascii="Arial" w:cs="Arial" w:eastAsia="Arial" w:hAnsi="Arial"/>
                <w:sz w:val="18"/>
                <w:szCs w:val="18"/>
                <w:color w:val="auto"/>
              </w:rPr>
              <w:t>(2)</w:t>
            </w:r>
          </w:p>
        </w:tc>
        <w:tc>
          <w:tcPr>
            <w:tcW w:w="1560" w:type="dxa"/>
            <w:vAlign w:val="bottom"/>
            <w:tcBorders>
              <w:bottom w:val="single" w:sz="8" w:color="auto"/>
              <w:right w:val="single" w:sz="8" w:color="auto"/>
            </w:tcBorders>
          </w:tcPr>
          <w:p>
            <w:pPr>
              <w:spacing w:after="0"/>
              <w:rPr>
                <w:sz w:val="18"/>
                <w:szCs w:val="18"/>
                <w:color w:val="auto"/>
              </w:rPr>
            </w:pPr>
          </w:p>
        </w:tc>
      </w:tr>
      <w:tr>
        <w:trPr>
          <w:trHeight w:val="210"/>
        </w:trPr>
        <w:tc>
          <w:tcPr>
            <w:tcW w:w="50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$100,000,000</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$100,000,000</w:t>
            </w:r>
          </w:p>
        </w:tc>
        <w:tc>
          <w:tcPr>
            <w:tcW w:w="15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$5,580.00</w:t>
            </w:r>
          </w:p>
        </w:tc>
      </w:tr>
      <w:tr>
        <w:trPr>
          <w:trHeight w:val="20"/>
        </w:trPr>
        <w:tc>
          <w:tcPr>
            <w:tcW w:w="5060" w:type="dxa"/>
            <w:vAlign w:val="bottom"/>
            <w:tcBorders>
              <w:left w:val="single" w:sz="8" w:color="auto"/>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right="20" w:hanging="452"/>
        <w:spacing w:after="0" w:line="28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There are being registered under this registration statement such indeterminate number of shares of common stock and preferred stock; such indeterminate number of depositary shares; such indeterminate number of warrants to purchase common stock, preferred stock, depositary shares and/or units; such indeterminate number of purchase contracts to purchase common stock, preferred stock, depositary shares or warrants; such indeterminate number of rights to purchase common stock, preferred stock, depositary shares or warrants; and such indeterminate number of units as may be sold by the registrant from time to time, which together shall have an aggregate initial offering price not to exceed $100,000,000. Any securities registered hereunder may be sold separately or as units with other securities registered hereunder. The securities registered hereunder also include such indeterminate number of shares of common stock and preferred stock, depositary shares, and warrants as may be issued upon conversion of or exchange for preferred stock or depositary shares that provide for conversion or exchange; upon exercise of warrants, purchase contracts or rights; or pursuant to the anti-dilution provisions of any such securities. In addition,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167"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required to be included in accordance with General Instruction II.D. of Form S-3.</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depositary share will represent an interest in a fractional share of preferred stock and will be evidenced by a depositary receipt.</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unit will represent an interest in two or more other securities, which may or may not be separable from one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0"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DE1A1E"/>
        </w:rPr>
        <w:t>Subject to completion, dated July 1, 2009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Casual Male Retail Group, Inc.</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$100,000,000</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Common Stock</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Preferred Stock</w:t>
      </w:r>
    </w:p>
    <w:p>
      <w:pPr>
        <w:jc w:val="center"/>
        <w:ind w:right="-39"/>
        <w:spacing w:after="0" w:line="230" w:lineRule="auto"/>
        <w:rPr>
          <w:sz w:val="20"/>
          <w:szCs w:val="20"/>
          <w:color w:val="auto"/>
        </w:rPr>
      </w:pPr>
      <w:r>
        <w:rPr>
          <w:rFonts w:ascii="Arial" w:cs="Arial" w:eastAsia="Arial" w:hAnsi="Arial"/>
          <w:sz w:val="22"/>
          <w:szCs w:val="22"/>
          <w:b w:val="1"/>
          <w:bCs w:val="1"/>
          <w:color w:val="auto"/>
        </w:rPr>
        <w:t>Warrants</w:t>
      </w:r>
    </w:p>
    <w:p>
      <w:pPr>
        <w:jc w:val="center"/>
        <w:ind w:right="-39"/>
        <w:spacing w:after="0" w:line="231" w:lineRule="auto"/>
        <w:rPr>
          <w:sz w:val="20"/>
          <w:szCs w:val="20"/>
          <w:color w:val="auto"/>
        </w:rPr>
      </w:pPr>
      <w:r>
        <w:rPr>
          <w:rFonts w:ascii="Arial" w:cs="Arial" w:eastAsia="Arial" w:hAnsi="Arial"/>
          <w:sz w:val="22"/>
          <w:szCs w:val="22"/>
          <w:b w:val="1"/>
          <w:bCs w:val="1"/>
          <w:color w:val="auto"/>
        </w:rPr>
        <w:t>Purchase Contracts</w:t>
      </w:r>
    </w:p>
    <w:p>
      <w:pPr>
        <w:jc w:val="center"/>
        <w:ind w:right="-39"/>
        <w:spacing w:after="0" w:line="230" w:lineRule="auto"/>
        <w:rPr>
          <w:sz w:val="20"/>
          <w:szCs w:val="20"/>
          <w:color w:val="auto"/>
        </w:rPr>
      </w:pPr>
      <w:r>
        <w:rPr>
          <w:rFonts w:ascii="Arial" w:cs="Arial" w:eastAsia="Arial" w:hAnsi="Arial"/>
          <w:sz w:val="22"/>
          <w:szCs w:val="22"/>
          <w:b w:val="1"/>
          <w:bCs w:val="1"/>
          <w:color w:val="auto"/>
        </w:rPr>
        <w:t>Depositary Shares</w:t>
      </w:r>
    </w:p>
    <w:p>
      <w:pPr>
        <w:jc w:val="center"/>
        <w:ind w:right="-39"/>
        <w:spacing w:after="0" w:line="231" w:lineRule="auto"/>
        <w:rPr>
          <w:sz w:val="20"/>
          <w:szCs w:val="20"/>
          <w:color w:val="auto"/>
        </w:rPr>
      </w:pPr>
      <w:r>
        <w:rPr>
          <w:rFonts w:ascii="Arial" w:cs="Arial" w:eastAsia="Arial" w:hAnsi="Arial"/>
          <w:sz w:val="22"/>
          <w:szCs w:val="22"/>
          <w:b w:val="1"/>
          <w:bCs w:val="1"/>
          <w:color w:val="auto"/>
        </w:rPr>
        <w:t>Rights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This prospectus relates to common stock, preferred stock, warrants, purchase contracts, depositary shares, rights and units that we may sell from time to time in one or more offerings up to a total dollar amount of $100,000,000 on terms to be determined at the time of sale. We will provide specific terms of these securities in supplements to this prospectus. You should read this prospectus and any supplement carefully before you invest. This prospectus may not be used to offer and sell securities unless accompanied by a prospectus supplement for those securities.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traded on the Nasdaq Global Select Market under the symbol “CMRG.”</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These securities may be sold directly by us, through dealers or agents designated from time to time, to or through underwriters or through a combination of these methods. See “Plan of Distribution” in this prospectus. We may also describe the plan of distribution for any particular offering of these securities in any applicable prospectus supplement. If any agents, underwriters or dealers are involved in the sale of any securities in respect of which this prospectus is being delivered, we will disclose their names and the nature of our arrangements with them in a prospectus supplement. The net proceeds we expect to receive from any such sale will also be included in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0"/>
          <w:szCs w:val="20"/>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See “</w:t>
      </w:r>
      <w:hyperlink w:anchor="page5">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ind w:right="74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The date of this prospectus is ___________, 2009</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80" w:type="dxa"/>
            <w:vAlign w:val="bottom"/>
            <w:gridSpan w:val="3"/>
          </w:tcPr>
          <w:p>
            <w:pPr>
              <w:ind w:left="9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20"/>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20"/>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About Casual Male Retail Group, Inc.</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Risk Factors</w:t>
              </w:r>
            </w:hyperlink>
          </w:p>
        </w:tc>
        <w:tc>
          <w:tcPr>
            <w:tcW w:w="1780" w:type="dxa"/>
            <w:vAlign w:val="bottom"/>
            <w:tcBorders>
              <w:top w:val="single" w:sz="8" w:color="0000EE"/>
            </w:tcBorders>
            <w:gridSpan w:val="11"/>
          </w:tcPr>
          <w:p>
            <w:pPr>
              <w:spacing w:after="0"/>
              <w:rPr>
                <w:sz w:val="17"/>
                <w:szCs w:val="17"/>
                <w:color w:val="auto"/>
              </w:rPr>
            </w:pPr>
          </w:p>
        </w:tc>
        <w:tc>
          <w:tcPr>
            <w:tcW w:w="846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Special Note Regarding Forward-Looking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Ratio of Earnings to Combined Fixed Charges and Preferred Dividends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0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612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The Securities We May Offer</w:t>
              </w:r>
            </w:hyperlink>
          </w:p>
        </w:tc>
        <w:tc>
          <w:tcPr>
            <w:tcW w:w="90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Description of Common Stock</w:t>
              </w:r>
            </w:hyperlink>
          </w:p>
        </w:tc>
        <w:tc>
          <w:tcPr>
            <w:tcW w:w="896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Description of Preferred Stock</w:t>
              </w:r>
            </w:hyperlink>
          </w:p>
        </w:tc>
        <w:tc>
          <w:tcPr>
            <w:tcW w:w="898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Depositary Shares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7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Description of Warrants</w:t>
              </w:r>
            </w:hyperlink>
          </w:p>
        </w:tc>
        <w:tc>
          <w:tcPr>
            <w:tcW w:w="640" w:type="dxa"/>
            <w:vAlign w:val="bottom"/>
            <w:tcBorders>
              <w:top w:val="single" w:sz="8" w:color="0000EE"/>
            </w:tcBorders>
            <w:gridSpan w:val="4"/>
          </w:tcPr>
          <w:p>
            <w:pPr>
              <w:spacing w:after="0"/>
              <w:rPr>
                <w:sz w:val="17"/>
                <w:szCs w:val="17"/>
                <w:color w:val="auto"/>
              </w:rPr>
            </w:pPr>
          </w:p>
        </w:tc>
        <w:tc>
          <w:tcPr>
            <w:tcW w:w="880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Description of Purchase Contracts</w:t>
              </w:r>
            </w:hyperlink>
          </w:p>
        </w:tc>
        <w:tc>
          <w:tcPr>
            <w:tcW w:w="872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Description of Rights</w:t>
              </w:r>
            </w:hyperlink>
          </w:p>
        </w:tc>
        <w:tc>
          <w:tcPr>
            <w:tcW w:w="960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Description of Units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Certain Anti-Takeover and Indemnification Provisions of our Certificate of Incorporation and By-laws, Shareholder Rights Agreement and Delaware</w:t>
              </w:r>
            </w:hyperlink>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Law</w:t>
              </w:r>
            </w:hyperlink>
          </w:p>
        </w:tc>
        <w:tc>
          <w:tcPr>
            <w:tcW w:w="9940" w:type="dxa"/>
            <w:vAlign w:val="bottom"/>
            <w:tcBorders>
              <w:top w:val="single" w:sz="8" w:color="0000EE"/>
            </w:tcBorders>
            <w:gridSpan w:val="17"/>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Plan of Distribution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Experts</w:t>
              </w:r>
            </w:hyperlink>
          </w:p>
        </w:tc>
        <w:tc>
          <w:tcPr>
            <w:tcW w:w="970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20" w:type="dxa"/>
            <w:vAlign w:val="bottom"/>
            <w:gridSpan w:val="1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5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Legal Matters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980" w:type="dxa"/>
            <w:vAlign w:val="bottom"/>
            <w:gridSpan w:val="4"/>
            <w:shd w:val="clear" w:color="auto" w:fill="0000EE"/>
          </w:tcPr>
          <w:p>
            <w:pPr>
              <w:spacing w:after="0" w:line="20" w:lineRule="exact"/>
              <w:rPr>
                <w:sz w:val="1"/>
                <w:szCs w:val="1"/>
                <w:color w:val="auto"/>
              </w:rPr>
            </w:pPr>
          </w:p>
        </w:tc>
        <w:tc>
          <w:tcPr>
            <w:tcW w:w="1820" w:type="dxa"/>
            <w:vAlign w:val="bottom"/>
            <w:gridSpan w:val="1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5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Where You Can Find More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800" w:type="dxa"/>
            <w:vAlign w:val="bottom"/>
            <w:gridSpan w:val="15"/>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5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Incorporation of Certain Documents By Reference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about the Information Presented in this Prospectus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contained or incorporated by reference in this prospectus or any applicable prospectus supplement. We have not authorized any other person to provide you with different information. If anyone provides you with different or inconsistent information, you should not rely on it. For further information, see the section of this prospectus entitled “Where You Can Find More Information.” We are not making an offer to sell these securities in any jurisdiction where the offer or sale is not permitted.</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You should not assume that the information appearing in this prospectus or any applicable prospectus supplement is accurate as of any date other than the date on the front cover of this prospectus or the applicable prospectus supplement, or that the information contained in any document incorporated by reference is accurate as of any date other than the date of the document incorporated by reference, regardless of the time of delivery of this prospectus or any prospectus supplement or any sale of a security. Our business, financial condition, results of operations and prospects may have changed since such dates.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in one or more offerings up to a total dollar amount of $100,000,000. This prospectus provides you with a general description of the securities we may offer. Each time we sell securities, we will provide a prospectus supplement that will contain specific information about the securities being offered and the terms of that offering. The prospectus supplement may also add to, update or change information contained in this prospectus. You should read both this prospectus and any prospectus supplement together with the additional information described under the heading “Where You Can Find More Information” carefully before making an investment decision.</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the context otherwise requires, the terms “Casual Male,” “the Company,” “our company,” “we,” “us,” “our” and similar names refer collectively to Casual Male Retail Group, Inc. and its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CASUAL MALE RETAIL GROUP, INC.</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are the largest specialty retailer of big and tall men’s apparel with retail operations in the United States and London, England and direct businesses throughout the United States, Canada, and Europe. We operate under the trade names of Casual Male XL, Casual Male XL Outlets, Rochester Clothing, B &amp; T Factory Direct, Shoes XL and Living XL. We operate 401 Casual Male XL retail stores, 65 Casual Male XL outlet stores, and 27 Rochester Clothing stores. Our direct business includes several catalogs and e-commerce sites which support our brands and product extensions.</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are incorporated in the state of Delaware. Our principal executive offices are located at 555 Turnpike Street, Canton, MA 02021. Our telephone number is (781) 828-9300. Our Internet address is www.casualmaleXL.com. Information contained on our website or that is accessible through our website should not be considered to be part of this prospectus.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Investing in our securities involves significant risks. Please see the risk factors under the heading “Risk Factors” in our most recent Annual Report on Form 10-K, as revised or supplemented by our Quarterly Reports on Form 10-Q filed with the SEC since the filing of our most recent Annual Report on Form 10-K, each of which are on file with the SEC and are incorporated by reference in this prospectus. Before making an investment decision, you should carefully consider these risks as well as other information we include or incorporate by reference in this prospectus and any prospectus supplement. The risks and uncertainties we have described are not the only ones facing our company. Additional risks and uncertainties not presently known to us or that we currently deem immaterial may also affect our business operations.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prospectus includes and incorporates forward-looking statements within the meaning of Section 27A of the Securities Act of 1933, as amended (the “Securities Act”), and Section 21E of the Securities Exchange Act of 1934, as amended (the “Exchange Act”). We intend such forward-looking statements to be covered by the safe harbor provisions for forward-looking statements contained in the United States Private Securities Litigation Reform Act of 1995. All statements, other than statements of historical facts, included or incorporated in this prospectus regarding our strategy, future operations, financial position, future revenues, projected costs, prospects, plans and objectives of management are forward-looking statements. The words “anticipates,” “believes,” “estimates,” “expects,” “intends,” “may,” “plans,” “projects,” “will,” “would” and similar expressions are intended to identify forward-looking statements, although not all forward-looking statements contain these identifying words. We cannot guarantee that we actually will achieve the plans, intentions or expectations disclosed in our forward-looking statements and you should not place undue reliance on our forward-looking statements. There are a number of important factors that could cause our actual results to differ materially from those indicated by these forward-looking statements. These important factors include the factors that we identify in the documents we incorporate by reference in this prospectus, as well as other information we include or incorporate by reference in this prospectus and any prospectus supplement. See “Risk Factors.” You should read these factors and other cautionary statements made in this prospectus and any accompanying prospectus supplement, and in the documents we incorporate by reference as being applicable to all related forward-looking statements wherever they appear in the prospectus and any accompanying prospectus supplement, and in the documents incorporated by reference. We do not assume any obligation to update any forward-looking statements made by us.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COMBINED FIXED CHARGES AND PREFERRED DIVIDENDS</w:t>
      </w:r>
    </w:p>
    <w:p>
      <w:pPr>
        <w:spacing w:after="0" w:line="1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following table sets forth the ratio of earnings to combined fixed charges and preferred dividends for each of the last five fiscal years and for the three months ended May 2, 2009. In calculating these ratios, earnings include pre-tax income from continuing operations before adjustment for minority interest in consolidated subsidiaries plus fixed charges and exclude equity in net income of our affiliates. Fixed charges include gross interest expense, amortization of deferred financing expenses and an amount equivalent to interest included in rental charges. We have assumed that one-third of rental expense is representative of the interest factor. We have had no shares of preferred stock outstanding since August 2002 and, accordingly, have not paid any dividends on preferred shares during the periods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Three Months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Fiscal</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160" w:type="dxa"/>
            <w:vAlign w:val="bottom"/>
          </w:tcPr>
          <w:p>
            <w:pPr>
              <w:spacing w:after="0"/>
              <w:rPr>
                <w:sz w:val="12"/>
                <w:szCs w:val="12"/>
                <w:color w:val="auto"/>
              </w:rPr>
            </w:pPr>
          </w:p>
        </w:tc>
        <w:tc>
          <w:tcPr>
            <w:tcW w:w="10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May 2, 2009</w:t>
            </w:r>
          </w:p>
        </w:tc>
        <w:tc>
          <w:tcPr>
            <w:tcW w:w="22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2"/>
                <w:szCs w:val="12"/>
                <w:color w:val="auto"/>
              </w:rPr>
            </w:pPr>
          </w:p>
        </w:tc>
        <w:tc>
          <w:tcPr>
            <w:tcW w:w="4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Combined Fixed Charges and Preferred Dividends (1)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18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fiscal year 2008, earnings were not sufficient to cover fixed charges by approximately $79.4 million. Results for fiscal 2008 included non-cash charges totaling approximately $71.4 million for the impairment of goodwill, trademarks and certain fixed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currently intend to use the estimated net proceeds from the sale of these securities for working capital and other general corporate purposes, including, without limitation, repaying debt, and possibly acquisitions of other businesses. Working capital and other general corporate purposes may include repaying debt, making capital expenditures, funding general and administrative expenses and any other purpose that we may specify in any prospectus supplement. We have not yet determined the amount of net proceeds to be used specifically for any of the foregoing purposes. Accordingly, our management will have significant discretion and flexibility in applying the net proceeds from the sale of these securities. Pending any use, as described above, we intend to invest the net proceeds in high-quality, short-term, interest-bearing securities. Our plans to use the estimated net proceeds from the sale of these securities may change, and if they do, we will update this information in a prospectus supplement.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WE MAY OFFER</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descriptions of the securities contained in this prospectus, together with the applicable prospectus supplements, summarize the material terms and provisions of the various types of securities that we may offer. We will describe in the applicable prospectus supplement relating to any securities the particular terms of the securities offered by that prospectus supplement. If we so indicate in the applicable prospectus supplement, the terms of the securities may differ from the terms we have summarized below. We will also include in the prospectus supplement information, where applicable, about material United States federal income tax considerations relating to the securities, and the securities exchange, if any, on which the securities will be listed.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from time to time, in one or more offerings:</w:t>
      </w:r>
    </w:p>
    <w:p>
      <w:pPr>
        <w:spacing w:after="0" w:line="9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depositary shares or units;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purchase contracts;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rights to purchase common stock, preferred stock, depositary shares or warrants;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units comprised of common stock, preferred stock, depositary shares, warrants and purchase contracts in any combination.</w:t>
      </w:r>
    </w:p>
    <w:p>
      <w:pPr>
        <w:spacing w:after="0" w:line="171"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In this prospectus, we refer to the common stock, preferred stock, depositary shares, warrants, purchase contracts, rights and units collectively as “securities.” The total dollar amount of all securities that we may issue will not exceed $100,000,000.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may not be used to consummate a sale of securities unless it is accompanied by a prospectus supplement.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COMMON STOCK</w:t>
      </w:r>
    </w:p>
    <w:p>
      <w:pPr>
        <w:spacing w:after="0" w:line="1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following is a description of the material terms and provisions of our common stock. It may not contain all the information that is important to you. You can access complete information by referring to our restated certificate of incorporation and bylaws, each as amended to date, which we refer to as our “certificate of incorporation” and “bylaws.”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 Delaware corporation. Under our certificate of incorporation, we have authority to issue 75,000,000 shares of common stock, par value $0.01 per share. As of May 30, 2009, there were 42,107,670 shares of common stock issued and outstanding. All shares of common stock will, when issued, be duly authorized, fully paid and nonassessable. Accordingly, the full price for the outstanding shares of common stock will have been paid at issuance and any holder of our common stock will not be later required to pay us any additional money for such common stock.</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as of May 30, 2009:</w:t>
      </w:r>
    </w:p>
    <w:p>
      <w:pPr>
        <w:spacing w:after="0" w:line="90" w:lineRule="exact"/>
        <w:rPr>
          <w:sz w:val="20"/>
          <w:szCs w:val="20"/>
          <w:color w:val="auto"/>
        </w:rPr>
      </w:pPr>
    </w:p>
    <w:p>
      <w:pPr>
        <w:ind w:left="900" w:right="3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were outstanding warrants to purchase an aggregate of up to 1,058,000 shares of our common stock at a weighted average exercise price of $6.36 per share;</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were an aggregate of 3,838,051 shares of our common stock subject to outstanding stock options at a weighted average exercise price of $4.73 per share;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1,062,887 shares of our common stock were reserved for future issuances under our stock option plan;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657,500 shares of unvested restricted stock are subject to outstanding awards.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Subject to the prior rights of any series of preferred stock which may from time to time be outstanding, the holders of our common stock are entitled to receive such dividends, if any, as may be declared from time to time by our board of directors out of legally available funds. In the event we are liquidated, dissolved or our affairs are wound up, after we pay or make adequate provision for all of our known debts and liabilities, each holder of common stock will receive dividends pro rata out of assets that we can legally use to pay distributions, subject to any rights that are granted to the holders of any class or series of preferred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90"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Holders of common stock will have the exclusive power to vote on all matters presented to our stockholders, including the election of directors, except as otherwise provided by Delaware law or as provided with respect to any other class or series of stock. Holders of common stock are entitled to one vote per share. There is no cumulative voting in the election of our directors, which means that, subject to any rights to elect directors that are granted to the holders of any class or series of preferred stock, a plurality of the votes cast at a meeting of stockholders at which a quorum is present is sufficient to elect a director.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9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Subject to the preferential rights of any other class or series of stock, all shares of common stock have equal dividend, distribution, liquidation and other rights, and have no preference, appraisal or exchange rights, except for any appraisal rights provided by Delaware law. Furthermore, holders of common stock have no conversion, sinking fund or redemption rights, or preemptive rights to subscribe for any of our securities.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Its address is 59 Maiden Lane, Plaza Level, New York, NY 10038.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Select Market under the symbol “CMRG.”</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240" w:top="459" w:right="5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STOCK</w:t>
      </w:r>
    </w:p>
    <w:p>
      <w:pPr>
        <w:spacing w:after="0" w:line="17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following is a description of the material terms and provisions of our preferred stock. It may not contain all the information that is important to you. You can access complete information by referring to our certificate of incorporation and bylaws and to any applicable amendment to the certificate of incorporation designating terms of a series of preferred stock, including, without limitation, certificates of designation.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our certificate of incorporation, we have authority to issue 1,000,000 shares of preferred stock, par value $.01 per share, of which 50,000 shares have been designated as “Series A Junior Participating Preferred Stock,” as discussed below.</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December 8, 2008, our board of directors adopted a Shareholder Rights Agreement, or the Rights Agreement, under which our board of directors authorized and declared a dividend of one preferred stock purchase right for each share of our common stock. Each right entitles the registered holder to purchase from us one one-thousandth of a share of Series A Junior Participating Preferred Stock at a purchase price of $5.00 per share, subject to adjustment. The rights become exercisable upon the occurrence of certain events and may make the acquisition of our company more difficult and expensive. Under the terms of the original Rights Agreement (prior to the amendment discussed below), in the event a person or group obtains beneficial ownership of 15% or more of our common stock, then under certain circumstances holders of the rights will have the ability to purchase, for the $5.00 purchase price, as adjusted, either (i) a number of shares of our common stock having a market value of twice the purchase price or (ii) in the event of a business combination or sale in which we are not the surviving corporation, a number of shares of common stock of the surviving corporation having a market value of twice the purchase price. The rights will expire at the close of business on December 8, 2009, unless earlier redeemed or exchanged by us.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June 29, 2009, in order to help preserve and maximize the long-term value of our net operating loss carryforwards and related tax benefits, we amended the Rights Agreement to, among other things, reduce the triggering beneficial ownership threshold from 15% of our outstanding common stock to 5% of our securities, as defined therein, and otherwise expand the definition of “Acquiring Person” to include persons or groups that would be considered “5-percent shareholders” under Section 382 of the Internal Revenue Code of 1986, as amended, and the Treasury Regulations thereunder. The amendment is effective until the earlier of (i) the date immediately following the date of our 2009 annual meeting of stockholders and (ii) August 31, 2009. After that date, the triggering threshold would again be 15% of our outstanding common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Rights Agreement may delay or prevent an acquisition of us that stockholders may consider favorable, which could decrease the value of our common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do not have any shares of preferred stock outstanding as of the date of this prospectus. Shares of preferred stock may be issued from time to time, in one or more series, as authorized by our board of directors. Prior to the issuance of shares of each series, the board of directors is required by the Delaware General Corporation Law and our certificate of incorporation to fix, for each series, the designations, powers and preferences and the relative, participating, optional or other special rights of the shares of each series and any qualifications, limitations and restrictions thereof, as are permitted by Delaware law. Our board of directors could authorize the issuance of shares of preferred stock with terms and conditions that could have the effect of discouraging a takeover or other transactions that holders of common stock might believe to be in their best interests or in which holders of some, or a majority, of the shares of common stock might receive a premium for their shares over the then market price of such shares of common stock. When issued, the preferred stock will be fully paid and nonassessable and will have no preemptive rights.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w:t>
      </w:r>
    </w:p>
    <w:p>
      <w:pPr>
        <w:spacing w:after="0" w:line="9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If we decide to issue any preferred stock pursuant to this prospectus, we will describe in a prospectus supplement the terms of the preferred stock, including, if applicable, the following:</w:t>
      </w:r>
    </w:p>
    <w:p>
      <w:pPr>
        <w:spacing w:after="0" w:line="51"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title of the series and stated value;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number of shares of the series of preferred stock offered, the liquidation preference per share, if applicable, and the offering price;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applicable dividend rate(s) or amount(s), period(s) and payment date(s) or method(s) of calculation thereof;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from which dividends on the preferred stock will accumulate, if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procedures for auction and remarketing;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provisions for a sinking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applicable provision for redemption and the price or prices, terms and conditions on which preferred stock may be redeemed;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securities exchange listing;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voting rights and powers;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9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and conditions, if applicable, of conversion into shares of our common stock, including the conversion price or rate or manner of calculation thereof;</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relative ranking and preference as to dividend rights and rights upon our liquidation, dissolution or the winding up of our affairs;</w:t>
      </w:r>
    </w:p>
    <w:p>
      <w:pPr>
        <w:spacing w:after="0" w:line="11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stock ranking senior to or on a parity with such series of preferred stock as to dividend rights and rights upon our liquidation, dissolution or the winding up of our affairs;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such series of preferred stock.</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DEPOSITARY SHARES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issue receipts for depositary shares representing fractional shares of preferred stock. The fractional share of the applicable series of preferred stock represented by each depositary share will be set forth in the applicable prospectus supplement.</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shares of any series of preferred stock underlying any depositary shares that we may sell under this prospectus will be deposited under a deposit agreement between us and a depositary selected by us. Subject to the terms of the deposit agreement, each holder of a depositary share will be entitled, in proportion to the applicable fraction of a share of the preferred stock underlying the depositary share, to all of the rights, preferences, and privileges, and will be subject to the qualifications and restrictions, of the preferred stock underlying that depositary share.</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depositary shares will be evidenced by depositary receipts issued under the deposit agreement. Depositary receipts will be distributed to the holders of the depositary shares that are sold in the applicable offering. We will incorporate by reference into the registration statement of which this prospectus is a part the form of any deposit agreement, including a form of depositary receipt, that describes the terms of any depositary shares we are offering before the issuance of the related depositary shares. The following summaries of material provisions of the deposit agreement, the depositary shares, and the depositary receipts are subject to, and qualified in their entirety by reference to, all of the provisions of the deposit agreement applicable to a particular offering of depositary shares. We urge you to read the prospectus supplements relating to any depositary shares that are sold under this prospectus, as well as the complete deposit agreement and depositary receipt.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Pending the preparation of definitive depositary receipts, the depositary may, upon our written order, issue temporary depositary receipts substantially identical to the definitive depositary receipts but not in definitive form. These temporary depositary receipts will entitle their holders to all of the rights of definitive depositary receipts. Temporary depositary receipts will then be exchangeable for definitive depositary receipts at our expense.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depositary will distribute all cash dividends or other cash distributions received with respect to the underlying preferred stock to the record holders of depositary shares in proportion to the number of depositary shares owned by those holders.</w:t>
      </w:r>
    </w:p>
    <w:p>
      <w:pPr>
        <w:spacing w:after="0" w:line="132"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If there is a distribution other than in cash, the depositary will distribute property received by it to the record holders of depositary shares in proportion to the number of depositary shares owned by those holders, unless the depositary determines that it is not feasible to do so. If this occurs, the depositary may, with our approval, sell the property and distribute the net proceeds from the sale to those holders in proportion to the number of depositary shares owned by them.</w:t>
      </w:r>
    </w:p>
    <w:p>
      <w:pPr>
        <w:spacing w:after="0" w:line="88"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The amount distributed to holders of depositary shares will be reduced by any amounts required to be withheld by us or the preferred stock depositary on account of taxes or other governmental charges.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Underlying Preferred Stock</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Except as otherwise provided in a prospectus supplement, holders may surrender depositary receipts at the principal office of the depositary and, upon payment of any unpaid amount due to the depositary, be entitled to receive the number of whole shares of underlying preferred stock and all money and other property represented by the related depositary shares. We will not issue any partial shares of preferred stock. If the holder delivers depositary receipts evidencing a number of depositary shares that represent more than a whole number of shares of preferred stock, the depositary will issue a new depositary receipt evidencing the excess number of depositary shares to the holder.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preferred stock underlying any depositary shares we may sell under this prospectus is subject to redemption, the depositary shares will be redeemed from the proceeds received by the depositary resulting from any such redemption, in whole or in part, of that underlying preferred stock. The redemption price per depositary share will be equal to the applicable fraction of the redemption price per share payable with respect to the underlying preferred stock. Whenever we redeem shares of underlying preferred stock that are held by the depositary, the depositary will redeem, as of the same redemption date, the number of depositary shares representing the shares of underlying preferred stock so redeemed. If fewer than all of the depositary shares are to be redeemed, the depositary shares to be redeemed will be selected by lot or proportionately, as may be determined by the depositary.</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After the date fixed for redemption, the depositary shares called for redemption will no longer be deemed to be outstanding, and all rights of the holders of the depositary shares will cease, except the right to receive the monies payable and any other property to which the holders were entitled upon the redemption upon surrender to the preferred stock depositary of the depositary receipts evidencing the depositary shares. Any funds deposited by us with the preferred stock depositary for any depositary shares that the holders fail to redeem will be returned to us after a period of two years from the date the funds are deposited.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Upon receipt of notice of any meeting at which holders of the preferred stock underlying any depositary shares that we may sell under this prospectus are entitled to vote, the depositary will mail the information contained in the notice to the record holders of the depositary shares. Each record holder of the depositary shares on the record date, which will be the same date as the record date for the underlying preferred stock, will be entitled to instruct the depositary as to the exercise of the voting rights pertaining to the amount of the underlying preferred stock represented by the holder’s depositary shares. The depositary will then try, as far as practicable, to vote the number of shares of preferred stock underlying those depositary shares in accordance with those instructions, and we will agree to take all reasonable actions which may be deemed necessary by the depositary to enable the depositary to do so. The depositary will not vote the underlying preferred stock to the extent it does not receive specific instructions with respect to the depositary shares representing such preferred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Preferred Stock</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the prospectus supplement relating to any depositary shares that we may sell under this prospectus states that the underlying preferred stock is convertible into our common stock or other securities, the following will apply. The depositary shares, as such, will not be convertible into any of our securities. Rather, any holder of the depositary shares may surrender the related depositary receipts to the depositary with written instructions that direct us to cause conversion of the preferred stock represented by the depositary shares into or for whole shares of our common stock or other securities, as applicable. Upon receipt of those instructions and any amounts payable by the holder in connection with the conversion, we will cause the conversion using the same procedures as those provided for conversion of the underlying preferred stock. If only some of a holder’s depositary shares are converted, a new depositary receipt or receipts will be issued to the holder for any depositary shares not converted.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at any time be amended by agreement between us and the depositary. However, any amendment which materially and adversely alters the rights of the holders of depositary shares will not be effective until 90 days after notice of that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amendment has been given to the holders. Each holder of depositary shares at the time any amendment becomes effective shall be deemed to consent and agree to that amendment and to be bound by the deposit agreement as so amended. The deposit agreement may be terminated by us or by the depositary only if all outstanding depositary shares have been redeemed or converted into any other securities into which the underlying preferred stock is convertible or there has been a final distribution, including to holders of depositary receipts, of the underlying preferred stock in connection with our liquidation, dissolution, or winding up.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will pay all transfer and other taxes and governmental charges arising solely from the existence of the depositary arrangement. We will also pay charges of the depositary in connection with the initial deposit of the preferred stock, the initial issuance of the depositary shares, any redemption of the preferred stock, and all withdrawals of preferred stock by owners of depositary shares. Holders of depositary receipts will pay transfer, income, and other taxes and governmental charges and other specified charges as provided in the deposit arrangement for their accounts. If these charges have not been paid, the depositary may refuse to transfer depositary shares, withhold dividends and distributions, and sell the depositary shares evidenced by the depositary receipt.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Neither we nor the depositary will be liable if either of us is prevented or delayed by law or any circumstance beyond our control in performing our respective obligations under the deposit agreement. Our obligations and those of the depositary will be limited to performance of our respective duties under the deposit agreement without, in our case, negligence or bad faith or, in the case of the depositary, negligence or willful misconduct. We and the depositary may rely upon advice of counsel or accountants, or upon information provided by persons presenting the underlying preferred stock for deposit, holders of depositary receipts, or other persons believed by us in good faith to be competent and on documents believed to be genuine.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Trust Office of Preferred Stock Depositary</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preferred stock depositary’s corporate trust office will be set forth in the applicable prospectus supplement relating to a series of depositary shares. The preferred stock depositary will act as transfer agent and registrar for depositary receipts, and, if shares of a series of preferred stock are redeemable, the preferred stock depositary will act as redemption agent for the corresponding depositary receipts.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depositary may resign at any time by delivering notice to us of its election to resign. We may remove the depositary at any time. Any resignation or removal will take effect upon the appointment of a successor depositary and its acceptance of the appointment. The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to Holders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will deliver all required reports and communications to holders of the preferred stock to the preferred stock depositary, and it will forward those reports and communications to the holders of depositary shares. Upon request, the preferred stock depositary will provide for inspection to the holders of depositary shares the transfer books of the depositary and the list of holders of receipts; provided that any requesting holder certifies to the preferred stock depositary that such inspection is for a proper purpose reasonably related to such person’s interest as an owner of depositary shares evidenced by the receipts.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177"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We may issue warrants for the purchase of common stock, preferred stock, depositary shares or units. Warrants may be issued independently or together with common stock, preferred stock, depositary shares or units, and the warrants may be attached to or separate from such securities. We may issue warrants directly or under a warrant agreement to be entered into between us and a warrant agent. We will name any warrant agent in the applicable prospectus supplement. Any warrant agent will act solely as our agent in connection with the warrants of a particular series and will not assume any obligation or relationship of agency or trust for or with any holders or beneficial owners of warrants.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is a description of the general terms and provisions of any warrants we may issue and may not contain all the information that is important to you. You can access complete information by referring to the applicable prospectus supplement. In the applicable prospectus supplement, we will describe the terms of the warrants and any applicable warrant agreement, including, where applicable, the following:</w:t>
      </w:r>
    </w:p>
    <w:p>
      <w:pPr>
        <w:spacing w:after="0" w:line="2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designation and terms of the securities with which the warrants are issued and the number of warrants issued with each such security;</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on and after which the warrants and the related securities will be separately transferable;</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shares of common stock, preferred stock, depositary shares or units, as the case may be, purchasable upon the exercise of one warrant and the price at which these securities may be purchased upon such exercise;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 and the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manner in which the warrant agreement and warrants may be modified;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 of holding or exercising the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PURCHASE CONTRACTS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may issue purchase contracts, including contracts obligating holders to purchase from us, and for us to sell to holders, a specific or varying number of shares of common stock or preferred stock, depositary shares, warrants, or any combination of the above, at a future date or dates. Alternatively, the purchase contracts may obligate us to purchase from holders, and obligate holders to sell to us, a specific or varying number of shares of common stock or preferred stock, depositary shares, warrants, or any combination of the above. The price of the securities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the other securities described in this prospectus or securities of third parties, including U.S. Treasury securities, securing the holder’s obligations under the purchase contract. If we issue a purchase contract as part of a unit, the applicable prospectus supplement will state whether the purchase contract will be separable from the other securities in the unit before the purchase contract settlement date.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 and in certain circumstances, we may deliver newly issued prepaid purchase contracts, often known as prepaid securities, upon release to a holder of any collateral securing such holder’s obligations under the original purchase contract.</w:t>
      </w:r>
    </w:p>
    <w:p>
      <w:pPr>
        <w:spacing w:after="0" w:line="12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applicable prospectus supplement will describe the terms of any purchase contracts in respect of which this prospectus is being delivered, including, to the extent applicable, the following:</w:t>
      </w:r>
    </w:p>
    <w:p>
      <w:pPr>
        <w:spacing w:after="0" w:line="51" w:lineRule="exact"/>
        <w:rPr>
          <w:sz w:val="20"/>
          <w:szCs w:val="20"/>
          <w:color w:val="auto"/>
        </w:rPr>
      </w:pPr>
    </w:p>
    <w:p>
      <w:pPr>
        <w:ind w:left="900" w:right="340" w:hanging="446"/>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purchase contracts are to be prepaid or not;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purchase contracts will be issued as part of a unit and, if so, the other securities comprising the unit;</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Material U.S. federal income tax consideration applicable to the purchase contracts will also be discussed in the applicable prospectus supplement.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RIGHTS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may issue rights to purchase common stock, preferred stock, depositary shares warrants that we may offer to our securityholders.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a bank or trust company,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relating to any rights that we offer will include specific terms relating to the offering, including, among other matters:</w:t>
      </w:r>
    </w:p>
    <w:p>
      <w:pPr>
        <w:spacing w:after="0" w:line="113"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of determining the security holders entitled to the rights distribution;</w:t>
      </w:r>
    </w:p>
    <w:p>
      <w:pPr>
        <w:spacing w:after="0" w:line="9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number of rights issued and the aggregate number of shares of common stock, preferred stock, depositary shares or warrants purchasable upon exercise of the rights;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conditions to completion of the rights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rights will expire;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applicable federal income tax considerations.</w:t>
      </w:r>
    </w:p>
    <w:p>
      <w:pPr>
        <w:spacing w:after="0" w:line="171"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Each right would entitle the holder of the rights to purchase for cash the amount of shares of common stock, preferred stock, depositary shares or warrants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8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24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description, together with the additional information we include in any applicable prospectus supplement, summarizes the material terms and provisions of the units that we may offer under this prospectus. Units may be offered independently or together with common stock, preferred stock, depositary shares and/or warrants offered by any prospectus supplement, and may be attached to or separate from those securities.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issue units consisting of common stock, preferred stock, depositary shares, warrants, or any combination thereof.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describe in the applicable prospectus supplement the terms of the series of units, including the following:</w:t>
      </w:r>
    </w:p>
    <w:p>
      <w:pPr>
        <w:spacing w:after="0" w:line="90" w:lineRule="exact"/>
        <w:rPr>
          <w:sz w:val="20"/>
          <w:szCs w:val="20"/>
          <w:color w:val="auto"/>
        </w:rPr>
      </w:pPr>
    </w:p>
    <w:p>
      <w:pPr>
        <w:ind w:left="900" w:right="3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provisions described in this section, as well as those described under “Description of Common Stock,” “Description of Preferred Stock,” “Description of Depositary Shares,” “Description of Warrants,” “Description of Purchase Contracts” and “Description of Units” will apply to each unit and to any common stock, preferred stock, depositary share or warrant included in each unit,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without the consent of the related unit agent or the holder of any other unit, may enforce by appropriate legal action its rights as holder under any security included in the unit.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96"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ANTI-TAKEOVER AND INDEMNIFICATION PROVISIONS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CERTIFICATE OF INCORPORATION AND BY-LAWS, SHAREHOLDER RIGHTS AGREEMENT AND DELAWARE LAW</w:t>
      </w:r>
    </w:p>
    <w:p>
      <w:pPr>
        <w:spacing w:after="0" w:line="16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following is a summary of certain anti-takeover and indemnification provisions of Delaware law, our certificate of incorporation and bylaws and our Shareholder Rights Agreement, as amended, which affect us and our stockholders. The description below is intended as only a summary. You can access complete information by referring to Delaware General Corporation Law, our certificate of incorporation and bylaws, and our Shareholder Rights Agreement, as amended, and the following summary is qualified in its entirety by reference to such documents and the applicable provisions of the Delaware General Corporation Law.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by-laws provide that, except as otherwise required by law and subject to the rights, if any, of the holders of any series of preferred stock, only our board of directors may call a special meeting of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of Director Nominations and Stockholder Proposals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by-laws include advance notice and informational requirements and time limitations on any director nomination or any new proposal which a stockholder wishes to make at an annual meeting of stockholders. Generally, a stockholder’s notice of a director nomination or proposal will be timely if delivered to our corporate secretary at our principal executive offices not later than the close of business on the 75th day nor earlier than the close of business on the 120th day prior to the first anniversary of the preceding year’s annual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Blank Check Preferred Stock</w:t>
      </w:r>
    </w:p>
    <w:p>
      <w:pPr>
        <w:spacing w:after="0" w:line="9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We have shares of preferred stock available for future issuance without stockholder approval, except to the extent holders of preferred stock have a consent right under the terms of their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Purchase Rights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December 8, 2008, our board of directors adopted a Shareholder Rights Agreement, or the Rights Agreement, under which our board of directors authorized and declared a dividend of one preferred stock purchase right for each share of our common stock. Each right entitles the registered holder to purchase from us one one-thousandth of a share of Series A Junior Participating Preferred Stock at a purchase price of $5.00 per share, subject to adjustment. The rights become exercisable upon the occurrence of certain events and may make the acquisition of our company more difficult and expensive. Under the terms of the original Rights Agreement (prior to the amendment discussed below), in the event a person or group obtains beneficial ownership of 15% or more of our common stock, then under certain circumstances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holders of the rights will have the ability to purchase, for the $5.00 purchase price, as adjusted, either (i) a number of shares of our common stock having a market value of twice the purchase price or (ii) in the event of a business combination or sale in which we are not the surviving corporation, a number of shares of common stock of the surviving corporation having a market value of twice the purchase price. The rights will expire at the close of business on December 8, 2009, unless earlier redeemed or exchanged by us.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June 29, 2009, in order to help preserve and maximize the long-term value of our net operating loss carryforwards and related tax benefits, we amended the Rights Agreement to, among other things, reduce the triggering beneficial ownership threshold from 15% of our outstanding common stock to 5% of our securities, as defined therein, and otherwise expand the definition of “Acquiring Person” to include persons or groups that would be considered “5-percent shareholders” under Section 382 of the Internal Revenue Code of 1986, as amended, and the Treasury Regulations thereunder. The amendment is effective until the earlier of (i) the date immediately following the date of our 2009 annual meeting of stockholders and (ii) August 31, 2009. After that date, the triggering threshold would again be 15% of our outstanding common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Rights Agreement may delay or prevent an acquisition of us that stockholders may consider favorable, which could decrease the value of our common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66" w:lineRule="exact"/>
        <w:rPr>
          <w:sz w:val="20"/>
          <w:szCs w:val="20"/>
          <w:color w:val="auto"/>
        </w:rPr>
      </w:pPr>
    </w:p>
    <w:p>
      <w:pPr>
        <w:ind w:left="900" w:right="3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50"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25" w:lineRule="exact"/>
        <w:rPr>
          <w:rFonts w:ascii="Arial" w:cs="Arial" w:eastAsia="Arial" w:hAnsi="Arial"/>
          <w:sz w:val="16"/>
          <w:szCs w:val="16"/>
          <w:color w:val="auto"/>
        </w:rPr>
      </w:pPr>
    </w:p>
    <w:p>
      <w:pPr>
        <w:ind w:left="900" w:right="18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existence of this provision may have an anti-takeover effect with respect to transactions our board of directors does not approve in advance.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203 may also discourage attempts that might result in a premium over the market price for the shares of common stock held by stockholders.</w:t>
      </w:r>
    </w:p>
    <w:p>
      <w:pPr>
        <w:spacing w:after="0" w:line="188"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These provisions of Delaware law and our certificate of incorporation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Directors and Officers</w:t>
      </w:r>
    </w:p>
    <w:p>
      <w:pPr>
        <w:spacing w:after="0" w:line="90"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Section 145 of the Delaware General Corporation Law (“DGCL”) empowers a Delaware corporation to indemnify any persons who are, or are threatened to be made, parties to any threatened, pending or completed legal action, suit or proceeding, whether civil, criminal, administrative, or investigative (other than an action by or in the right of such corporation), by reason of the fact that such person was an officer or director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officer or director acted in good faith and in a manner he reasonably believed to be in or not opposed to the corporation’s best interests, and, for criminal proceedings, had no reasonable cause to believe his conduct was illegal. A Delaware corporation may indemnify officers and directors in an action by or in the right of the corporation under the same conditions, except that no indemnification is permitted without judicial approval if the officer or director is adjudged to be liable to the corporation in the performance of his duty. Where an officer or director is successful on the merits or otherwise in the defense of any action referred to above, the corporation must indemnify him against the expenses which such officer or director actually and reasonably incurred.</w:t>
      </w:r>
    </w:p>
    <w:p>
      <w:pPr>
        <w:spacing w:after="0" w:line="109"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certificate of incorporation and bylaws provide that we will indemnify, to the fullest extent permitted by the DGCL, each director or officer of our company, whom we refer to as an “Indemnitee.” Such indemnification includes payment by us, in advance of the final disposition of a civil or criminal action, suit, or proceeding, of expenses incurred by a director or officer in defending such action, suit, or proceeding upon receipt of any undertaking by or on behalf of such director or officer to repay such payment if it is ultimately determined that he or she is not entitled to be indemnified by us.</w:t>
      </w:r>
    </w:p>
    <w:p>
      <w:pPr>
        <w:spacing w:after="0" w:line="11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Under Delaware law, to the extent that an Indemnitee is successful on the merits in defense of a suit or proceeding brought against him or her by reason of the fact that he or she is or was a director, officer, or agent of our company, or serves or served any other enterprise or organization at the request of our company, we shall indemnify him or her against expenses (including attorneys’ fees) actually and reasonably incurred in connection with such action.</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unsuccessful in defense of a third-party civil suit or a criminal suit, or if such a suit is settled, an Indemnitee may be indemnified under Delaware law against both (i) expenses, including attorney’s fees, and (ii) judgments, fines, and amounts paid in settlement if he or she acted in good faith and in a manner he or she reasonably believed to be in, or not opposed to, the best interests of our company, and, with respect to any criminal action, had no reasonable cause to believe his or her conduct was unlawful.</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If unsuccessful in defense of a suit brought by or in the right of our company, where the suit is settled, an Indemnitee may be indemnified under Delaware law only against expenses (including attorneys’ fees) actually and reasonably incurred in the defense or settlement of the suit if he or she acted in good faith and in a manner he or she reasonably believed to be in, or not opposed to, the best interests of our company except that if the Indemnitee is adjudged to be liable for negligence or misconduct in the performance of his or her duty to our company, he or she cannot be made whole even for expenses unless a court determines that he or she is fully and reasonably entitled to indemnification for such expenses.</w:t>
      </w:r>
    </w:p>
    <w:p>
      <w:pPr>
        <w:spacing w:after="0" w:line="11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Also under Delaware law, expenses incurred by an officer or director in defending a civil or criminal action, suit, or proceeding may be paid by our company in advance of the final disposition of the suit, action, or proceeding upon receipt of an undertaking by or on behalf of the officer or director to repay such amount if it is ultimately determined that he or she is not entitled to be indemnified by our company. We may also advance expenses incurred by other employees and agents of our company upon such terms and conditions, if any, that our board of directors of the registrant deems appropriate.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the SEC’s Position on Indemnification for Securities Act Liabilities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Insofar as indemnification by us for liabilities arising under the Securities Act may be permitted to our directors, officers and controlling persons pursuant to the provisions referenced in Item 14 of this registration statement, or otherwise, we have been advised that in the opinion of the Securities and Exchange Commission such indemnification is against public policy as expressed in the Securities Act and is, therefore, unenforceable. If a claim for indemnification against such liabilities (other than the payment by us of expenses incurred or paid by one of our directors, officers, or controlling persons in the successful defense of any action, suit or proceeding) is asserted by a director, officer, or controlling person in connection with the securities being registered hereunder,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the securities being offered hereby in one or more of the following ways from time to time:</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agents to the public or to investors;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one or more underwriters or dealers for resale to the public or to investors;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of 1933, as amended, to or through a market maker or into an existing trading market, or an exchange or otherwise;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directly to investors in privately negotiated transactions;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that we distribute by any of these methods may be sold, in one or more transactions, at:</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fixed price or prices, which may be changed;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prices related to prevailing market prices;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set forth in a prospectus supplement the terms of the offering of our securities, including:</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name or names of any agents or underwriters;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purchase price of our securities being offered and the proceeds we will receive from the sale;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agency fees or underwriting discounts and commissions and other items constituting agents’ or underwriters’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public offering price;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securities exchanges on which such common stock may be listed.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or our subsidiaries in the ordinary course of their businesses.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If we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underwriters will be obligated to purchase all the securities offered if they purchase any of the securities offered. We may change from time to time any initial public offering price and any discounts or concessions the underwriters allow or reallow or pay to dealers. We may use underwriters with whom we have a material relationship. We will describe in the prospectus supplement naming the underwriters the nature of any such relationship.</w:t>
      </w:r>
    </w:p>
    <w:p>
      <w:pPr>
        <w:spacing w:after="0" w:line="12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If indicated in the applicable prospectus supplement, we will authorize underwriters or other persons acting as our agents to solicit offers by particular institutions to purchase securities from us at the public offering price set forth in such prospectus supplement pursuant to delayed delivery contracts providing for payment and delivery on the date or dates stated in such prospectus supplement. Each delayed delivery contract will be for an amount no less than, and the aggregate principal amounts of securities sold under delayed delivery contracts shall be not less nor more than, the respective amounts stated in the applicable prospectus supplement. Institutions with which such contracts, when authorized, may be made include commercial and savings banks, insurance companies, pension funds, investment companies, educational and charitable institutions and others, but will in all cases be subject to our approval. The obligations of any purchaser under any such contract will be subject to the conditions that (a) the purchase of the securities shall not at the time of delivery be prohibited under the laws of any jurisdiction in the United States to which the purchaser is subject, and (b) if the securities are being sold to underwriters, we shall have sold to the underwriters the total principal amount of the securities less the principal amount thereof covered by the contracts. The underwriters and such other agents will not have any responsibility in respect of the validity or performance of such contracts.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Agents</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We may designate agents who agree to use their reasonable efforts to solicit purchases for the period of their appointment or to sell securities on a continuing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also sell securities directly to one or more purchasers without using underwriters or agents.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Markets and Listing of Securities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established trading market, other than our common stock, which is traded on the Nasdaq Capital Market.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Activities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connection with an offering, an underwriter may purchase and sell securities in the open market. These transactions may include short sales, stabilizing transactions and purchases to cover positions created by short sales. Shorts sales involve the sale by the underwriters of a greater number of securities than they are required to purchase in the offering. “Covered” short sales are sales made in an amount not greater than the underwriters’ option to purchase additional securities from us, if any,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effect the price of the securities to the extent that it discourages resale of the securities. The magnitude or effect of any stabilization or other transactions is uncertain. These transactions may be effected on the Nasdaq Capital Market or otherwise and, if commenced, may be discontinued at any time.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consolidated financial statements of Casual Male Retail Group, Inc. included in our Annual Report on Form 10-K, as amended, for the fiscal year ended January 31, 2009, and the effectiveness of our internal control over financial reporting as of January 31, 2009 have been audited by Ernst &amp; Young LLP, independent registered public accounting firm, as set forth in their reports thereon, included therein, and incorporated herein by reference in this prospectus and elsewhere in the registration statement. Such consolidated financial statements are incorporated herein by reference in reliance upon such reports given on the authority of said firm as experts in accounting and auditing.</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Certain legal matters, including the legality of the securities offered, will be passed upon for us by our counsel, Greenberg Traurig, LLP, Boston, Massachusetts. If the securities are distributed in an underwritten offering, certain legal matters will be passed upon for the underwriters by counsel identified in the applicable prospectus supplement.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We file reports, proxy statements and other documents with the SEC. You may read and copy any document we file at the SEC’s public reference room at 100 F Street, N.E., Room 1580, Washington, DC 20549. You should call 1-800-SEC-0330 for more information on the operation of the public reference room. Our SEC filings are also available to you on the SEC’s Internet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The SEC’s Internet site contains reports, proxy and information statements, and other information regarding issuers that file electronically with the SEC.</w:t>
      </w:r>
    </w:p>
    <w:p>
      <w:pPr>
        <w:spacing w:after="0" w:line="14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This prospectus is part of a registration statement that we filed with the SEC. The registration statement contains more information than this prospectus regarding us and our common stock, including certain exhibits and schedules. You can obtain a copy of the registration statement from the SEC at the address listed above or from the SEC’s Internet site.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Internet address is www.casualmaleXL.com. The information on our Internet website is not incorporated by reference in this prospectus.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 allows us to “incorporate” into this prospectus information that we file with the SEC in other documents. This means that we can disclose important information to you by referring to other documents that contain that information. Any information that we incorporate by reference is considered part of this prospectus. The documents and reports that we list below are incorporated by reference into this prospectus. In addition, all documents and reports which we file pursuant to Section 13(a), 13(c), 14 or 15(d) of the Exchange Act after the date of this prospectus are incorporated by reference in this prospectus as of the respective filing dates of these documents and reports. Statements contained in documents that we file with the SEC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filed the following documents with the SEC. These documents are incorporated herein by reference as of their respective dates of filing:</w:t>
      </w:r>
    </w:p>
    <w:p>
      <w:pPr>
        <w:spacing w:after="0" w:line="113"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Annual Report on Form 10-K, as amended, for the fiscal year ended January 31,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May 2,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3, 2009 and June 29,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Preliminary Proxy Statement on Schedule 14A filed with the SEC on June 18, 2009;</w:t>
      </w:r>
    </w:p>
    <w:p>
      <w:pPr>
        <w:spacing w:after="0" w:line="90" w:lineRule="exact"/>
        <w:rPr>
          <w:rFonts w:ascii="Arial" w:cs="Arial" w:eastAsia="Arial" w:hAnsi="Arial"/>
          <w:sz w:val="18"/>
          <w:szCs w:val="18"/>
          <w:color w:val="auto"/>
        </w:rPr>
      </w:pPr>
    </w:p>
    <w:p>
      <w:pPr>
        <w:ind w:left="900" w:right="84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of our filings pursuant to the Exchange Act after the date of filing the initial registration statement and prior to the effectiveness of the registration statement;</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May 27, 1987, and any amendments or reports filed for the purpose of updating that description; and</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description of our preferred stock purchase rights contained in our Registration Statement on Form 8-A filed December 9, 2008, as amended by our Registration Statement on Form 8-A/A filed June 29, 2009, and any further amendments or reports filed for the purpose of updating that description.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request a copy of these documents, which will be provided to you at no cost, by contacting: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Canton, MA 02021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(781) 828-9300</w:t>
      </w:r>
    </w:p>
    <w:p>
      <w:pPr>
        <w:spacing w:after="0" w:line="16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You should rely only on the information contained in this prospectus, including information incorporated by reference as described above, or any prospectus supplement that we have specifically referred you to. We have not authorized anyone else to provide you with different information. You should not assume that the information in this prospectus or any prospectus supplement is accurate as of any date other than the date on the front of those documents or that any document incorporated by reference is accurate as of any date other than its filing date. You should not consider this prospectus to be an offer or solicitation relating to the securities in any jurisdiction in which such an offer or solicitation relating to the securities is not authorized. Furthermore, you should not consider this prospectus to be an offer or solicitation relating to the securities if the person making the offer or solicitation is not qualified to do so, or if it is unlawful for you to receive such an offer or solicitation.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expenses in connection with the issuance and distribution of the securities being registered are set forth in the following table (all amounts except the registration fee are estimated):</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4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20,000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10,000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Printing fees and expenses</w:t>
            </w:r>
          </w:p>
        </w:tc>
        <w:tc>
          <w:tcPr>
            <w:tcW w:w="34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10,000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Miscellaneous expenses</w:t>
            </w:r>
          </w:p>
        </w:tc>
        <w:tc>
          <w:tcPr>
            <w:tcW w:w="34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9,420</w:t>
            </w: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60,000</w:t>
            </w: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Section 145 of the Delaware General Corporation Law (“DGCL”) empowers a Delaware corporation to indemnify any persons who are, or are threatened to be made, parties to any threatened, pending or completed legal action, suit or proceeding, whether civil, criminal, administrative, or investigative (other than an action by or in the right of such corporation), by reason of the fact that such person was an officer or director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officer or director acted in good faith and in a manner he reasonably believed to be in or not opposed to the corporation’s best interests, and, for criminal proceedings, had no reasonable cause to believe his conduct was illegal. A Delaware corporation may indemnify officers and directors in an action by or in the right of the corporation under the same conditions, except that no indemnification is permitted without judicial approval if the officer or director is adjudged to be liable to the corporation in the performance of his duty. Where an officer or director is successful on the merits or otherwise in the defense of any action referred to above, the corporation must indemnify him against the expenses which such officer or director actually and reasonably incurred.</w:t>
      </w:r>
    </w:p>
    <w:p>
      <w:pPr>
        <w:spacing w:after="0" w:line="109"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certificate of incorporation and bylaws provide that we will indemnify, to the fullest extent permitted by the DGCL, each director or officer of our company, whom we refer to as an “Indemnitee.” Such indemnification includes payment by us, in advance of the final disposition of a civil or criminal action, suit, or proceeding, of expenses incurred by a director or officer in defending such action, suit, or proceeding upon receipt of any undertaking by or on behalf of such director or officer to repay such payment if it is ultimately determined that he or she is not entitled to be indemnified by us.</w:t>
      </w:r>
    </w:p>
    <w:p>
      <w:pPr>
        <w:spacing w:after="0" w:line="11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Under Delaware law, to the extent that an Indemnitee is successful on the merits in defense of a suit or proceeding brought against him or her by reason of the fact that he or she is or was a director, officer, or agent of our company, or serves or served any other enterprise or organization at the request of our company, we shall indemnify him or her against expenses (including attorneys’ fees) actually and reasonably incurred in connection with such action.</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unsuccessful in defense of a third-party civil suit or a criminal suit, or if such a suit is settled, an Indemnitee may be indemnified under Delaware law against both (i) expenses, including attorney’s fees, and (ii) judgments, fines, and amounts paid in settlement if he or she acted in good faith and in a manner he or she reasonably believed to be in, or not opposed to, the best interests of our company, and, with respect to any criminal action, had no reasonable cause to believe his or her conduct was unlawful.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unsuccessful in defense of a suit brought by or in the right of our company, where the suit is settled, an Indemnitee may be indemnified under Delaware law only against expenses (including attorneys’ fees) actually and reasonably incurred in the defense or settlement of the suit if he or she acted in good faith and in a manner he or she reasonably believed to be in, or not opposed to, the best interests of our company except that if the Indemnitee is adjudged to be liable for negligence or misconduct in the performance of his or her duty to our company, he or she cannot be made whole even for expenses unless a court determines that he or she is fully and reasonably entitled to indemnification for such expenses.</w:t>
      </w:r>
    </w:p>
    <w:p>
      <w:pPr>
        <w:spacing w:after="0" w:line="11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Also under Delaware law, expenses incurred by an officer or director in defending a civil or criminal action, suit, or proceeding may be paid by our company in advance of the final disposition of the suit, action, or proceeding upon receipt of an undertaking by or on behalf of the officer or director to repay such amount if it is ultimately determined that he or she is not entitled to be indemnified by our company. We may also advance expenses incurred by other employees and agents of our company upon such terms and conditions, if any, that our board of directors of the registrant deems appropriate.</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Reference is made to “Undertakings,” below, for the registrant’s undertakings in this registration statement with respect to indemnification of liabilities arising under the Securities Act of 1933, as amended.</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in the Exhibit Index immediately preceding the exhibits are filed as part of this Registration Statement on Form S-3.</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171" w:lineRule="exact"/>
        <w:rPr>
          <w:sz w:val="20"/>
          <w:szCs w:val="20"/>
          <w:color w:val="auto"/>
        </w:rPr>
      </w:pPr>
    </w:p>
    <w:p>
      <w:pPr>
        <w:ind w:left="720" w:hanging="256"/>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90" w:lineRule="exact"/>
        <w:rPr>
          <w:rFonts w:ascii="Arial" w:cs="Arial" w:eastAsia="Arial" w:hAnsi="Arial"/>
          <w:sz w:val="18"/>
          <w:szCs w:val="18"/>
          <w:color w:val="auto"/>
        </w:rPr>
      </w:pPr>
    </w:p>
    <w:p>
      <w:pPr>
        <w:ind w:left="460" w:firstLine="443"/>
        <w:spacing w:after="0" w:line="291" w:lineRule="auto"/>
        <w:tabs>
          <w:tab w:leader="none" w:pos="1157" w:val="left"/>
        </w:tabs>
        <w:numPr>
          <w:ilvl w:val="1"/>
          <w:numId w:val="1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39" w:lineRule="exact"/>
        <w:rPr>
          <w:rFonts w:ascii="Arial" w:cs="Arial" w:eastAsia="Arial" w:hAnsi="Arial"/>
          <w:sz w:val="16"/>
          <w:szCs w:val="16"/>
          <w:color w:val="auto"/>
        </w:rPr>
      </w:pPr>
    </w:p>
    <w:p>
      <w:pPr>
        <w:ind w:left="460" w:right="540" w:firstLine="443"/>
        <w:spacing w:after="0" w:line="268" w:lineRule="auto"/>
        <w:tabs>
          <w:tab w:leader="none" w:pos="12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(1)(i), (1)(ii) and (1)(iii)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periodic reports filed with or furnished to the Commission by the Registrant pursuant to Section 13 or Section 15(d) of the Securities Exchange Act of 1934, as amended (the “Exchange Act”), that are incorporated by reference in this Registration Statement, or is contained in a form of prospectus filed pursuant to Rule 424(b) that is part of the Registration Statement.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64"/>
        <w:spacing w:after="0" w:line="259"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That, for the purposes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0" w:lineRule="exact"/>
        <w:rPr>
          <w:rFonts w:ascii="Arial" w:cs="Arial" w:eastAsia="Arial" w:hAnsi="Arial"/>
          <w:sz w:val="18"/>
          <w:szCs w:val="18"/>
          <w:color w:val="auto"/>
        </w:rPr>
      </w:pPr>
    </w:p>
    <w:p>
      <w:pPr>
        <w:ind w:right="200" w:firstLine="464"/>
        <w:spacing w:after="0" w:line="268"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90" w:lineRule="exact"/>
        <w:rPr>
          <w:rFonts w:ascii="Arial" w:cs="Arial" w:eastAsia="Arial" w:hAnsi="Arial"/>
          <w:sz w:val="18"/>
          <w:szCs w:val="18"/>
          <w:color w:val="auto"/>
        </w:rPr>
      </w:pPr>
    </w:p>
    <w:p>
      <w:pPr>
        <w:ind w:left="920" w:right="220" w:firstLine="421"/>
        <w:spacing w:after="0" w:line="268" w:lineRule="auto"/>
        <w:tabs>
          <w:tab w:leader="none" w:pos="1627" w:val="left"/>
        </w:tabs>
        <w:numPr>
          <w:ilvl w:val="2"/>
          <w:numId w:val="1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920" w:firstLine="421"/>
        <w:spacing w:after="0" w:line="286" w:lineRule="auto"/>
        <w:tabs>
          <w:tab w:leader="none" w:pos="1618" w:val="left"/>
        </w:tabs>
        <w:numPr>
          <w:ilvl w:val="2"/>
          <w:numId w:val="17"/>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46" w:lineRule="exact"/>
        <w:rPr>
          <w:rFonts w:ascii="Arial" w:cs="Arial" w:eastAsia="Arial" w:hAnsi="Arial"/>
          <w:sz w:val="16"/>
          <w:szCs w:val="16"/>
          <w:color w:val="auto"/>
        </w:rPr>
      </w:pPr>
    </w:p>
    <w:p>
      <w:pPr>
        <w:ind w:left="460" w:right="60" w:firstLine="443"/>
        <w:spacing w:after="0" w:line="290" w:lineRule="auto"/>
        <w:tabs>
          <w:tab w:leader="none" w:pos="1157" w:val="left"/>
        </w:tabs>
        <w:numPr>
          <w:ilvl w:val="1"/>
          <w:numId w:val="17"/>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w:t>
      </w:r>
    </w:p>
    <w:p>
      <w:pPr>
        <w:spacing w:after="0" w:line="194"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7" w:lineRule="exact"/>
        <w:rPr>
          <w:sz w:val="20"/>
          <w:szCs w:val="20"/>
          <w:color w:val="auto"/>
        </w:rPr>
      </w:pPr>
    </w:p>
    <w:p>
      <w:pPr>
        <w:ind w:left="1120" w:hanging="217"/>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460" w:right="760" w:firstLine="443"/>
        <w:spacing w:after="0" w:line="268" w:lineRule="auto"/>
        <w:tabs>
          <w:tab w:leader="none" w:pos="115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firstLine="443"/>
        <w:spacing w:after="0" w:line="268" w:lineRule="auto"/>
        <w:tabs>
          <w:tab w:leader="none" w:pos="12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3"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Town of Canton, Commonwealth of Massachusetts, on this 1st day of July, 2009.</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ASUAL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ALE RETAIL</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2"/>
              </w:rPr>
              <w:t>/s/ David A. Levin</w:t>
            </w:r>
          </w:p>
        </w:tc>
      </w:tr>
      <w:tr>
        <w:trPr>
          <w:trHeight w:val="202"/>
        </w:trPr>
        <w:tc>
          <w:tcPr>
            <w:tcW w:w="280" w:type="dxa"/>
            <w:vAlign w:val="bottom"/>
          </w:tcPr>
          <w:p>
            <w:pPr>
              <w:spacing w:after="0"/>
              <w:rPr>
                <w:sz w:val="17"/>
                <w:szCs w:val="17"/>
                <w:color w:val="auto"/>
              </w:rPr>
            </w:pPr>
          </w:p>
        </w:tc>
        <w:tc>
          <w:tcPr>
            <w:tcW w:w="4280" w:type="dxa"/>
            <w:vAlign w:val="bottom"/>
          </w:tcPr>
          <w:p>
            <w:pPr>
              <w:jc w:val="center"/>
              <w:ind w:left="12"/>
              <w:spacing w:after="0" w:line="202" w:lineRule="exact"/>
              <w:rPr>
                <w:sz w:val="20"/>
                <w:szCs w:val="20"/>
                <w:color w:val="auto"/>
              </w:rPr>
            </w:pPr>
            <w:r>
              <w:rPr>
                <w:rFonts w:ascii="Arial" w:cs="Arial" w:eastAsia="Arial" w:hAnsi="Arial"/>
                <w:sz w:val="18"/>
                <w:szCs w:val="18"/>
                <w:color w:val="auto"/>
                <w:w w:val="94"/>
              </w:rPr>
              <w:t>David A. Levin</w:t>
            </w:r>
          </w:p>
        </w:tc>
      </w:tr>
      <w:tr>
        <w:trPr>
          <w:trHeight w:val="222"/>
        </w:trPr>
        <w:tc>
          <w:tcPr>
            <w:tcW w:w="280" w:type="dxa"/>
            <w:vAlign w:val="bottom"/>
          </w:tcPr>
          <w:p>
            <w:pPr>
              <w:spacing w:after="0"/>
              <w:rPr>
                <w:sz w:val="19"/>
                <w:szCs w:val="19"/>
                <w:color w:val="auto"/>
              </w:rPr>
            </w:pPr>
          </w:p>
        </w:tc>
        <w:tc>
          <w:tcPr>
            <w:tcW w:w="4280" w:type="dxa"/>
            <w:vAlign w:val="bottom"/>
          </w:tcPr>
          <w:p>
            <w:pPr>
              <w:jc w:val="center"/>
              <w:ind w:left="12"/>
              <w:spacing w:after="0"/>
              <w:rPr>
                <w:sz w:val="20"/>
                <w:szCs w:val="20"/>
                <w:color w:val="auto"/>
              </w:rPr>
            </w:pPr>
            <w:r>
              <w:rPr>
                <w:rFonts w:ascii="Arial" w:cs="Arial" w:eastAsia="Arial" w:hAnsi="Arial"/>
                <w:sz w:val="18"/>
                <w:szCs w:val="18"/>
                <w:i w:val="1"/>
                <w:iCs w:val="1"/>
                <w:color w:val="auto"/>
                <w:w w:val="88"/>
              </w:rPr>
              <w:t>Chief Executive Officer and President</w:t>
            </w:r>
          </w:p>
        </w:tc>
      </w:tr>
    </w:tbl>
    <w:p>
      <w:pPr>
        <w:spacing w:after="0" w:line="16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the undersigned officers and directors of Casual Male Retail Group, Inc., hereby severally constitute and appoint David A. Levin and Dennis R. Hernreich and each of them singly, our true and lawful attorneys with full power to any of them, and to each of them singly, to sign for us and in our names in the capacities indicated below the Registration Statement on Form S-3 filed herewith and any and all pre-effective and post-effective amendments to said Registration Statement and generally to do all such things in our name and behalf in our capacities as officers and directors to enable Casual Male Retail Group,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2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5"/>
                <w:szCs w:val="15"/>
                <w:color w:val="auto"/>
              </w:rPr>
            </w:pPr>
          </w:p>
        </w:tc>
        <w:tc>
          <w:tcPr>
            <w:tcW w:w="502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24"/>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July 1, 2009</w:t>
            </w:r>
          </w:p>
        </w:tc>
      </w:tr>
      <w:tr>
        <w:trPr>
          <w:trHeight w:val="218"/>
        </w:trPr>
        <w:tc>
          <w:tcPr>
            <w:tcW w:w="4240" w:type="dxa"/>
            <w:vAlign w:val="bottom"/>
          </w:tcPr>
          <w:p>
            <w:pPr>
              <w:jc w:val="center"/>
              <w:spacing w:after="0"/>
              <w:rPr>
                <w:sz w:val="20"/>
                <w:szCs w:val="20"/>
                <w:color w:val="auto"/>
              </w:rPr>
            </w:pPr>
            <w:r>
              <w:rPr>
                <w:rFonts w:ascii="Arial" w:cs="Arial" w:eastAsia="Arial" w:hAnsi="Arial"/>
                <w:sz w:val="18"/>
                <w:szCs w:val="18"/>
                <w:color w:val="auto"/>
                <w:w w:val="94"/>
              </w:rPr>
              <w:t>David A. Levin</w:t>
            </w:r>
          </w:p>
        </w:tc>
        <w:tc>
          <w:tcPr>
            <w:tcW w:w="220" w:type="dxa"/>
            <w:vAlign w:val="bottom"/>
          </w:tcPr>
          <w:p>
            <w:pPr>
              <w:spacing w:after="0"/>
              <w:rPr>
                <w:sz w:val="18"/>
                <w:szCs w:val="18"/>
                <w:color w:val="auto"/>
              </w:rPr>
            </w:pPr>
          </w:p>
        </w:tc>
        <w:tc>
          <w:tcPr>
            <w:tcW w:w="502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5"/>
              </w:rPr>
              <w:t>Executive Vice President, Chief Operating Officer, Chief Financial</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July 1, 2009</w:t>
            </w:r>
          </w:p>
        </w:tc>
      </w:tr>
      <w:tr>
        <w:trPr>
          <w:trHeight w:val="190"/>
        </w:trPr>
        <w:tc>
          <w:tcPr>
            <w:tcW w:w="4240" w:type="dxa"/>
            <w:vAlign w:val="bottom"/>
          </w:tcPr>
          <w:p>
            <w:pPr>
              <w:jc w:val="center"/>
              <w:spacing w:after="0" w:line="190" w:lineRule="exact"/>
              <w:rPr>
                <w:sz w:val="20"/>
                <w:szCs w:val="20"/>
                <w:color w:val="auto"/>
              </w:rPr>
            </w:pPr>
            <w:r>
              <w:rPr>
                <w:rFonts w:ascii="Arial" w:cs="Arial" w:eastAsia="Arial" w:hAnsi="Arial"/>
                <w:sz w:val="18"/>
                <w:szCs w:val="18"/>
                <w:color w:val="auto"/>
                <w:w w:val="88"/>
              </w:rPr>
              <w:t>Dennis R. Hernreich</w:t>
            </w:r>
          </w:p>
        </w:tc>
        <w:tc>
          <w:tcPr>
            <w:tcW w:w="220" w:type="dxa"/>
            <w:vAlign w:val="bottom"/>
          </w:tcPr>
          <w:p>
            <w:pPr>
              <w:spacing w:after="0"/>
              <w:rPr>
                <w:sz w:val="16"/>
                <w:szCs w:val="16"/>
                <w:color w:val="auto"/>
              </w:rPr>
            </w:pPr>
          </w:p>
        </w:tc>
        <w:tc>
          <w:tcPr>
            <w:tcW w:w="5020" w:type="dxa"/>
            <w:vAlign w:val="bottom"/>
          </w:tcPr>
          <w:p>
            <w:pPr>
              <w:spacing w:after="0" w:line="190" w:lineRule="exact"/>
              <w:rPr>
                <w:sz w:val="20"/>
                <w:szCs w:val="20"/>
                <w:color w:val="auto"/>
              </w:rPr>
            </w:pPr>
            <w:r>
              <w:rPr>
                <w:rFonts w:ascii="Arial" w:cs="Arial" w:eastAsia="Arial" w:hAnsi="Arial"/>
                <w:sz w:val="18"/>
                <w:szCs w:val="18"/>
                <w:color w:val="auto"/>
              </w:rPr>
              <w:t>Officer and Treasurer</w:t>
            </w: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2"/>
        </w:trPr>
        <w:tc>
          <w:tcPr>
            <w:tcW w:w="4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6"/>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Sheri A. Knight</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1"/>
              </w:rPr>
              <w:t>Senior Vice President of Finance and Corporate Controller (Principal</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July 1, 2009</w:t>
            </w:r>
          </w:p>
        </w:tc>
      </w:tr>
      <w:tr>
        <w:trPr>
          <w:trHeight w:val="218"/>
        </w:trPr>
        <w:tc>
          <w:tcPr>
            <w:tcW w:w="4240" w:type="dxa"/>
            <w:vAlign w:val="bottom"/>
          </w:tcPr>
          <w:p>
            <w:pPr>
              <w:jc w:val="center"/>
              <w:spacing w:after="0"/>
              <w:rPr>
                <w:sz w:val="20"/>
                <w:szCs w:val="20"/>
                <w:color w:val="auto"/>
              </w:rPr>
            </w:pPr>
            <w:r>
              <w:rPr>
                <w:rFonts w:ascii="Arial" w:cs="Arial" w:eastAsia="Arial" w:hAnsi="Arial"/>
                <w:sz w:val="18"/>
                <w:szCs w:val="18"/>
                <w:color w:val="auto"/>
                <w:w w:val="93"/>
              </w:rPr>
              <w:t>Sheri A. Knight</w:t>
            </w:r>
          </w:p>
        </w:tc>
        <w:tc>
          <w:tcPr>
            <w:tcW w:w="220" w:type="dxa"/>
            <w:vAlign w:val="bottom"/>
          </w:tcPr>
          <w:p>
            <w:pPr>
              <w:spacing w:after="0"/>
              <w:rPr>
                <w:sz w:val="18"/>
                <w:szCs w:val="18"/>
                <w:color w:val="auto"/>
              </w:rPr>
            </w:pPr>
          </w:p>
        </w:tc>
        <w:tc>
          <w:tcPr>
            <w:tcW w:w="5020" w:type="dxa"/>
            <w:vAlign w:val="bottom"/>
          </w:tcPr>
          <w:p>
            <w:pPr>
              <w:spacing w:after="0" w:line="202" w:lineRule="exact"/>
              <w:rPr>
                <w:sz w:val="20"/>
                <w:szCs w:val="20"/>
                <w:color w:val="auto"/>
              </w:rPr>
            </w:pPr>
            <w:r>
              <w:rPr>
                <w:rFonts w:ascii="Arial" w:cs="Arial" w:eastAsia="Arial" w:hAnsi="Arial"/>
                <w:sz w:val="18"/>
                <w:szCs w:val="18"/>
                <w:color w:val="auto"/>
              </w:rPr>
              <w:t>Accounting Officer)</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Seymour Holtzman</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July 1,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8"/>
              </w:rPr>
              <w:t>Seymour Holtzman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S. Bernikow</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July 1,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1"/>
              </w:rPr>
              <w:t>Alan S. Bernikow</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Jesse H. Choper</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July 1,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3"/>
              </w:rPr>
              <w:t>Jesse H. Choper</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Ward K. Mooney</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July 1,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0"/>
              </w:rPr>
              <w:t>Ward K. Mooney</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70"/>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tcPr>
          <w:p>
            <w:pPr>
              <w:ind w:left="1120"/>
              <w:spacing w:after="0"/>
              <w:rPr>
                <w:sz w:val="20"/>
                <w:szCs w:val="20"/>
                <w:color w:val="auto"/>
              </w:rPr>
            </w:pPr>
            <w:r>
              <w:rPr>
                <w:rFonts w:ascii="Arial" w:cs="Arial" w:eastAsia="Arial" w:hAnsi="Arial"/>
                <w:sz w:val="18"/>
                <w:szCs w:val="18"/>
                <w:color w:val="auto"/>
              </w:rPr>
              <w:t>II-5</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4"/>
              </w:rPr>
              <w:t>George T. Porter, Jr.</w:t>
            </w:r>
          </w:p>
        </w:tc>
        <w:tc>
          <w:tcPr>
            <w:tcW w:w="1080" w:type="dxa"/>
            <w:vAlign w:val="bottom"/>
          </w:tcPr>
          <w:p>
            <w:pPr>
              <w:spacing w:after="0"/>
              <w:rPr>
                <w:sz w:val="19"/>
                <w:szCs w:val="19"/>
                <w:color w:val="auto"/>
              </w:rPr>
            </w:pPr>
          </w:p>
        </w:tc>
        <w:tc>
          <w:tcPr>
            <w:tcW w:w="5680" w:type="dxa"/>
            <w:vAlign w:val="bottom"/>
          </w:tcPr>
          <w:p>
            <w:pPr>
              <w:spacing w:after="0"/>
              <w:rPr>
                <w:sz w:val="19"/>
                <w:szCs w:val="19"/>
                <w:color w:val="auto"/>
              </w:rPr>
            </w:pPr>
          </w:p>
        </w:tc>
      </w:tr>
      <w:tr>
        <w:trPr>
          <w:trHeight w:val="434"/>
        </w:trPr>
        <w:tc>
          <w:tcPr>
            <w:tcW w:w="4240" w:type="dxa"/>
            <w:vAlign w:val="bottom"/>
            <w:tcBorders>
              <w:bottom w:val="single" w:sz="8" w:color="auto"/>
            </w:tcBorders>
          </w:tcPr>
          <w:p>
            <w:pPr>
              <w:spacing w:after="0"/>
              <w:rPr>
                <w:sz w:val="24"/>
                <w:szCs w:val="24"/>
                <w:color w:val="auto"/>
              </w:rPr>
            </w:pPr>
          </w:p>
        </w:tc>
        <w:tc>
          <w:tcPr>
            <w:tcW w:w="10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5680" w:type="dxa"/>
            <w:vAlign w:val="bottom"/>
          </w:tcPr>
          <w:p>
            <w:pPr>
              <w:spacing w:after="0"/>
              <w:rPr>
                <w:sz w:val="24"/>
                <w:szCs w:val="24"/>
                <w:color w:val="auto"/>
              </w:rPr>
            </w:pP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7"/>
              </w:rPr>
              <w:t>Mitchell S. Presser</w:t>
            </w:r>
          </w:p>
        </w:tc>
        <w:tc>
          <w:tcPr>
            <w:tcW w:w="1080" w:type="dxa"/>
            <w:vAlign w:val="bottom"/>
          </w:tcPr>
          <w:p>
            <w:pPr>
              <w:spacing w:after="0"/>
              <w:rPr>
                <w:sz w:val="18"/>
                <w:szCs w:val="18"/>
                <w:color w:val="auto"/>
              </w:rPr>
            </w:pPr>
          </w:p>
        </w:tc>
        <w:tc>
          <w:tcPr>
            <w:tcW w:w="568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L. Sockolov</w:t>
            </w:r>
          </w:p>
        </w:tc>
        <w:tc>
          <w:tcPr>
            <w:tcW w:w="10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5680" w:type="dxa"/>
            <w:vAlign w:val="bottom"/>
          </w:tcPr>
          <w:p>
            <w:pPr>
              <w:ind w:left="4820"/>
              <w:spacing w:after="0"/>
              <w:rPr>
                <w:sz w:val="20"/>
                <w:szCs w:val="20"/>
                <w:color w:val="auto"/>
              </w:rPr>
            </w:pPr>
            <w:r>
              <w:rPr>
                <w:rFonts w:ascii="Arial" w:cs="Arial" w:eastAsia="Arial" w:hAnsi="Arial"/>
                <w:sz w:val="18"/>
                <w:szCs w:val="18"/>
                <w:color w:val="auto"/>
                <w:w w:val="86"/>
              </w:rPr>
              <w:t>July 1,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0"/>
              </w:rPr>
              <w:t>Robert L. Sockolov</w:t>
            </w:r>
          </w:p>
        </w:tc>
        <w:tc>
          <w:tcPr>
            <w:tcW w:w="1080" w:type="dxa"/>
            <w:vAlign w:val="bottom"/>
          </w:tcPr>
          <w:p>
            <w:pPr>
              <w:spacing w:after="0"/>
              <w:rPr>
                <w:sz w:val="18"/>
                <w:szCs w:val="18"/>
                <w:color w:val="auto"/>
              </w:rPr>
            </w:pPr>
          </w:p>
        </w:tc>
        <w:tc>
          <w:tcPr>
            <w:tcW w:w="5680" w:type="dxa"/>
            <w:vAlign w:val="bottom"/>
          </w:tcPr>
          <w:p>
            <w:pPr>
              <w:spacing w:after="0"/>
              <w:rPr>
                <w:sz w:val="18"/>
                <w:szCs w:val="18"/>
                <w:color w:val="auto"/>
              </w:rPr>
            </w:pPr>
          </w:p>
        </w:tc>
      </w:tr>
      <w:tr>
        <w:trPr>
          <w:trHeight w:val="370"/>
        </w:trPr>
        <w:tc>
          <w:tcPr>
            <w:tcW w:w="4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000"/>
          </w:cols>
          <w:pgMar w:left="240" w:top="459" w:right="6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6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10240" w:type="dxa"/>
            <w:vAlign w:val="bottom"/>
          </w:tcPr>
          <w:p>
            <w:pPr>
              <w:spacing w:after="0"/>
              <w:rPr>
                <w:sz w:val="24"/>
                <w:szCs w:val="24"/>
                <w:color w:val="auto"/>
              </w:rPr>
            </w:pPr>
          </w:p>
        </w:tc>
      </w:tr>
      <w:tr>
        <w:trPr>
          <w:trHeight w:val="168"/>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4"/>
                <w:szCs w:val="14"/>
                <w:color w:val="auto"/>
              </w:rPr>
            </w:pPr>
          </w:p>
        </w:tc>
        <w:tc>
          <w:tcPr>
            <w:tcW w:w="10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22"/>
        </w:trPr>
        <w:tc>
          <w:tcPr>
            <w:tcW w:w="64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1"/>
              </w:rPr>
              <w:t>Form of Underwriting Agreement, Placement Agency Agreement, Dealer-Manager Agreement, Distribution Agreement or similar agreement.</w:t>
            </w:r>
          </w:p>
        </w:tc>
      </w:tr>
      <w:tr>
        <w:trPr>
          <w:trHeight w:val="318"/>
        </w:trPr>
        <w:tc>
          <w:tcPr>
            <w:tcW w:w="64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89"/>
              </w:rPr>
              <w:t>Restated Certificate of Incorporation of the Company, as amended (included as Exhibit 3.1 to Amendment No. 3 of the Company’s Registration</w:t>
            </w:r>
          </w:p>
        </w:tc>
      </w:tr>
      <w:tr>
        <w:trPr>
          <w:trHeight w:val="222"/>
        </w:trPr>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Statement on Form S-1 (No. 33-13402), and incorporated herein by reference).</w:t>
            </w:r>
          </w:p>
        </w:tc>
      </w:tr>
      <w:tr>
        <w:trPr>
          <w:trHeight w:val="318"/>
        </w:trPr>
        <w:tc>
          <w:tcPr>
            <w:tcW w:w="64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89"/>
              </w:rPr>
              <w:t>Certificate of Amendment to Restated Certificate of Incorporation, as amended, dated June 22, 1993 (included as Exhibit 3.2 to the Company’s</w:t>
            </w:r>
          </w:p>
        </w:tc>
      </w:tr>
      <w:tr>
        <w:trPr>
          <w:trHeight w:val="222"/>
        </w:trPr>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Quarterly Report on Form 10-Q filed on June 18, 1996, and incorporated herein by reference).</w:t>
            </w:r>
          </w:p>
        </w:tc>
      </w:tr>
      <w:tr>
        <w:trPr>
          <w:trHeight w:val="318"/>
        </w:trPr>
        <w:tc>
          <w:tcPr>
            <w:tcW w:w="640" w:type="dxa"/>
            <w:vAlign w:val="bottom"/>
          </w:tcPr>
          <w:p>
            <w:pPr>
              <w:jc w:val="right"/>
              <w:ind w:right="34"/>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89"/>
              </w:rPr>
              <w:t>Certificate of Amendment to Restated Certificate of Incorporation, as amended, dated August 8, 2002 (included as Exhibit 3.3 to the Company’s</w:t>
            </w:r>
          </w:p>
        </w:tc>
      </w:tr>
      <w:tr>
        <w:trPr>
          <w:trHeight w:val="222"/>
        </w:trPr>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Quarterly Report on Form 10-Q filed on September 17, 2002, and incorporated herein by reference).</w:t>
            </w:r>
          </w:p>
        </w:tc>
      </w:tr>
      <w:tr>
        <w:trPr>
          <w:trHeight w:val="318"/>
        </w:trPr>
        <w:tc>
          <w:tcPr>
            <w:tcW w:w="64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1"/>
              </w:rPr>
              <w:t>Form of Certificate of Designation, Preferences and Rights of Series A Junior Participating Preferred Stock, as filed with the Secretary of the</w:t>
            </w:r>
          </w:p>
        </w:tc>
      </w:tr>
      <w:tr>
        <w:trPr>
          <w:trHeight w:val="216"/>
        </w:trPr>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89"/>
              </w:rPr>
              <w:t>State of Delaware on December 9, 2008 (included as Exhibit 3.1 to the Company’s Current Report on Form 8-K filed on December 9, 2008, and</w:t>
            </w:r>
          </w:p>
        </w:tc>
      </w:tr>
      <w:tr>
        <w:trPr>
          <w:trHeight w:val="222"/>
        </w:trPr>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64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0"/>
              </w:rPr>
              <w:t>By-Laws of the Company, as amended (included as Exhibit 3.4 to the Company’s Quarterly Report on Form 10-Q filed on December 12, 2000,</w:t>
            </w:r>
          </w:p>
        </w:tc>
      </w:tr>
      <w:tr>
        <w:trPr>
          <w:trHeight w:val="222"/>
        </w:trPr>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64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88"/>
              </w:rPr>
              <w:t>Rights Agreement, dated as of December 8, 2008, by and between the Company and American Stock Transfer &amp; Trust Company, LLC, as Rights</w:t>
            </w:r>
          </w:p>
        </w:tc>
      </w:tr>
      <w:tr>
        <w:trPr>
          <w:trHeight w:val="216"/>
        </w:trPr>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3"/>
              </w:rPr>
              <w:t>Agent, which includes as Exhibits thereto the Form of Certificate of Designation, the Form of Right Certificate and the Summary of Terms</w:t>
            </w:r>
          </w:p>
        </w:tc>
      </w:tr>
      <w:tr>
        <w:trPr>
          <w:trHeight w:val="216"/>
        </w:trPr>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0"/>
              </w:rPr>
              <w:t>attached thereto as Exhibits A, B and C, respectively (included as Exhibit 4.1 to the Company’s Current Report on Form 8-K filed on December</w:t>
            </w:r>
          </w:p>
        </w:tc>
      </w:tr>
      <w:tr>
        <w:trPr>
          <w:trHeight w:val="222"/>
        </w:trPr>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9, 2008, and incorporated herein by reference).</w:t>
            </w:r>
          </w:p>
        </w:tc>
      </w:tr>
      <w:tr>
        <w:trPr>
          <w:trHeight w:val="318"/>
        </w:trPr>
        <w:tc>
          <w:tcPr>
            <w:tcW w:w="640" w:type="dxa"/>
            <w:vAlign w:val="bottom"/>
          </w:tcPr>
          <w:p>
            <w:pPr>
              <w:jc w:val="right"/>
              <w:ind w:right="34"/>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0"/>
              </w:rPr>
              <w:t>Amendment, dated as of June 29, 2009, to the Rights Agreement, dated as of December 8, 2008, between the Company and American Stock</w:t>
            </w:r>
          </w:p>
        </w:tc>
      </w:tr>
      <w:tr>
        <w:trPr>
          <w:trHeight w:val="216"/>
        </w:trPr>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3"/>
              </w:rPr>
              <w:t>Transfer &amp; Trust Company, LLC, as Rights Agent (included as Exhibit 4.1 to the Company’s Current Report on Form 8-K filed on June 29,</w:t>
            </w:r>
          </w:p>
        </w:tc>
      </w:tr>
      <w:tr>
        <w:trPr>
          <w:trHeight w:val="222"/>
        </w:trPr>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2009, and incorporated herein by reference).</w:t>
            </w:r>
          </w:p>
        </w:tc>
      </w:tr>
      <w:tr>
        <w:trPr>
          <w:trHeight w:val="324"/>
        </w:trPr>
        <w:tc>
          <w:tcPr>
            <w:tcW w:w="640" w:type="dxa"/>
            <w:vAlign w:val="bottom"/>
          </w:tcPr>
          <w:p>
            <w:pPr>
              <w:jc w:val="right"/>
              <w:ind w:right="34"/>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Form of Common Stock Warrant Agreement.</w:t>
            </w:r>
          </w:p>
        </w:tc>
      </w:tr>
      <w:tr>
        <w:trPr>
          <w:trHeight w:val="324"/>
        </w:trPr>
        <w:tc>
          <w:tcPr>
            <w:tcW w:w="64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Form of Preferred Stock Warrant Agreement.</w:t>
            </w:r>
          </w:p>
        </w:tc>
      </w:tr>
      <w:tr>
        <w:trPr>
          <w:trHeight w:val="324"/>
        </w:trPr>
        <w:tc>
          <w:tcPr>
            <w:tcW w:w="64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Form of Certificate of Designation for Preferred Stock Issued Hereunder.</w:t>
            </w:r>
          </w:p>
        </w:tc>
      </w:tr>
      <w:tr>
        <w:trPr>
          <w:trHeight w:val="324"/>
        </w:trPr>
        <w:tc>
          <w:tcPr>
            <w:tcW w:w="640" w:type="dxa"/>
            <w:vAlign w:val="bottom"/>
          </w:tcPr>
          <w:p>
            <w:pPr>
              <w:jc w:val="right"/>
              <w:ind w:right="34"/>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Form of Depositary Receipt for Depositary Shares.</w:t>
            </w:r>
          </w:p>
        </w:tc>
      </w:tr>
      <w:tr>
        <w:trPr>
          <w:trHeight w:val="324"/>
        </w:trPr>
        <w:tc>
          <w:tcPr>
            <w:tcW w:w="640" w:type="dxa"/>
            <w:vAlign w:val="bottom"/>
          </w:tcPr>
          <w:p>
            <w:pPr>
              <w:jc w:val="right"/>
              <w:ind w:right="34"/>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Form of Deposit Agreement for Depositary Shares.</w:t>
            </w:r>
          </w:p>
        </w:tc>
      </w:tr>
      <w:tr>
        <w:trPr>
          <w:trHeight w:val="324"/>
        </w:trPr>
        <w:tc>
          <w:tcPr>
            <w:tcW w:w="640" w:type="dxa"/>
            <w:vAlign w:val="bottom"/>
          </w:tcPr>
          <w:p>
            <w:pPr>
              <w:jc w:val="right"/>
              <w:ind w:right="34"/>
              <w:spacing w:after="0"/>
              <w:rPr>
                <w:sz w:val="20"/>
                <w:szCs w:val="20"/>
                <w:color w:val="auto"/>
              </w:rPr>
            </w:pPr>
            <w:r>
              <w:rPr>
                <w:rFonts w:ascii="Arial" w:cs="Arial" w:eastAsia="Arial" w:hAnsi="Arial"/>
                <w:sz w:val="18"/>
                <w:szCs w:val="18"/>
                <w:color w:val="auto"/>
              </w:rPr>
              <w:t>**4.8</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Form of Purchase Contract.</w:t>
            </w:r>
          </w:p>
        </w:tc>
      </w:tr>
      <w:tr>
        <w:trPr>
          <w:trHeight w:val="324"/>
        </w:trPr>
        <w:tc>
          <w:tcPr>
            <w:tcW w:w="640" w:type="dxa"/>
            <w:vAlign w:val="bottom"/>
          </w:tcPr>
          <w:p>
            <w:pPr>
              <w:jc w:val="right"/>
              <w:ind w:right="34"/>
              <w:spacing w:after="0"/>
              <w:rPr>
                <w:sz w:val="20"/>
                <w:szCs w:val="20"/>
                <w:color w:val="auto"/>
              </w:rPr>
            </w:pPr>
            <w:r>
              <w:rPr>
                <w:rFonts w:ascii="Arial" w:cs="Arial" w:eastAsia="Arial" w:hAnsi="Arial"/>
                <w:sz w:val="18"/>
                <w:szCs w:val="18"/>
                <w:color w:val="auto"/>
              </w:rPr>
              <w:t>**4.9</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Form of Unit Agreement and Unit Certificate.</w:t>
            </w: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**4.10</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Form of Rights Agent Agreement or Subscription Agent Agreement.</w:t>
            </w: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**4.11</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Form of Rights Certificate.</w:t>
            </w:r>
          </w:p>
        </w:tc>
      </w:tr>
      <w:tr>
        <w:trPr>
          <w:trHeight w:val="324"/>
        </w:trPr>
        <w:tc>
          <w:tcPr>
            <w:tcW w:w="640" w:type="dxa"/>
            <w:vAlign w:val="bottom"/>
          </w:tcPr>
          <w:p>
            <w:pPr>
              <w:jc w:val="right"/>
              <w:ind w:right="34"/>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Opinion of Greenberg Traurig LLP, counsel to the Registrant.</w:t>
            </w:r>
          </w:p>
        </w:tc>
      </w:tr>
      <w:tr>
        <w:trPr>
          <w:trHeight w:val="324"/>
        </w:trPr>
        <w:tc>
          <w:tcPr>
            <w:tcW w:w="64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Calculation of Ratio of Earnings to Combined Fixed Charges and Preferred Dividends.</w:t>
            </w:r>
          </w:p>
        </w:tc>
      </w:tr>
      <w:tr>
        <w:trPr>
          <w:trHeight w:val="324"/>
        </w:trPr>
        <w:tc>
          <w:tcPr>
            <w:tcW w:w="640" w:type="dxa"/>
            <w:vAlign w:val="bottom"/>
          </w:tcPr>
          <w:p>
            <w:pPr>
              <w:jc w:val="right"/>
              <w:ind w:right="34"/>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Consent of Greenberg Traurig LLP (included in Exhibit 5.1).</w:t>
            </w:r>
          </w:p>
        </w:tc>
      </w:tr>
      <w:tr>
        <w:trPr>
          <w:trHeight w:val="324"/>
        </w:trPr>
        <w:tc>
          <w:tcPr>
            <w:tcW w:w="640" w:type="dxa"/>
            <w:vAlign w:val="bottom"/>
          </w:tcPr>
          <w:p>
            <w:pPr>
              <w:jc w:val="right"/>
              <w:ind w:right="34"/>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640" w:type="dxa"/>
            <w:vAlign w:val="bottom"/>
          </w:tcPr>
          <w:p>
            <w:pPr>
              <w:jc w:val="right"/>
              <w:ind w:right="34"/>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Power of Attorney (contained in signature page).</w:t>
            </w:r>
          </w:p>
        </w:tc>
      </w:tr>
    </w:tbl>
    <w:p>
      <w:pPr>
        <w:spacing w:after="0" w:line="7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right="34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be subsequently filed by amendment or as an exhibit to a document to be incorporated or deemed to be incorporated by reference to this registration statement, including a Current Report on Form 8-K.</w:t>
      </w:r>
    </w:p>
    <w:p>
      <w:pPr>
        <w:sectPr>
          <w:pgSz w:w="11900" w:h="16838" w:orient="portrait"/>
          <w:cols w:equalWidth="0" w:num="1">
            <w:col w:w="11420"/>
          </w:cols>
          <w:pgMar w:left="240" w:top="459"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[GREENBERG TRAURIG, LLP LETTERHEAD]</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Canton, MA 02021</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have acted as legal counsel to Casual Male Retail Group, Inc., a Delaware corporation (the “Company”), in connection with the registration statement on Form S-3 (the “Registration Statement”) being filed by the Company with the Securities and Exchange Commission (the “Commission”) under the Securities Act of 1933, as amended (the “Act”), on the date hereof.</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You have provided us with a draft of the Registration Statement in the form in which it will be filed with the Commission. The Registration Statement includes a base prospectus (the “Prospectus”), which provides that it will be supplemented in the future by one or more supplements to the Prospectus (each, a “Prospectus Supplement”). The Prospectus provides for the offering of the following securities: (i) shares of the Company’s common stock, $0.01 par value per share (“Common Stock”), (ii) shares of the Company’s preferred stock, $0.01 par value per share (“Preferred Stock”), (iii) warrants to purchase Common Stock, Preferred Stock, Depositary Shares or Units (as defined below) (“Warrants”), (iv) purchase contracts covering the purchase of Common Stock, Preferred Stock, Depositary Shares or Warrants (“Purchase Contracts”), (v) depositary shares representing fractional shares of Preferred Stock (“Depositary Shares”), (vi) rights to purchase Common Stock, Preferred Stock, Depositary Shares or Warrants (“Rights”), and (vii) units comprised of two or more of the foregoing (“Units”). The Common Stock, Preferred Stock, Warrants, Purchase Contracts, Depositary Shares, Rights and Units are collectively referred to as the “Securities.” The Securities may be offered and sold from time to time pursuant to Rule 415 promulgated under the Act, in amounts, at prices and on terms to be determined at the time of the offering thereof, at an aggregate initial offering price not to exceed $100,000,000.</w:t>
      </w:r>
    </w:p>
    <w:p>
      <w:pPr>
        <w:spacing w:after="0" w:line="12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have made such legal and factual examinations and inquiries, including an examination of originals or copies certified or otherwise identified to our satisfaction of such documents, corporate records and instruments, as we have deemed necessary or appropriate for purposes of this opinion. In our examination, we have assumed the genuineness of all signatures, the authenticity of all documents submitted to us as originals and the conformity to authentic original documents of all documents submitted to us as copies. As to facts material to the opinions, statements and assumptions expressed herein, we have, with your consent, relied upon oral or written statements and representations of officers and other representatives of the Company and the Guarantors and others. We have not independently verified such factual matters.</w:t>
      </w:r>
    </w:p>
    <w:p>
      <w:pPr>
        <w:sectPr>
          <w:pgSz w:w="11900" w:h="16838" w:orient="portrait"/>
          <w:cols w:equalWidth="0" w:num="1">
            <w:col w:w="11420"/>
          </w:cols>
          <w:pgMar w:left="240" w:top="13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expressing our opinions below, we have assumed, with your consent, that:</w:t>
      </w:r>
    </w:p>
    <w:p>
      <w:pPr>
        <w:spacing w:after="0" w:line="90" w:lineRule="exact"/>
        <w:rPr>
          <w:sz w:val="20"/>
          <w:szCs w:val="20"/>
          <w:color w:val="auto"/>
        </w:rPr>
      </w:pPr>
    </w:p>
    <w:p>
      <w:pPr>
        <w:ind w:right="400" w:firstLine="464"/>
        <w:spacing w:after="0" w:line="268"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Registration Statement (including any and all required post-effective amendments thereto) will have become effective under the Act and will comply with all applicable laws;</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Registration Statement (including any and all required post-effective amendments thereto) will be effective under the Act and will comply with all applicable laws at the time the Securities are offered or sold as contemplated by the Registration Statement (including any and all required post-effective amendments thereto), the Prospectus and the applicable Prospectus Supplement(s);</w:t>
      </w:r>
    </w:p>
    <w:p>
      <w:pPr>
        <w:spacing w:after="0" w:line="140" w:lineRule="exact"/>
        <w:rPr>
          <w:rFonts w:ascii="Arial" w:cs="Arial" w:eastAsia="Arial" w:hAnsi="Arial"/>
          <w:sz w:val="18"/>
          <w:szCs w:val="18"/>
          <w:color w:val="auto"/>
        </w:rPr>
      </w:pPr>
    </w:p>
    <w:p>
      <w:pPr>
        <w:ind w:right="60" w:firstLine="464"/>
        <w:spacing w:after="0" w:line="268"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(including any and all required post-effective amendments thereto) will have been issued and remain in effect;</w:t>
      </w:r>
    </w:p>
    <w:p>
      <w:pPr>
        <w:spacing w:after="0" w:line="131" w:lineRule="exact"/>
        <w:rPr>
          <w:rFonts w:ascii="Arial" w:cs="Arial" w:eastAsia="Arial" w:hAnsi="Arial"/>
          <w:sz w:val="18"/>
          <w:szCs w:val="18"/>
          <w:color w:val="auto"/>
        </w:rPr>
      </w:pPr>
    </w:p>
    <w:p>
      <w:pPr>
        <w:ind w:right="320" w:firstLine="464"/>
        <w:spacing w:after="0" w:line="268"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Prospectus Supplement describing the Securities offered thereby and the offering thereof and complying with all applicable laws will have been prepared and filed with the Commission;</w:t>
      </w:r>
    </w:p>
    <w:p>
      <w:pPr>
        <w:spacing w:after="0" w:line="131" w:lineRule="exact"/>
        <w:rPr>
          <w:rFonts w:ascii="Arial" w:cs="Arial" w:eastAsia="Arial" w:hAnsi="Arial"/>
          <w:sz w:val="18"/>
          <w:szCs w:val="18"/>
          <w:color w:val="auto"/>
        </w:rPr>
      </w:pPr>
    </w:p>
    <w:p>
      <w:pPr>
        <w:ind w:right="420" w:firstLine="464"/>
        <w:spacing w:after="0" w:line="332" w:lineRule="auto"/>
        <w:tabs>
          <w:tab w:leader="none" w:pos="6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Securities will be offered and sold in the form and with the terms set forth in the Registration Statement (including any and all required post-effective amendments thereto), the Prospectus and the applicable Prospectus Supplement(s) and the organizational documents of the Company;</w:t>
      </w:r>
    </w:p>
    <w:p>
      <w:pPr>
        <w:spacing w:after="0" w:line="85" w:lineRule="exact"/>
        <w:rPr>
          <w:rFonts w:ascii="Arial" w:cs="Arial" w:eastAsia="Arial" w:hAnsi="Arial"/>
          <w:sz w:val="16"/>
          <w:szCs w:val="16"/>
          <w:color w:val="auto"/>
        </w:rPr>
      </w:pPr>
    </w:p>
    <w:p>
      <w:pPr>
        <w:ind w:right="180" w:firstLine="464"/>
        <w:spacing w:after="0" w:line="332" w:lineRule="auto"/>
        <w:tabs>
          <w:tab w:leader="none" w:pos="6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Securities will be offered and sold in compliance with all applicable federal and state securities laws and in the manner stated in the Registration Statement (including any and all required post-effective amendments thereto), the Prospectus and the applicable Prospectus Supplement(s);</w:t>
      </w:r>
    </w:p>
    <w:p>
      <w:pPr>
        <w:spacing w:after="0" w:line="85" w:lineRule="exact"/>
        <w:rPr>
          <w:rFonts w:ascii="Arial" w:cs="Arial" w:eastAsia="Arial" w:hAnsi="Arial"/>
          <w:sz w:val="16"/>
          <w:szCs w:val="16"/>
          <w:color w:val="auto"/>
        </w:rPr>
      </w:pPr>
    </w:p>
    <w:p>
      <w:pPr>
        <w:ind w:right="120" w:firstLine="464"/>
        <w:spacing w:after="0" w:line="268"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will have obtained any and all legally required consents, approvals, authorizations and other orders of the Commission and any and all other regulatory authorities and other third parties necessary to offer and sell the Securities being offered;</w:t>
      </w:r>
    </w:p>
    <w:p>
      <w:pPr>
        <w:spacing w:after="0" w:line="131" w:lineRule="exact"/>
        <w:rPr>
          <w:rFonts w:ascii="Arial" w:cs="Arial" w:eastAsia="Arial" w:hAnsi="Arial"/>
          <w:sz w:val="18"/>
          <w:szCs w:val="18"/>
          <w:color w:val="auto"/>
        </w:rPr>
      </w:pPr>
    </w:p>
    <w:p>
      <w:pPr>
        <w:ind w:right="340" w:firstLine="464"/>
        <w:spacing w:after="0" w:line="268"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Securities offered and sold comply with all requirements and restrictions, if any, applicable to the Company, whether imposed by any court or governmental or regulatory body having jurisdiction over the Company;</w:t>
      </w:r>
    </w:p>
    <w:p>
      <w:pPr>
        <w:spacing w:after="0" w:line="131" w:lineRule="exact"/>
        <w:rPr>
          <w:rFonts w:ascii="Arial" w:cs="Arial" w:eastAsia="Arial" w:hAnsi="Arial"/>
          <w:sz w:val="18"/>
          <w:szCs w:val="18"/>
          <w:color w:val="auto"/>
        </w:rPr>
      </w:pPr>
    </w:p>
    <w:p>
      <w:pPr>
        <w:ind w:right="20" w:firstLine="464"/>
        <w:spacing w:after="0" w:line="268" w:lineRule="auto"/>
        <w:tabs>
          <w:tab w:leader="none" w:pos="6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definitive purchase, underwriting or similar agreement (each a “Purchase Agreement”) with respect to any Securities offered and sold will have been duly authorized and validly executed and delivered by the Company and the other parties thereto; and</w:t>
      </w:r>
    </w:p>
    <w:p>
      <w:pPr>
        <w:sectPr>
          <w:pgSz w:w="11900" w:h="16838" w:orient="portrait"/>
          <w:cols w:equalWidth="0" w:num="1">
            <w:col w:w="11260"/>
          </w:cols>
          <w:pgMar w:left="240" w:top="280" w:right="39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ind w:right="80" w:firstLine="464"/>
        <w:spacing w:after="0" w:line="268" w:lineRule="auto"/>
        <w:tabs>
          <w:tab w:leader="none" w:pos="66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Securities or other securities issuable upon conversion, exchange or exercise of any Security being offered and sold will be duly authorized, created and, if appropriate, reserved for issuance upon such conversion, exchange or exercise.</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opinions expressed below are subject to the qualifications that we express no opinion as to the applicability of, compliance with or effect of: (i) any bankruptcy, insolvency, reorganization, preference, fraudulent conveyance, fraudulent transfer, moratorium or other similar laws relating to or affecting the rights and remedies of creditors generally; (ii)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or (iii) public policy considerations that may limit the rights of parties to obtain certain remedies.</w:t>
      </w:r>
    </w:p>
    <w:p>
      <w:pPr>
        <w:spacing w:after="0" w:line="116"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We express no opinion as to (i) any provision to the extent it requires any party to indemnify any other person against loss in obtaining the currency due following a court judgment rendered in another currency, (ii) any provision providing for the indemnification of or contribution to a party with respect to a liability where such indemnification or contribution is contrary to public policy, (iii) any provision for liquidated damages, default interest, late charges, monetary penalties, prepayment or make-whole premiums or other economic remedies to the extent such provisions are deemed to constitute a penalty, (iv) consents to, or restrictions upon, governing law, jurisdiction, venue, arbitration, remedies or judicial relief, (v) any provision requiring the payment of attorneys’ fees, where such payment is contrary to law or public policy, (vi) any provision requiring the payment of interest on interest, (vii) the creation, validity, attachment, perfection, or priority of any lien or security interest, (viii) advance waivers of claims, defenses, rights granted by law, or notice, opportunity for hearing, evidentiary requirements, statutes of limitation, trial by jury or at law, or other procedural rights, (ix) waivers of broadly or vaguely stated rights, (x) provisions for exclusivity, election or cumulation of rights or remedies, (xi) provisions authorizing or validating conclusive or discretionary determinations, (xii) grants of setoff rights, (xiii) proxies, powers and trusts, (xiv) provisions prohibiting, restricting, or requiring consent to assignment or transfer of any right or property,</w:t>
      </w:r>
    </w:p>
    <w:p>
      <w:pPr>
        <w:spacing w:after="0" w:line="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provisions purporting to make a guarantor primarily liable rather than as a surety, (xvi) provisions purporting to waive modifications of any guaranteed</w:t>
      </w:r>
    </w:p>
    <w:p>
      <w:pPr>
        <w:spacing w:after="0" w:line="32" w:lineRule="exact"/>
        <w:rPr>
          <w:rFonts w:ascii="Arial" w:cs="Arial" w:eastAsia="Arial" w:hAnsi="Arial"/>
          <w:sz w:val="16"/>
          <w:szCs w:val="16"/>
          <w:color w:val="auto"/>
        </w:rPr>
      </w:pPr>
    </w:p>
    <w:p>
      <w:pPr>
        <w:ind w:right="100"/>
        <w:spacing w:after="0" w:line="295" w:lineRule="auto"/>
        <w:rPr>
          <w:rFonts w:ascii="Arial" w:cs="Arial" w:eastAsia="Arial" w:hAnsi="Arial"/>
          <w:sz w:val="16"/>
          <w:szCs w:val="16"/>
          <w:color w:val="auto"/>
        </w:rPr>
      </w:pPr>
      <w:r>
        <w:rPr>
          <w:rFonts w:ascii="Arial" w:cs="Arial" w:eastAsia="Arial" w:hAnsi="Arial"/>
          <w:sz w:val="16"/>
          <w:szCs w:val="16"/>
          <w:color w:val="auto"/>
        </w:rPr>
        <w:t>obligation to the extent such modification constitutes a novation, (xvii) any provision to the extent it requires that a claim with respect to a security denominated in other than U.S. dollars (or a judgment in respect of such a claim) be converted into U.S. dollars at a rate of exchange at a particular date, to the extent applicable law otherwise provides, (xviii) compliance with any usury laws, (xix) the severability, if invalid, of provisions to the foregoing effect, (xx) the securities or “Blue Sky” laws of any state to the offer or sale of the Securities and (xxi) the antifraud provisions of the securities or other laws of any jurisdiction.</w:t>
      </w:r>
    </w:p>
    <w:p>
      <w:pPr>
        <w:spacing w:after="0" w:line="11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also assumed, with your consent, that: (i) the Depositary Shares and any related deposit agreement, the Warrants and any related warrant agreement, the Purchase Contracts and any related purchase contract agreements, the Rights and any related rights agent agreement, and the Units and any related unit agreement (collectively, the “Documents”) will be governed by the internal laws</w:t>
      </w:r>
    </w:p>
    <w:p>
      <w:pPr>
        <w:sectPr>
          <w:pgSz w:w="11900" w:h="16838" w:orient="portrait"/>
          <w:cols w:equalWidth="0" w:num="1">
            <w:col w:w="11420"/>
          </w:cols>
          <w:pgMar w:left="240" w:top="2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65"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of The Commonwealth of Massachusetts; (ii) each of the Documents will be duly authorized, executed and delivered by the parties thereto; (iii) each of the Documents will constitute legally valid and binding obligations of the parties thereto other than the Company, enforceable against each of them in accordance with their respective terms; and (iv) the status of each of the Documents as legally valid and binding obligations of the parties thereto will not be affected by any</w:t>
      </w:r>
    </w:p>
    <w:p>
      <w:pPr>
        <w:spacing w:after="0" w:line="1" w:lineRule="exact"/>
        <w:rPr>
          <w:sz w:val="20"/>
          <w:szCs w:val="20"/>
          <w:color w:val="auto"/>
        </w:rPr>
      </w:pPr>
    </w:p>
    <w:p>
      <w:pPr>
        <w:ind w:right="40" w:firstLine="8"/>
        <w:spacing w:after="0" w:line="255" w:lineRule="auto"/>
        <w:tabs>
          <w:tab w:leader="none" w:pos="2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breaches of, or defaults under, any agreements or instruments, (b) violations of any statutes, rules, regulations or court or governmental orders, or (c) failures to obtain required consents, approvals or authorizations from, or to make required registrations, declarations or filings with, any governmental authorities or other third parties.</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opining herein only as to the federal laws of the United States, the internal laws of The Commonwealth of Massachusetts, and the Delaware General Corporation Law (including the applicable provisions of the Delaware Constitution and reported Delaware judicial decisions interpreting such law and such provisions), in each case as in effect on the date of this opinion, and we express no opinion with respect to the laws of any other jurisdiction or, in the case of Delaware, any other laws, or as to any matters of municipal law or the laws of any other local agencies within any state.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foregoing and the other matters set forth herein, it is our opinion that, as of the date hereof:</w:t>
      </w:r>
    </w:p>
    <w:p>
      <w:pPr>
        <w:spacing w:after="0" w:line="90" w:lineRule="exact"/>
        <w:rPr>
          <w:sz w:val="20"/>
          <w:szCs w:val="20"/>
          <w:color w:val="auto"/>
        </w:rPr>
      </w:pPr>
    </w:p>
    <w:p>
      <w:pPr>
        <w:ind w:right="100" w:firstLine="464"/>
        <w:spacing w:after="0" w:line="255" w:lineRule="auto"/>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adoption by the board of directors of the Company of a resolution in form and content as required by applicable law duly authorizing the issuance of shares of Common Stock (with such shares, together with all shares of Common Stock previously issued or reserved for issuance and not duly and lawfully retired, not exceeding the then authorized shares of Common Stock), and upon issuance and delivery of and payment of legal consideration in excess of the par value thereof in accordance with the applicable Purchase Agreement and all applicable law, such shares of Common Stock will be validly issued, fully paid and nonassessable.</w:t>
      </w:r>
    </w:p>
    <w:p>
      <w:pPr>
        <w:spacing w:after="0" w:line="142" w:lineRule="exact"/>
        <w:rPr>
          <w:rFonts w:ascii="Arial" w:cs="Arial" w:eastAsia="Arial" w:hAnsi="Arial"/>
          <w:sz w:val="18"/>
          <w:szCs w:val="18"/>
          <w:color w:val="auto"/>
        </w:rPr>
      </w:pPr>
    </w:p>
    <w:p>
      <w:pPr>
        <w:ind w:right="20" w:firstLine="464"/>
        <w:spacing w:after="0" w:line="290" w:lineRule="auto"/>
        <w:tabs>
          <w:tab w:leader="none" w:pos="6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When a series of Preferred Stock has been duly established in accordance with the terms of the Company’s Restated Certificate of Incorporation, as amended, and applicable law, and upon adoption by the board of directors of the Company of a resolution in form and content as required by applicable law duly authorizing the issuance of shares of Preferred Stock (with such shares, together with all shares of Preferred Stock previously issued, designated or reserved for issuance and not duly and lawfully retired, not exceeding the then authorized shares of Preferred Stock) and upon issuance and delivery of and payment of legal consideration in excess of the par value thereof in accordance with the applicable Purchase Agreement and all applicable law (and assuming the satisfaction of the conditions described in the applicable numbered paragraphs of this opinion letter with respect to our opinion regarding any Securities into or for which such shares of Preferred Stock may be convertible, exchangeable or redeemable), such shares of Preferred Stock will be validly issued, fully paid and nonassessable.</w:t>
      </w:r>
    </w:p>
    <w:p>
      <w:pPr>
        <w:sectPr>
          <w:pgSz w:w="11900" w:h="16838" w:orient="portrait"/>
          <w:cols w:equalWidth="0" w:num="1">
            <w:col w:w="11420"/>
          </w:cols>
          <w:pgMar w:left="240" w:top="2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65" w:lineRule="exact"/>
        <w:rPr>
          <w:sz w:val="20"/>
          <w:szCs w:val="20"/>
          <w:color w:val="auto"/>
        </w:rPr>
      </w:pPr>
    </w:p>
    <w:p>
      <w:pPr>
        <w:ind w:firstLine="464"/>
        <w:spacing w:after="0" w:line="288" w:lineRule="auto"/>
        <w:tabs>
          <w:tab w:leader="none" w:pos="632" w:val="left"/>
        </w:tabs>
        <w:numPr>
          <w:ilvl w:val="1"/>
          <w:numId w:val="27"/>
        </w:numPr>
        <w:rPr>
          <w:rFonts w:ascii="Arial" w:cs="Arial" w:eastAsia="Arial" w:hAnsi="Arial"/>
          <w:sz w:val="16"/>
          <w:szCs w:val="16"/>
          <w:color w:val="auto"/>
        </w:rPr>
      </w:pPr>
      <w:r>
        <w:rPr>
          <w:rFonts w:ascii="Arial" w:cs="Arial" w:eastAsia="Arial" w:hAnsi="Arial"/>
          <w:sz w:val="16"/>
          <w:szCs w:val="16"/>
          <w:color w:val="auto"/>
        </w:rPr>
        <w:t>When (a) a warrant agreement, if any, has been duly authorized by all necessary corporate action of the Company (including, without limitation, the adoption by the board of directors of the Company of a resolution in form and content as required by applicable law duly authorizing the execution and delivery of such warrant agreement) and duly executed and delivered by the Company, (b) the specific terms of a particular issuance of Warrants have been duly established in accordance with such warrant agreement, if any, and all applicable law and authorized by all necessary corporate action of the Company (including, without limitation, the adoption by the board of directors of the Company of a resolution in form and content as required by applicable law duly authorizing the issuance and delivery of the Warrants), and (c) the Warrants have been duly executed, issued and delivered against payment therefor in accordance with such warrant agreement, if any, the applicable Purchase Agreement and all applicable law (and assuming the satisfaction of the conditions described in the applicable numbered paragraphs of this opinion letter with respect to our opinion regarding any Securities issuable upon exercise of the Warrants), such Warrants will be legally valid and binding obligations of the Company, enforceable against the Company in accordance with their terms.</w:t>
      </w:r>
    </w:p>
    <w:p>
      <w:pPr>
        <w:spacing w:after="0" w:line="119" w:lineRule="exact"/>
        <w:rPr>
          <w:rFonts w:ascii="Arial" w:cs="Arial" w:eastAsia="Arial" w:hAnsi="Arial"/>
          <w:sz w:val="16"/>
          <w:szCs w:val="16"/>
          <w:color w:val="auto"/>
        </w:rPr>
      </w:pPr>
    </w:p>
    <w:p>
      <w:pPr>
        <w:ind w:firstLine="464"/>
        <w:spacing w:after="0" w:line="287" w:lineRule="auto"/>
        <w:tabs>
          <w:tab w:leader="none" w:pos="632" w:val="left"/>
        </w:tabs>
        <w:numPr>
          <w:ilvl w:val="1"/>
          <w:numId w:val="27"/>
        </w:numPr>
        <w:rPr>
          <w:rFonts w:ascii="Arial" w:cs="Arial" w:eastAsia="Arial" w:hAnsi="Arial"/>
          <w:sz w:val="16"/>
          <w:szCs w:val="16"/>
          <w:color w:val="auto"/>
        </w:rPr>
      </w:pPr>
      <w:r>
        <w:rPr>
          <w:rFonts w:ascii="Arial" w:cs="Arial" w:eastAsia="Arial" w:hAnsi="Arial"/>
          <w:sz w:val="16"/>
          <w:szCs w:val="16"/>
          <w:color w:val="auto"/>
        </w:rPr>
        <w:t>When (a) a purchase contract agreement has been duly authorized by all necessary corporate action of the Company (including, without limitation, the adoption by the board of directors of the Company of a resolution in form and content as required by applicable law duly authorizing the execution and delivery of such purchase contract agreement) and duly executed and delivered by the Company, (b) the specific terms of a particular issuance of the related Purchase Contracts have been duly established in accordance with such purchase contract agreement and all applicable law and authorized by all necessary corporate action of the Company (including, without limitation, the adoption by the board of directors of the Company of a resolution in form and content as required by applicable law duly authorizing the issuance and delivery of the Purchase Contracts), and (c) the related Purchase Contracts have been duly executed, issued and delivered against payment therefor in accordance with such purchase contract agreement, the applicable Purchase Agreement and all applicable law (and assuming the satisfaction of the conditions described in the applicable numbered paragraphs of this opinion letter with respect to our opinion regarding any Securities underlying the Purchase Contracts), such Purchase Contracts will be legally valid and binding obligations of the Company, enforceable against the Company in accordance with their terms.</w:t>
      </w:r>
    </w:p>
    <w:p>
      <w:pPr>
        <w:spacing w:after="0" w:line="122" w:lineRule="exact"/>
        <w:rPr>
          <w:rFonts w:ascii="Arial" w:cs="Arial" w:eastAsia="Arial" w:hAnsi="Arial"/>
          <w:sz w:val="16"/>
          <w:szCs w:val="16"/>
          <w:color w:val="auto"/>
        </w:rPr>
      </w:pPr>
    </w:p>
    <w:p>
      <w:pPr>
        <w:ind w:firstLine="464"/>
        <w:spacing w:after="0" w:line="302" w:lineRule="auto"/>
        <w:tabs>
          <w:tab w:leader="none" w:pos="632" w:val="left"/>
        </w:tabs>
        <w:numPr>
          <w:ilvl w:val="1"/>
          <w:numId w:val="27"/>
        </w:numPr>
        <w:rPr>
          <w:rFonts w:ascii="Arial" w:cs="Arial" w:eastAsia="Arial" w:hAnsi="Arial"/>
          <w:sz w:val="15"/>
          <w:szCs w:val="15"/>
          <w:color w:val="auto"/>
        </w:rPr>
      </w:pPr>
      <w:r>
        <w:rPr>
          <w:rFonts w:ascii="Arial" w:cs="Arial" w:eastAsia="Arial" w:hAnsi="Arial"/>
          <w:sz w:val="15"/>
          <w:szCs w:val="15"/>
          <w:color w:val="auto"/>
        </w:rPr>
        <w:t>When (a) a deposit agreement has been duly authorized by all necessary corporate action of the Company (including, without limitation, the adoption by the board of directors of the Company of a resolution in form and content as required by applicable law duly authorizing the execution and delivery of such deposit agreement) and duly executed and delivered by the Company, (b) the specific terms of a particular issuance of Depositary Shares have been duly established in accordance with such deposit agreement and all applicable law and authorized by all necessary corporate action of the Company (including, without limitation, the adoption by the board of directors of the Company of a resolution in form and content as required by applicable law duly authorizing the issuance and delivery of the Depositary Shares), (c) the shares of Preferred Stock underlying such Depositary Shares have been deposited with the depositary, and</w:t>
      </w: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Depositary Shares have been</w:t>
      </w:r>
    </w:p>
    <w:p>
      <w:pPr>
        <w:sectPr>
          <w:pgSz w:w="11900" w:h="16838" w:orient="portrait"/>
          <w:cols w:equalWidth="0" w:num="1">
            <w:col w:w="11400"/>
          </w:cols>
          <w:pgMar w:left="240" w:top="280"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6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duly executed, issued and delivered against payment therefor in accordance with such deposit agreement, the applicable Purchase Agreement and all applicable law (and assuming the satisfaction of the conditions described in the applicable numbered paragraphs this opinion letter with respect to our opinion regarding the Preferred Stock underlying the Depositary Shares), such Depositary Shares will be legally valid and binding obligations of the Company, enforceable against the Company in accordance with their terms.</w:t>
      </w:r>
    </w:p>
    <w:p>
      <w:pPr>
        <w:spacing w:after="0" w:line="143" w:lineRule="exact"/>
        <w:rPr>
          <w:sz w:val="20"/>
          <w:szCs w:val="20"/>
          <w:color w:val="auto"/>
        </w:rPr>
      </w:pPr>
    </w:p>
    <w:p>
      <w:pPr>
        <w:ind w:right="140" w:firstLine="464"/>
        <w:spacing w:after="0" w:line="288" w:lineRule="auto"/>
        <w:tabs>
          <w:tab w:leader="none" w:pos="632" w:val="left"/>
        </w:tabs>
        <w:numPr>
          <w:ilvl w:val="0"/>
          <w:numId w:val="29"/>
        </w:numPr>
        <w:rPr>
          <w:rFonts w:ascii="Arial" w:cs="Arial" w:eastAsia="Arial" w:hAnsi="Arial"/>
          <w:sz w:val="16"/>
          <w:szCs w:val="16"/>
          <w:color w:val="auto"/>
        </w:rPr>
      </w:pPr>
      <w:r>
        <w:rPr>
          <w:rFonts w:ascii="Arial" w:cs="Arial" w:eastAsia="Arial" w:hAnsi="Arial"/>
          <w:sz w:val="16"/>
          <w:szCs w:val="16"/>
          <w:color w:val="auto"/>
        </w:rPr>
        <w:t>When (a) a rights agent agreement has been duly authorized by all necessary corporate action of the Company (including, without limitation, the adoption by the board of directors of the Company of a resolution in form and content as required by applicable law duly authorizing the execution and delivery of such rights agent agreement) and duly executed and delivered by the Company, (b) the specific terms of a particular issuance of the related Rights have been duly established in accordance with such rights agent agreement and all applicable law and authorized by all necessary corporate action of the Company (including, without limitation, the adoption by the board of directors of the Company of a resolution in form and content as required by applicable law duly authorizing the issuance and delivery of the Rights), and (c) the related Rights have been duly executed, issued and delivered against payment therefor in accordance with such purchase contract agreement, the applicable Purchase Agreement and all applicable law (and assuming the satisfaction of the conditions described in the applicable numbered paragraphs of this opinion letter with respect to our opinion regarding any Securities underlying the Rights), such Rights will be legally valid and binding obligations of the Company, enforceable against the Company in accordance with their terms.</w:t>
      </w:r>
    </w:p>
    <w:p>
      <w:pPr>
        <w:spacing w:after="0" w:line="119" w:lineRule="exact"/>
        <w:rPr>
          <w:rFonts w:ascii="Arial" w:cs="Arial" w:eastAsia="Arial" w:hAnsi="Arial"/>
          <w:sz w:val="16"/>
          <w:szCs w:val="16"/>
          <w:color w:val="auto"/>
        </w:rPr>
      </w:pPr>
    </w:p>
    <w:p>
      <w:pPr>
        <w:ind w:right="20" w:firstLine="464"/>
        <w:spacing w:after="0" w:line="310" w:lineRule="auto"/>
        <w:tabs>
          <w:tab w:leader="none" w:pos="632" w:val="left"/>
        </w:tabs>
        <w:numPr>
          <w:ilvl w:val="0"/>
          <w:numId w:val="29"/>
        </w:numPr>
        <w:rPr>
          <w:rFonts w:ascii="Arial" w:cs="Arial" w:eastAsia="Arial" w:hAnsi="Arial"/>
          <w:sz w:val="15"/>
          <w:szCs w:val="15"/>
          <w:color w:val="auto"/>
        </w:rPr>
      </w:pPr>
      <w:r>
        <w:rPr>
          <w:rFonts w:ascii="Arial" w:cs="Arial" w:eastAsia="Arial" w:hAnsi="Arial"/>
          <w:sz w:val="15"/>
          <w:szCs w:val="15"/>
          <w:color w:val="auto"/>
        </w:rPr>
        <w:t>When (a) a unit agreement has been duly authorized by all necessary corporate action of the Company (including, without limitation, the adoption by the board of directors of the Company of a resolution duly authorizing the execution and delivery of such unit agreement) and duly executed and delivered by the Company, (b) the specific terms of a particular issuance of the related Units have been duly established in accordance with such unit agreement and all applicable law and authorized by all necessary corporate action of the Company (including, without limitation, the adoption by the board of directors of the Company of a resolution in form and content as required by applicable law duly authorizing the issuance and delivery of the Units), and such (c) Units have been duly executed, issued and delivered against payment therefor in accordance with such unit agreement, the applicable Purchase Agreement and all applicable law (and assuming the satisfaction of the conditions described in the applicable numbered paragraphs of this opinion letter with respect to our opinion regarding the Securities underlying the Units), such Units will be legally valid and binding obligations of the Company, enforceable against the Company in accordance with their terms.</w:t>
      </w:r>
    </w:p>
    <w:p>
      <w:pPr>
        <w:spacing w:after="0" w:line="10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This opinion is to be used only in connection with the offer and sale of the Securities while the Registration Statement and any and all required post-effective amendments thereto are effective.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opinion is being delivered solely for the benefit of the Company and such other persons as are entitled to rely upon it pursuant to applicable provisions of the Securities Act. This opinion may not be used, quoted, relied upon or referred to for any other purpose nor may this opinion be used, quoted, relied upon or referred to by any other person, for any purpose, without our prior written consent.</w:t>
      </w:r>
    </w:p>
    <w:p>
      <w:pPr>
        <w:sectPr>
          <w:pgSz w:w="11900" w:h="16838" w:orient="portrait"/>
          <w:cols w:equalWidth="0" w:num="1">
            <w:col w:w="11400"/>
          </w:cols>
          <w:pgMar w:left="240" w:top="280"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consent to your filing this opinion as an exhibit to the Registration Statement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GREENBERG TRAURIG,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GREENBERG TRAURIG, LLP</w:t>
      </w:r>
    </w:p>
    <w:p>
      <w:pPr>
        <w:sectPr>
          <w:pgSz w:w="11900" w:h="16838" w:orient="portrait"/>
          <w:cols w:equalWidth="0" w:num="1">
            <w:col w:w="11220"/>
          </w:cols>
          <w:pgMar w:left="240" w:top="280" w:right="4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3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Ratio of Earnings to Fixed Charges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Ended</w:t>
            </w:r>
          </w:p>
        </w:tc>
        <w:tc>
          <w:tcPr>
            <w:tcW w:w="14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3"/>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May 2, 2009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1"/>
              </w:rPr>
              <w:t>(in thousands,</w:t>
            </w:r>
          </w:p>
        </w:tc>
        <w:tc>
          <w:tcPr>
            <w:tcW w:w="2600" w:type="dxa"/>
            <w:vAlign w:val="bottom"/>
            <w:gridSpan w:val="12"/>
          </w:tcPr>
          <w:p>
            <w:pPr>
              <w:jc w:val="right"/>
              <w:ind w:right="240"/>
              <w:spacing w:after="0" w:line="142" w:lineRule="exact"/>
              <w:rPr>
                <w:sz w:val="20"/>
                <w:szCs w:val="20"/>
                <w:color w:val="auto"/>
              </w:rPr>
            </w:pPr>
            <w:r>
              <w:rPr>
                <w:rFonts w:ascii="Arial" w:cs="Arial" w:eastAsia="Arial" w:hAnsi="Arial"/>
                <w:sz w:val="14"/>
                <w:szCs w:val="14"/>
                <w:b w:val="1"/>
                <w:bCs w:val="1"/>
                <w:i w:val="1"/>
                <w:iCs w:val="1"/>
                <w:color w:val="auto"/>
                <w:w w:val="85"/>
              </w:rPr>
              <w:t>except ratio of earnings to fixed charges)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w w:val="98"/>
              </w:rPr>
              <w:t>Pretax income (loss) from continuing operations before taxes and minority interest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9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 (79,416)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6,698</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$22,202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8,031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Fixed Charges: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9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3,080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4,437</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w w:val="91"/>
              </w:rPr>
              <w:t>Amortized premiums, discounts, and capitalized expenses related to indebtedness</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980" w:type="dxa"/>
            <w:vAlign w:val="bottom"/>
            <w:gridSpan w:val="3"/>
          </w:tcPr>
          <w:p>
            <w:pPr>
              <w:jc w:val="right"/>
              <w:ind w:right="112"/>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541</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portion of rent expense—33%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4,035</w:t>
            </w:r>
          </w:p>
        </w:tc>
        <w:tc>
          <w:tcPr>
            <w:tcW w:w="9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16,020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15,544</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14,959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14,376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Total Fixed Charges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6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4,523</w:t>
            </w:r>
          </w:p>
        </w:tc>
        <w:tc>
          <w:tcPr>
            <w:tcW w:w="980" w:type="dxa"/>
            <w:vAlign w:val="bottom"/>
            <w:gridSpan w:val="3"/>
          </w:tcPr>
          <w:p>
            <w:pPr>
              <w:jc w:val="right"/>
              <w:ind w:right="112"/>
              <w:spacing w:after="0"/>
              <w:rPr>
                <w:sz w:val="20"/>
                <w:szCs w:val="20"/>
                <w:color w:val="auto"/>
              </w:rPr>
            </w:pPr>
            <w:r>
              <w:rPr>
                <w:rFonts w:ascii="Arial" w:cs="Arial" w:eastAsia="Arial" w:hAnsi="Arial"/>
                <w:sz w:val="18"/>
                <w:szCs w:val="18"/>
                <w:color w:val="auto"/>
              </w:rPr>
              <w:t>$ 19,572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20,522</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$21,220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24,254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25,108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Earnings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4,859</w:t>
            </w:r>
          </w:p>
        </w:tc>
        <w:tc>
          <w:tcPr>
            <w:tcW w:w="9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 (59,844)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27,220</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$43,422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32,285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Deficiency</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52"/>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(79,416)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23.2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consent to the reference to our firm under the caption “Experts” in the Registration Statement (Form S-3) and related Prospectus of Casual Male Retail Group, Inc. for the registration of an indeterminate number of shares of common stock and preferred stock; an indeterminate number of depositary shares; an indeterminate number of warrants to purchase common stock, preferred stock, depositary shares and/or units; an indeterminate number of purchase contracts to purchase common stock, preferred stock, depositary shares or warrants; an indeterminate number of rights to purchase common stock, preferred stock, depositary shares or warrants; and an indeterminate number of units and to the incorporation by reference therein of our reports dated March 18, 2009, with respect to the consolidated financial statements of Casual Male Retail Group, Inc. and the effectiveness of internal control over financial reporting of Casual Male Retail Group, Inc. included in its Annual Report (Form 10-K), as amended, for the fiscal year ended January 31, 2009, filed with the Securities and Exchange Commission.</w:t>
      </w:r>
    </w:p>
    <w:p>
      <w:pPr>
        <w:spacing w:after="0" w:line="105"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lvl w:ilvl="1">
      <w:lvlJc w:val="left"/>
      <w:lvlText w:val="(%2)"/>
      <w:numFmt w:val="lowerRoman"/>
      <w:start w:val="1"/>
    </w:lvl>
  </w:abstractNum>
  <w:abstractNum w:abstractNumId="16">
    <w:nsid w:val="2D1D5AE9"/>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17">
    <w:nsid w:val="6763845E"/>
    <w:multiLevelType w:val="hybridMultilevel"/>
    <w:lvl w:ilvl="0">
      <w:lvlJc w:val="left"/>
      <w:lvlText w:val="(%1)"/>
      <w:numFmt w:val="lowerRoman"/>
      <w:start w:val="1"/>
    </w:lvl>
  </w:abstractNum>
  <w:abstractNum w:abstractNumId="18">
    <w:nsid w:val="75A2A8D4"/>
    <w:multiLevelType w:val="hybridMultilevel"/>
    <w:lvl w:ilvl="0">
      <w:lvlJc w:val="left"/>
      <w:lvlText w:val="(%1)"/>
      <w:numFmt w:val="lowerRoman"/>
      <w:start w:val="3"/>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0"/>
    </w:lvl>
  </w:abstractNum>
  <w:abstractNum w:abstractNumId="23">
    <w:nsid w:val="189A769B"/>
    <w:multiLevelType w:val="hybridMultilevel"/>
    <w:lvl w:ilvl="0">
      <w:lvlJc w:val="left"/>
      <w:lvlText w:val="(%1)"/>
      <w:numFmt w:val="lowerRoman"/>
      <w:start w:val="15"/>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lowerLetter"/>
      <w:start w:val="1"/>
    </w:lvl>
    <w:lvl w:ilvl="1">
      <w:lvlJc w:val="left"/>
      <w:lvlText w:val="%2."/>
      <w:numFmt w:val="decimal"/>
      <w:start w:val="3"/>
    </w:lvl>
  </w:abstractNum>
  <w:abstractNum w:abstractNumId="27">
    <w:nsid w:val="836C40E"/>
    <w:multiLevelType w:val="hybridMultilevel"/>
    <w:lvl w:ilvl="0">
      <w:lvlJc w:val="left"/>
      <w:lvlText w:val="(%1)"/>
      <w:numFmt w:val="lowerLetter"/>
      <w:start w:val="4"/>
    </w:lvl>
    <w:lvl w:ilvl="1">
      <w:lvlJc w:val="left"/>
      <w:lvlText w:val="%2"/>
      <w:numFmt w:val="decimal"/>
      <w:start w:val="1"/>
    </w:lvl>
  </w:abstractNum>
  <w:abstractNum w:abstractNumId="28">
    <w:nsid w:val="2901D82"/>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2019-12-10T06:59:20Z</dcterms:created>
  <dcterms:modified xsi:type="dcterms:W3CDTF">2019-12-10T06:59:20Z</dcterms:modified>
</cp:coreProperties>
</file>