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40" w:right="1620" w:hanging="3832"/>
        <w:spacing w:after="0" w:line="392" w:lineRule="auto"/>
        <w:tabs>
          <w:tab w:leader="none" w:pos="5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October 28, 2017</w:t>
      </w:r>
    </w:p>
    <w:p>
      <w:pPr>
        <w:spacing w:after="0" w:line="28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5"/>
        </w:trPr>
        <w:tc>
          <w:tcPr>
            <w:tcW w:w="4180" w:type="dxa"/>
            <w:vAlign w:val="bottom"/>
          </w:tcPr>
          <w:p>
            <w:pPr>
              <w:jc w:val="center"/>
              <w:ind w:right="200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555 Turnpike Street</w:t>
            </w:r>
          </w:p>
        </w:tc>
        <w:tc>
          <w:tcPr>
            <w:tcW w:w="3060" w:type="dxa"/>
            <w:vAlign w:val="bottom"/>
          </w:tcPr>
          <w:p>
            <w:pPr>
              <w:spacing w:after="0"/>
              <w:rPr>
                <w:sz w:val="18"/>
                <w:szCs w:val="18"/>
                <w:color w:val="auto"/>
              </w:rPr>
            </w:pP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5"/>
              </w:rPr>
              <w:t>Canton, MA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02021</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00" w:firstLine="60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jc w:val="both"/>
        <w:ind w:right="280" w:firstLine="60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80" w:type="dxa"/>
            <w:vAlign w:val="bottom"/>
          </w:tcPr>
          <w:p>
            <w:pPr>
              <w:ind w:left="16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120" w:firstLine="608"/>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November 10, 2017, the registrant had 48,686,513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523240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October 28,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28, 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Property and equipment, net of accumulated depreciation and amortization</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7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263,652</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2,296</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17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w w:val="97"/>
              </w:rPr>
              <w:t>Preferred stock, $0.01 par value, 1,000,000 shares authorized, none issued</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Common stock, $0.01 par value, 100,000,000 shares authorized, 61,426,351 and</w:t>
            </w:r>
          </w:p>
        </w:tc>
        <w:tc>
          <w:tcPr>
            <w:tcW w:w="192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w w:val="88"/>
              </w:rPr>
              <w:t>61,637,164 shares</w:t>
            </w: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issued at October 28, 2017 and January 28, 2017, respectively</w:t>
            </w:r>
          </w:p>
        </w:tc>
        <w:tc>
          <w:tcPr>
            <w:tcW w:w="1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307,115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5"/>
              </w:rPr>
              <w:t>Treasury stock at cost, 12,755,873 and 10,877,439 shares at October 28, 2017 and January 28, 2017,</w:t>
            </w: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1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(92,658)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(138,069)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7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263,652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jc w:val="right"/>
              <w:ind w:right="820"/>
              <w:spacing w:after="0"/>
              <w:rPr>
                <w:sz w:val="20"/>
                <w:szCs w:val="20"/>
                <w:color w:val="auto"/>
              </w:rPr>
            </w:pPr>
            <w:r>
              <w:rPr>
                <w:rFonts w:ascii="Arial" w:cs="Arial" w:eastAsia="Arial" w:hAnsi="Arial"/>
                <w:sz w:val="14"/>
                <w:szCs w:val="14"/>
                <w:color w:val="auto"/>
              </w:rPr>
              <w:t>For the Three Months Ended</w:t>
            </w:r>
          </w:p>
        </w:tc>
        <w:tc>
          <w:tcPr>
            <w:tcW w:w="220" w:type="dxa"/>
            <w:vAlign w:val="bottom"/>
          </w:tcPr>
          <w:p>
            <w:pPr>
              <w:spacing w:after="0"/>
              <w:rPr>
                <w:sz w:val="14"/>
                <w:szCs w:val="14"/>
                <w:color w:val="auto"/>
              </w:rPr>
            </w:pPr>
          </w:p>
        </w:tc>
        <w:tc>
          <w:tcPr>
            <w:tcW w:w="3060" w:type="dxa"/>
            <w:vAlign w:val="bottom"/>
            <w:gridSpan w:val="5"/>
          </w:tcPr>
          <w:p>
            <w:pPr>
              <w:jc w:val="right"/>
              <w:ind w:right="8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October 28,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October 29, 2016</w:t>
            </w:r>
          </w:p>
        </w:tc>
        <w:tc>
          <w:tcPr>
            <w:tcW w:w="22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October 28, 2017</w:t>
            </w:r>
          </w:p>
        </w:tc>
        <w:tc>
          <w:tcPr>
            <w:tcW w:w="24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October 29,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2016)</w:t>
            </w:r>
          </w:p>
        </w:tc>
        <w:tc>
          <w:tcPr>
            <w:tcW w:w="2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2017)</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103,700</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332,454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183,136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45,238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149,318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41,968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48,877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162,259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(12,941)</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(2,497)</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(15,438)</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(5,706)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(15,502)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4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right"/>
              <w:ind w:right="82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color w:val="auto"/>
                <w:w w:val="92"/>
              </w:rPr>
              <w:t>October 28, 2017</w:t>
            </w:r>
          </w:p>
        </w:tc>
        <w:tc>
          <w:tcPr>
            <w:tcW w:w="10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October 29, 2016</w:t>
            </w:r>
          </w:p>
        </w:tc>
        <w:tc>
          <w:tcPr>
            <w:tcW w:w="12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October 28, 2017</w:t>
            </w:r>
          </w:p>
        </w:tc>
        <w:tc>
          <w:tcPr>
            <w:tcW w:w="120" w:type="dxa"/>
            <w:vAlign w:val="bottom"/>
          </w:tcPr>
          <w:p>
            <w:pPr>
              <w:spacing w:after="0"/>
              <w:rPr>
                <w:sz w:val="15"/>
                <w:szCs w:val="15"/>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w w:val="92"/>
              </w:rPr>
              <w:t>October 29,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2017)</w:t>
            </w:r>
          </w:p>
        </w:tc>
        <w:tc>
          <w:tcPr>
            <w:tcW w:w="10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2016)</w:t>
            </w:r>
          </w:p>
        </w:tc>
        <w:tc>
          <w:tcPr>
            <w:tcW w:w="1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(Fiscal 2017)</w:t>
            </w:r>
          </w:p>
        </w:tc>
        <w:tc>
          <w:tcPr>
            <w:tcW w:w="12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Additional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Paid-in</w:t>
            </w:r>
          </w:p>
        </w:tc>
        <w:tc>
          <w:tcPr>
            <w:tcW w:w="1500" w:type="dxa"/>
            <w:vAlign w:val="bottom"/>
            <w:gridSpan w:val="5"/>
          </w:tcPr>
          <w:p>
            <w:pPr>
              <w:jc w:val="right"/>
              <w:ind w:right="339"/>
              <w:spacing w:after="0"/>
              <w:rPr>
                <w:sz w:val="20"/>
                <w:szCs w:val="20"/>
                <w:color w:val="auto"/>
              </w:rPr>
            </w:pPr>
            <w:r>
              <w:rPr>
                <w:rFonts w:ascii="Arial" w:cs="Arial" w:eastAsia="Arial" w:hAnsi="Arial"/>
                <w:sz w:val="14"/>
                <w:szCs w:val="14"/>
                <w:color w:val="auto"/>
              </w:rPr>
              <w:t>Treasury Stock</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Accumulated</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Comprehensive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45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Shares</w:t>
            </w:r>
          </w:p>
        </w:tc>
        <w:tc>
          <w:tcPr>
            <w:tcW w:w="6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w w:val="97"/>
              </w:rPr>
              <w:t>Amounts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Capital</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Shares</w:t>
            </w:r>
          </w:p>
        </w:tc>
        <w:tc>
          <w:tcPr>
            <w:tcW w:w="740" w:type="dxa"/>
            <w:vAlign w:val="bottom"/>
            <w:gridSpan w:val="3"/>
          </w:tcPr>
          <w:p>
            <w:pPr>
              <w:jc w:val="right"/>
              <w:ind w:right="139"/>
              <w:spacing w:after="0"/>
              <w:rPr>
                <w:sz w:val="20"/>
                <w:szCs w:val="20"/>
                <w:color w:val="auto"/>
              </w:rPr>
            </w:pPr>
            <w:r>
              <w:rPr>
                <w:rFonts w:ascii="Arial" w:cs="Arial" w:eastAsia="Arial" w:hAnsi="Arial"/>
                <w:sz w:val="14"/>
                <w:szCs w:val="14"/>
                <w:color w:val="auto"/>
                <w:w w:val="97"/>
              </w:rPr>
              <w:t>Amounts</w:t>
            </w: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Deficit</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Income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56"/>
        </w:trPr>
        <w:tc>
          <w:tcPr>
            <w:tcW w:w="45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28, 2017</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61,637</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6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616</w:t>
            </w: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304,466</w:t>
            </w:r>
          </w:p>
        </w:tc>
        <w:tc>
          <w:tcPr>
            <w:tcW w:w="14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(10,877)</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(87,977)</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(122,567)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(6,018)</w:t>
            </w:r>
          </w:p>
        </w:tc>
        <w:tc>
          <w:tcPr>
            <w:tcW w:w="1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88,520</w:t>
            </w:r>
          </w:p>
        </w:tc>
        <w:tc>
          <w:tcPr>
            <w:tcW w:w="80" w:type="dxa"/>
            <w:vAlign w:val="bottom"/>
            <w:tcBorders>
              <w:top w:val="single" w:sz="8" w:color="CFF0FC"/>
            </w:tcBorders>
            <w:shd w:val="clear" w:color="auto" w:fill="CFF0FC"/>
          </w:tcPr>
          <w:p>
            <w:pPr>
              <w:spacing w:after="0"/>
              <w:rPr>
                <w:sz w:val="13"/>
                <w:szCs w:val="13"/>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Board of Directors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421</w:t>
            </w:r>
          </w:p>
        </w:tc>
        <w:tc>
          <w:tcPr>
            <w:tcW w:w="80" w:type="dxa"/>
            <w:vAlign w:val="bottom"/>
          </w:tcPr>
          <w:p>
            <w:pPr>
              <w:spacing w:after="0"/>
              <w:rPr>
                <w:sz w:val="14"/>
                <w:szCs w:val="14"/>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w:t>
            </w:r>
          </w:p>
        </w:tc>
        <w:tc>
          <w:tcPr>
            <w:tcW w:w="80" w:type="dxa"/>
            <w:vAlign w:val="bottom"/>
            <w:shd w:val="clear" w:color="auto" w:fill="CFF0FC"/>
          </w:tcPr>
          <w:p>
            <w:pPr>
              <w:spacing w:after="0"/>
              <w:rPr>
                <w:sz w:val="14"/>
                <w:szCs w:val="14"/>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Restricted Stock issued, reclass from liability to equity (Note 3)</w:t>
            </w:r>
          </w:p>
        </w:tc>
        <w:tc>
          <w:tcPr>
            <w:tcW w:w="58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916</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920</w:t>
            </w:r>
          </w:p>
        </w:tc>
        <w:tc>
          <w:tcPr>
            <w:tcW w:w="80" w:type="dxa"/>
            <w:vAlign w:val="bottom"/>
          </w:tcPr>
          <w:p>
            <w:pPr>
              <w:spacing w:after="0"/>
              <w:rPr>
                <w:sz w:val="14"/>
                <w:szCs w:val="14"/>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Cancellations of restricted stock, net of issuances</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(777)</w:t>
            </w:r>
          </w:p>
        </w:tc>
        <w:tc>
          <w:tcPr>
            <w:tcW w:w="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Deferred stock vested</w:t>
            </w:r>
          </w:p>
        </w:tc>
        <w:tc>
          <w:tcPr>
            <w:tcW w:w="5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Repurchase of common stock</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(4,681)</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(4,681)</w:t>
            </w: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5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Pension plan</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FF0FC"/>
          </w:tcPr>
          <w:p>
            <w:pPr>
              <w:spacing w:after="0"/>
              <w:rPr>
                <w:sz w:val="14"/>
                <w:szCs w:val="14"/>
                <w:color w:val="auto"/>
              </w:rPr>
            </w:pPr>
          </w:p>
        </w:tc>
      </w:tr>
      <w:tr>
        <w:trPr>
          <w:trHeight w:val="162"/>
        </w:trPr>
        <w:tc>
          <w:tcPr>
            <w:tcW w:w="4520" w:type="dxa"/>
            <w:vAlign w:val="bottom"/>
          </w:tcPr>
          <w:p>
            <w:pPr>
              <w:ind w:left="240"/>
              <w:spacing w:after="0"/>
              <w:rPr>
                <w:sz w:val="20"/>
                <w:szCs w:val="20"/>
                <w:color w:val="auto"/>
              </w:rPr>
            </w:pPr>
            <w:r>
              <w:rPr>
                <w:rFonts w:ascii="Arial" w:cs="Arial" w:eastAsia="Arial" w:hAnsi="Arial"/>
                <w:sz w:val="14"/>
                <w:szCs w:val="14"/>
                <w:color w:val="auto"/>
              </w:rPr>
              <w:t>Foreign currency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4"/>
                <w:szCs w:val="14"/>
                <w:color w:val="auto"/>
              </w:rPr>
            </w:pPr>
          </w:p>
        </w:tc>
      </w:tr>
      <w:tr>
        <w:trPr>
          <w:trHeight w:val="162"/>
        </w:trPr>
        <w:tc>
          <w:tcPr>
            <w:tcW w:w="45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(15,502)</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(15,502)</w:t>
            </w:r>
          </w:p>
        </w:tc>
      </w:tr>
      <w:tr>
        <w:trPr>
          <w:trHeight w:val="156"/>
        </w:trPr>
        <w:tc>
          <w:tcPr>
            <w:tcW w:w="4520" w:type="dxa"/>
            <w:vAlign w:val="bottom"/>
          </w:tcPr>
          <w:p>
            <w:pPr>
              <w:spacing w:after="0" w:line="155" w:lineRule="exact"/>
              <w:rPr>
                <w:sz w:val="20"/>
                <w:szCs w:val="20"/>
                <w:color w:val="auto"/>
              </w:rPr>
            </w:pPr>
            <w:r>
              <w:rPr>
                <w:rFonts w:ascii="Arial" w:cs="Arial" w:eastAsia="Arial" w:hAnsi="Arial"/>
                <w:sz w:val="14"/>
                <w:szCs w:val="14"/>
                <w:color w:val="auto"/>
              </w:rPr>
              <w:t>Balance at October 28, 2017</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61,426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614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307,115</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(12,755)</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(92,658</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(138,069)</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(5,223)</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71,779</w:t>
            </w:r>
          </w:p>
        </w:tc>
        <w:tc>
          <w:tcPr>
            <w:tcW w:w="80" w:type="dxa"/>
            <w:vAlign w:val="bottom"/>
          </w:tcPr>
          <w:p>
            <w:pPr>
              <w:spacing w:after="0"/>
              <w:rPr>
                <w:sz w:val="13"/>
                <w:szCs w:val="13"/>
                <w:color w:val="auto"/>
              </w:rPr>
            </w:pPr>
          </w:p>
        </w:tc>
      </w:tr>
      <w:tr>
        <w:trPr>
          <w:trHeight w:val="20"/>
        </w:trPr>
        <w:tc>
          <w:tcPr>
            <w:tcW w:w="4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6"/>
          </w:tcPr>
          <w:p>
            <w:pPr>
              <w:jc w:val="right"/>
              <w:ind w:right="104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color w:val="auto"/>
                <w:w w:val="99"/>
              </w:rPr>
              <w:t>October 28,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October 29, 2016</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(15,502)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(4,039)</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58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Board of Directors stock compensation</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(2,432)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(3,167)</w:t>
            </w: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(4,654)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(5,959)</w:t>
            </w: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cash provided by operating activities</w:t>
            </w:r>
          </w:p>
        </w:tc>
        <w:tc>
          <w:tcPr>
            <w:tcW w:w="1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5,248</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(18,429)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(21,799)</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1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(18,429)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(21,799)</w:t>
            </w:r>
          </w:p>
        </w:tc>
        <w:tc>
          <w:tcPr>
            <w:tcW w:w="0" w:type="dxa"/>
            <w:vAlign w:val="bottom"/>
          </w:tcPr>
          <w:p>
            <w:pPr>
              <w:spacing w:after="0"/>
              <w:rPr>
                <w:sz w:val="1"/>
                <w:szCs w:val="1"/>
                <w:color w:val="auto"/>
              </w:rPr>
            </w:pPr>
          </w:p>
        </w:tc>
      </w:tr>
      <w:tr>
        <w:trPr>
          <w:trHeight w:val="213"/>
        </w:trPr>
        <w:tc>
          <w:tcPr>
            <w:tcW w:w="6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Repurchase of common stock</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(4,681)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Principal payments on long-term debt</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213"/>
        </w:trPr>
        <w:tc>
          <w:tcPr>
            <w:tcW w:w="65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borrowings under credit facility</w:t>
            </w:r>
          </w:p>
        </w:tc>
        <w:tc>
          <w:tcPr>
            <w:tcW w:w="1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1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13,400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8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Beginning of period</w:t>
            </w:r>
          </w:p>
        </w:tc>
        <w:tc>
          <w:tcPr>
            <w:tcW w:w="1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End of period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5,791</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2017 included in the Company’s Annual Report on Form 10-K, which was filed with the Securities and Exchange Commission on March 20, 2017.</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2017 is a 53-week period ending on February 3, 2018 and fiscal 2016 was a 52-week period ending on January 28,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has therefore aggregated them into a single reporting segment, consistent with its omni-channel business approach. The direct operating segment includes the operating results and assets for LivingXL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ShoesXL</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At October 28, 2017, the “Casual Male” trademark had a carrying value of $0.4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nine months ended October 28, 2017,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8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October 28, 2017, the fair value approximated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is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and nine months ended October 28, 2017 and October 29, 2016, respectively, were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28, 2017</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29, 2016</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right"/>
              <w:ind w:right="520"/>
              <w:spacing w:after="0" w:line="151"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the quarter</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Plans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nine months ended: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28, 2017</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2"/>
              </w:rPr>
              <w:t>October 29, 2016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right"/>
              <w:ind w:right="520"/>
              <w:spacing w:after="0" w:line="151" w:lineRule="exact"/>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Pension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fiscal year</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Plans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Plans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spacing w:after="0"/>
              <w:rPr>
                <w:sz w:val="19"/>
                <w:szCs w:val="19"/>
                <w:color w:val="auto"/>
              </w:rPr>
            </w:pPr>
          </w:p>
        </w:tc>
        <w:tc>
          <w:tcPr>
            <w:tcW w:w="240" w:type="dxa"/>
            <w:vAlign w:val="bottom"/>
            <w:gridSpan w:val="2"/>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spacing w:after="0"/>
              <w:rPr>
                <w:sz w:val="19"/>
                <w:szCs w:val="19"/>
                <w:color w:val="auto"/>
              </w:rPr>
            </w:pPr>
          </w:p>
        </w:tc>
        <w:tc>
          <w:tcPr>
            <w:tcW w:w="240" w:type="dxa"/>
            <w:vAlign w:val="bottom"/>
            <w:gridSpan w:val="2"/>
            <w:shd w:val="clear" w:color="auto" w:fill="CFF0FC"/>
          </w:tcPr>
          <w:p>
            <w:pPr>
              <w:spacing w:after="0"/>
              <w:rPr>
                <w:sz w:val="19"/>
                <w:szCs w:val="19"/>
                <w:color w:val="auto"/>
              </w:rPr>
            </w:pPr>
          </w:p>
        </w:tc>
        <w:tc>
          <w:tcPr>
            <w:tcW w:w="920" w:type="dxa"/>
            <w:vAlign w:val="bottom"/>
            <w:gridSpan w:val="2"/>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76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60" w:right="220" w:hanging="374"/>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$167,000 and $503,000 for the three and nine months ended October 28, 2017, respectively, and $176,000 and $528,000 for the three and nine months ended October 29, 2016, respectively. There was no tax benefit for any period.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the Company’s retail business is recorded upon purchase of merchandise by customers, net of an allowance for sales returns. Revenue from the Company’s direct business is recognized at the time a customer order is delivered, net of an allowance for sales returns. Store sales are defined as sales that originate and are fulfilled directly at the store level. E-commerce sales are defined as sales that originate online, including those initiated online at the store level.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second quarter of fiscal 2017, the Company recorded an impairment charge of $1.7 million for the write-down of property and equipment. The impairment charge related to a store where the carrying value exceeded fair value. The fair value of these assets, based on Level 3 inputs, was determined using estimated discounted cash flows. The impairment charge was included in Depreciation and Amortization on the Consolidated Statement of Operations for the nine months ended October 28, 2017. There was no material impairment of assets in the third quarter of fiscal 2017 or in the first nine months of fiscal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with early adoption permitted. The Company adopted this pronouncement as of January 29, 2017. The adoption of this standard did not have a material impact on the Company’s </w:t>
      </w:r>
      <w:r>
        <w:rPr>
          <w:rFonts w:ascii="Arial" w:cs="Arial" w:eastAsia="Arial" w:hAnsi="Arial"/>
          <w:sz w:val="18"/>
          <w:szCs w:val="18"/>
          <w:color w:val="212121"/>
        </w:rPr>
        <w:t>Consolidated Financial</w:t>
      </w:r>
      <w:r>
        <w:rPr>
          <w:rFonts w:ascii="Arial" w:cs="Arial" w:eastAsia="Arial" w:hAnsi="Arial"/>
          <w:sz w:val="18"/>
          <w:szCs w:val="18"/>
          <w:color w:val="auto"/>
        </w:rPr>
        <w:t xml:space="preserve"> </w:t>
      </w:r>
      <w:r>
        <w:rPr>
          <w:rFonts w:ascii="Arial" w:cs="Arial" w:eastAsia="Arial" w:hAnsi="Arial"/>
          <w:sz w:val="18"/>
          <w:szCs w:val="18"/>
          <w:color w:val="212121"/>
        </w:rPr>
        <w:t>Statements</w:t>
      </w:r>
      <w:r>
        <w:rPr>
          <w:rFonts w:ascii="Arial" w:cs="Arial" w:eastAsia="Arial" w:hAnsi="Arial"/>
          <w:sz w:val="18"/>
          <w:szCs w:val="18"/>
          <w:color w:val="000000"/>
        </w:rPr>
        <w:t>.</w:t>
      </w:r>
    </w:p>
    <w:p>
      <w:pPr>
        <w:spacing w:after="0" w:line="30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March 2016, the FASB issued ASU 2016-09, “</w:t>
      </w:r>
      <w:r>
        <w:rPr>
          <w:rFonts w:ascii="Arial" w:cs="Arial" w:eastAsia="Arial" w:hAnsi="Arial"/>
          <w:sz w:val="16"/>
          <w:szCs w:val="16"/>
          <w:i w:val="1"/>
          <w:iCs w:val="1"/>
          <w:color w:val="auto"/>
        </w:rPr>
        <w:t>Compensation - Stock Compensation (Topic 718) -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share-based payment transactions, including the income tax consequences, 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awards, and classification on the statement of cash flows. The standard is effective for fiscal years beginning after December 15, 2016, including interim periods within those fiscal years. The Company adopted this standard during the first quarter of fiscal 2017. The adoption of this standard did not have a material impact on the Company’s provision for income taxes or diluted earnings per share. The Company has elected to adopt the guidance related to the presentation of excess tax benefits in its Consolidated Statements of Cash Flows on a prospective transition method. </w:t>
      </w:r>
      <w:r>
        <w:rPr>
          <w:rFonts w:ascii="Arial" w:cs="Arial" w:eastAsia="Arial" w:hAnsi="Arial"/>
          <w:sz w:val="16"/>
          <w:szCs w:val="16"/>
          <w:color w:val="212121"/>
        </w:rPr>
        <w:t>Since there were</w:t>
      </w:r>
      <w:r>
        <w:rPr>
          <w:rFonts w:ascii="Arial" w:cs="Arial" w:eastAsia="Arial" w:hAnsi="Arial"/>
          <w:sz w:val="16"/>
          <w:szCs w:val="16"/>
          <w:color w:val="auto"/>
        </w:rPr>
        <w:t xml:space="preserve"> no excess tax benefits </w:t>
      </w:r>
      <w:r>
        <w:rPr>
          <w:rFonts w:ascii="Arial" w:cs="Arial" w:eastAsia="Arial" w:hAnsi="Arial"/>
          <w:sz w:val="16"/>
          <w:szCs w:val="16"/>
          <w:color w:val="212121"/>
        </w:rPr>
        <w:t xml:space="preserve">for the nine months ended October 28, 2017 or October 29, 2016, this election did not result in a change in presentation on the Consolidated Statement of Cash Flows. </w:t>
      </w:r>
      <w:r>
        <w:rPr>
          <w:rFonts w:ascii="Arial" w:cs="Arial" w:eastAsia="Arial" w:hAnsi="Arial"/>
          <w:sz w:val="16"/>
          <w:szCs w:val="16"/>
          <w:color w:val="000000"/>
        </w:rPr>
        <w:t>In addition, the Company has elected to continue to estimate forfeitures at each grant.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9" w:name="page10"/>
    <w:bookmarkEnd w:id="9"/>
    <w:p>
      <w:pPr>
        <w:spacing w:after="0" w:line="273" w:lineRule="auto"/>
        <w:rPr>
          <w:sz w:val="20"/>
          <w:szCs w:val="20"/>
          <w:color w:val="auto"/>
        </w:rPr>
      </w:pPr>
      <w:r>
        <w:rPr>
          <w:rFonts w:ascii="Arial" w:cs="Arial" w:eastAsia="Arial" w:hAnsi="Arial"/>
          <w:sz w:val="17"/>
          <w:szCs w:val="17"/>
          <w:color w:val="auto"/>
        </w:rPr>
        <w:t>permitted after December 15, 2016. The Company expects to adopt ASU 2014-09 in the first quarter of fiscal 2018, using the modified retrospective approach as a transition method. The Company is continuing to evaluate the impact that ASU 2014-09 will have on its Consolidated Financial Statements and its disclosures, particularly as it relates to the Company’s revenue recognition policies and internal controls for gift card breakage, loyalty award program and estimates for sales returns. Based on these efforts, the Company currently anticipates that the performance obligations underlying its core revenue stream and the timing of recognition therefore, will remain substantially unchanged. The Company expects that ASU 2014-09 will require additional disclosure, but does not expect the adoption to have a material impact on its Consolidated Financial Statements.</w:t>
      </w:r>
    </w:p>
    <w:p>
      <w:pPr>
        <w:spacing w:after="0" w:line="17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7"/>
          <w:szCs w:val="17"/>
          <w:color w:val="212121"/>
        </w:rPr>
        <w:t>In the financial statements in which the ASU is first applied, leases shall be measured and</w:t>
      </w:r>
      <w:r>
        <w:rPr>
          <w:rFonts w:ascii="Arial" w:cs="Arial" w:eastAsia="Arial" w:hAnsi="Arial"/>
          <w:sz w:val="17"/>
          <w:szCs w:val="17"/>
          <w:color w:val="auto"/>
        </w:rPr>
        <w:t xml:space="preserve"> </w:t>
      </w:r>
      <w:r>
        <w:rPr>
          <w:rFonts w:ascii="Arial" w:cs="Arial" w:eastAsia="Arial" w:hAnsi="Arial"/>
          <w:sz w:val="17"/>
          <w:szCs w:val="17"/>
          <w:color w:val="212121"/>
        </w:rPr>
        <w:t xml:space="preserve">recognized at the beginning of the earliest comparative period presented with an adjustment to equity. While the Company is still </w:t>
      </w:r>
      <w:r>
        <w:rPr>
          <w:rFonts w:ascii="Arial" w:cs="Arial" w:eastAsia="Arial" w:hAnsi="Arial"/>
          <w:sz w:val="17"/>
          <w:szCs w:val="17"/>
          <w:color w:val="000000"/>
        </w:rPr>
        <w:t>evaluating the impact this</w:t>
      </w:r>
      <w:r>
        <w:rPr>
          <w:rFonts w:ascii="Arial" w:cs="Arial" w:eastAsia="Arial" w:hAnsi="Arial"/>
          <w:sz w:val="17"/>
          <w:szCs w:val="17"/>
          <w:color w:val="212121"/>
        </w:rPr>
        <w:t xml:space="preserve"> </w:t>
      </w:r>
      <w:r>
        <w:rPr>
          <w:rFonts w:ascii="Arial" w:cs="Arial" w:eastAsia="Arial" w:hAnsi="Arial"/>
          <w:sz w:val="17"/>
          <w:szCs w:val="17"/>
          <w:color w:val="000000"/>
        </w:rPr>
        <w:t xml:space="preserve">pronouncement will have on its Consolidated Financial Statements, the </w:t>
      </w:r>
      <w:r>
        <w:rPr>
          <w:rFonts w:ascii="Arial" w:cs="Arial" w:eastAsia="Arial" w:hAnsi="Arial"/>
          <w:sz w:val="17"/>
          <w:szCs w:val="17"/>
          <w:color w:val="212121"/>
        </w:rPr>
        <w:t>Company expects a</w:t>
      </w:r>
      <w:r>
        <w:rPr>
          <w:rFonts w:ascii="Arial" w:cs="Arial" w:eastAsia="Arial" w:hAnsi="Arial"/>
          <w:sz w:val="17"/>
          <w:szCs w:val="17"/>
          <w:color w:val="000000"/>
        </w:rPr>
        <w:t xml:space="preserve"> </w:t>
      </w:r>
      <w:r>
        <w:rPr>
          <w:rFonts w:ascii="Arial" w:cs="Arial" w:eastAsia="Arial" w:hAnsi="Arial"/>
          <w:sz w:val="17"/>
          <w:szCs w:val="17"/>
          <w:color w:val="252525"/>
        </w:rPr>
        <w:t>gross</w:t>
      </w:r>
      <w:r>
        <w:rPr>
          <w:rFonts w:ascii="Arial" w:cs="Arial" w:eastAsia="Arial" w:hAnsi="Arial"/>
          <w:sz w:val="17"/>
          <w:szCs w:val="17"/>
          <w:color w:val="212121"/>
        </w:rPr>
        <w:t>-up of its Consolidated Balance Sheets as a result of</w:t>
      </w:r>
      <w:r>
        <w:rPr>
          <w:rFonts w:ascii="Arial" w:cs="Arial" w:eastAsia="Arial" w:hAnsi="Arial"/>
          <w:sz w:val="17"/>
          <w:szCs w:val="17"/>
          <w:color w:val="000000"/>
        </w:rPr>
        <w:t xml:space="preserve"> </w:t>
      </w:r>
      <w:r>
        <w:rPr>
          <w:rFonts w:ascii="Arial" w:cs="Arial" w:eastAsia="Arial" w:hAnsi="Arial"/>
          <w:sz w:val="17"/>
          <w:szCs w:val="17"/>
          <w:color w:val="212121"/>
        </w:rPr>
        <w:t>recognizing lease liabilities and right of use assets. The extent of such gross-up is under evaluation.</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w:t>
      </w:r>
      <w:r>
        <w:rPr>
          <w:rFonts w:ascii="Arial" w:cs="Arial" w:eastAsia="Arial" w:hAnsi="Arial"/>
          <w:sz w:val="17"/>
          <w:szCs w:val="17"/>
          <w:color w:val="212121"/>
        </w:rPr>
        <w:t>which</w:t>
      </w:r>
      <w:r>
        <w:rPr>
          <w:rFonts w:ascii="Arial" w:cs="Arial" w:eastAsia="Arial" w:hAnsi="Arial"/>
          <w:sz w:val="17"/>
          <w:szCs w:val="17"/>
          <w:color w:val="auto"/>
        </w:rPr>
        <w:t xml:space="preserve"> </w:t>
      </w:r>
      <w:r>
        <w:rPr>
          <w:rFonts w:ascii="Arial" w:cs="Arial" w:eastAsia="Arial" w:hAnsi="Arial"/>
          <w:sz w:val="17"/>
          <w:szCs w:val="17"/>
          <w:color w:val="212121"/>
        </w:rPr>
        <w:t>reduces the existing diversity in practice in how certain cash receipts and cash payments are presented and classified in the statement of cash flows under Topic 230</w:t>
      </w:r>
      <w:r>
        <w:rPr>
          <w:rFonts w:ascii="Arial" w:cs="Arial" w:eastAsia="Arial" w:hAnsi="Arial"/>
          <w:sz w:val="17"/>
          <w:szCs w:val="17"/>
          <w:color w:val="000000"/>
        </w:rPr>
        <w:t>. The ASU is effective for fiscal years beginning after December 15, 2017, and interim periods within those fiscal years. The Company does not</w:t>
      </w:r>
      <w:r>
        <w:rPr>
          <w:rFonts w:ascii="Arial" w:cs="Arial" w:eastAsia="Arial" w:hAnsi="Arial"/>
          <w:sz w:val="17"/>
          <w:szCs w:val="17"/>
          <w:color w:val="212121"/>
        </w:rPr>
        <w:t xml:space="preserve"> </w:t>
      </w:r>
      <w:r>
        <w:rPr>
          <w:rFonts w:ascii="Arial" w:cs="Arial" w:eastAsia="Arial" w:hAnsi="Arial"/>
          <w:sz w:val="17"/>
          <w:szCs w:val="17"/>
          <w:color w:val="000000"/>
        </w:rPr>
        <w:t xml:space="preserve">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000000"/>
        </w:rPr>
        <w:t>.</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 (Topic 740): Intra-Entity Transfer of Assets Other Than Inventory</w:t>
      </w:r>
      <w:r>
        <w:rPr>
          <w:rFonts w:ascii="Arial" w:cs="Arial" w:eastAsia="Arial" w:hAnsi="Arial"/>
          <w:sz w:val="16"/>
          <w:szCs w:val="16"/>
          <w:color w:val="auto"/>
        </w:rPr>
        <w:t xml:space="preserve">,” which </w:t>
      </w:r>
      <w:r>
        <w:rPr>
          <w:rFonts w:ascii="Arial" w:cs="Arial" w:eastAsia="Arial" w:hAnsi="Arial"/>
          <w:sz w:val="16"/>
          <w:szCs w:val="16"/>
          <w:color w:val="212121"/>
        </w:rPr>
        <w:t>reduces the</w:t>
      </w:r>
      <w:r>
        <w:rPr>
          <w:rFonts w:ascii="Arial" w:cs="Arial" w:eastAsia="Arial" w:hAnsi="Arial"/>
          <w:sz w:val="16"/>
          <w:szCs w:val="16"/>
          <w:color w:val="auto"/>
        </w:rPr>
        <w:t xml:space="preserve"> </w:t>
      </w:r>
      <w:r>
        <w:rPr>
          <w:rFonts w:ascii="Arial" w:cs="Arial" w:eastAsia="Arial" w:hAnsi="Arial"/>
          <w:sz w:val="16"/>
          <w:szCs w:val="16"/>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6"/>
          <w:szCs w:val="16"/>
          <w:color w:val="252525"/>
        </w:rPr>
        <w:t>ASU 2016</w:t>
      </w:r>
      <w:r>
        <w:rPr>
          <w:rFonts w:ascii="Arial" w:cs="Arial" w:eastAsia="Arial" w:hAnsi="Arial"/>
          <w:sz w:val="16"/>
          <w:szCs w:val="16"/>
          <w:color w:val="212121"/>
        </w:rPr>
        <w:t>-</w:t>
      </w:r>
      <w:r>
        <w:rPr>
          <w:rFonts w:ascii="Arial" w:cs="Arial" w:eastAsia="Arial" w:hAnsi="Arial"/>
          <w:sz w:val="16"/>
          <w:szCs w:val="16"/>
          <w:color w:val="252525"/>
        </w:rPr>
        <w:t>16</w:t>
      </w:r>
      <w:r>
        <w:rPr>
          <w:rFonts w:ascii="Arial" w:cs="Arial" w:eastAsia="Arial" w:hAnsi="Arial"/>
          <w:sz w:val="16"/>
          <w:szCs w:val="16"/>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6"/>
          <w:szCs w:val="16"/>
          <w:color w:val="000000"/>
        </w:rPr>
        <w:t>. The ASU is effective for fiscal years beginning after December 15, 2017, and interim periods within those</w:t>
      </w:r>
      <w:r>
        <w:rPr>
          <w:rFonts w:ascii="Arial" w:cs="Arial" w:eastAsia="Arial" w:hAnsi="Arial"/>
          <w:sz w:val="16"/>
          <w:szCs w:val="16"/>
          <w:color w:val="212121"/>
        </w:rPr>
        <w:t xml:space="preserve"> </w:t>
      </w:r>
      <w:r>
        <w:rPr>
          <w:rFonts w:ascii="Arial" w:cs="Arial" w:eastAsia="Arial" w:hAnsi="Arial"/>
          <w:sz w:val="16"/>
          <w:szCs w:val="16"/>
          <w:color w:val="000000"/>
        </w:rPr>
        <w:t xml:space="preserve">fiscal years. The Company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12121"/>
        </w:rPr>
        <w:t xml:space="preserve">In May 2017, the FASB issued ASU </w:t>
      </w:r>
      <w:r>
        <w:rPr>
          <w:rFonts w:ascii="Arial" w:cs="Arial" w:eastAsia="Arial" w:hAnsi="Arial"/>
          <w:sz w:val="17"/>
          <w:szCs w:val="17"/>
          <w:color w:val="000000"/>
        </w:rPr>
        <w:t>2017-09</w:t>
      </w:r>
      <w:r>
        <w:rPr>
          <w:rFonts w:ascii="Arial" w:cs="Arial" w:eastAsia="Arial" w:hAnsi="Arial"/>
          <w:sz w:val="17"/>
          <w:szCs w:val="17"/>
          <w:color w:val="212121"/>
        </w:rPr>
        <w:t>, “</w:t>
      </w:r>
      <w:r>
        <w:rPr>
          <w:rFonts w:ascii="Arial" w:cs="Arial" w:eastAsia="Arial" w:hAnsi="Arial"/>
          <w:sz w:val="17"/>
          <w:szCs w:val="17"/>
          <w:i w:val="1"/>
          <w:iCs w:val="1"/>
          <w:color w:val="212121"/>
        </w:rPr>
        <w:t>Compensation—Stock Compensation (Topic 718)”</w:t>
      </w:r>
      <w:r>
        <w:rPr>
          <w:rFonts w:ascii="Arial" w:cs="Arial" w:eastAsia="Arial" w:hAnsi="Arial"/>
          <w:sz w:val="17"/>
          <w:szCs w:val="17"/>
          <w:color w:val="212121"/>
        </w:rPr>
        <w:t xml:space="preserve">which provides clarity in order to reduce both (1) diversity in practice and (2) cost and complexity when applying the guidance in Topic 718, Compensation—Stock Compensation, to a change to the terms or conditions of a share-based payment award. Under the new guidance, modification accounting is required only if the fair value, the vesting conditions, or the classification of the award (as equity or liability) changes as a result of the change in terms or conditions. </w:t>
      </w:r>
      <w:r>
        <w:rPr>
          <w:rFonts w:ascii="Arial" w:cs="Arial" w:eastAsia="Arial" w:hAnsi="Arial"/>
          <w:sz w:val="17"/>
          <w:szCs w:val="17"/>
          <w:color w:val="000000"/>
        </w:rPr>
        <w:t>The ASU is effective for fiscal years beginning after</w:t>
      </w:r>
      <w:r>
        <w:rPr>
          <w:rFonts w:ascii="Arial" w:cs="Arial" w:eastAsia="Arial" w:hAnsi="Arial"/>
          <w:sz w:val="17"/>
          <w:szCs w:val="17"/>
          <w:color w:val="212121"/>
        </w:rPr>
        <w:t xml:space="preserve"> </w:t>
      </w:r>
      <w:r>
        <w:rPr>
          <w:rFonts w:ascii="Arial" w:cs="Arial" w:eastAsia="Arial" w:hAnsi="Arial"/>
          <w:sz w:val="17"/>
          <w:szCs w:val="17"/>
          <w:color w:val="000000"/>
        </w:rPr>
        <w:t xml:space="preserve">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000000"/>
        </w:rPr>
        <w:t>.</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nine months of fiscal 2017, have had or are expected to have a significant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October 28, 2017, the Company had outstanding borrowings under the Credit Facility of $68.4 million, before unamortized debt issuance costs of $0.2 million. Outstanding standby letters of credit were $3.3 million and outstanding documentary letters of credit were $0.1 million. Unused excess availability at October 28, 2017 was $38.2 million. Average monthly borrowings outstanding under the Credit Facility during the first nine months of fiscal 2017 were $60.4 million, resulting in an average unused excess availability of approximately $43.3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October 28, 2017, the Company’s prime-based interest rate was 4.75%. At October 28, 2017, the Company had approximately $64.0 million of its outstanding borrowings in LIBOR-based contracts with an interest rate of 2.70%. The LIBOR-based contracts expired on October 31, 2017.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October 28, 2017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5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w w:val="92"/>
              </w:rPr>
              <w:t>October 28, 2017</w:t>
            </w:r>
          </w:p>
        </w:tc>
        <w:tc>
          <w:tcPr>
            <w:tcW w:w="2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January 28, 2017</w:t>
            </w: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Term loan, due 2019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12,750</w:t>
            </w:r>
          </w:p>
        </w:tc>
        <w:tc>
          <w:tcPr>
            <w:tcW w:w="80" w:type="dxa"/>
            <w:vAlign w:val="bottom"/>
          </w:tcPr>
          <w:p>
            <w:pPr>
              <w:spacing w:after="0"/>
              <w:rPr>
                <w:sz w:val="19"/>
                <w:szCs w:val="19"/>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19,002</w:t>
            </w:r>
          </w:p>
        </w:tc>
        <w:tc>
          <w:tcPr>
            <w:tcW w:w="80" w:type="dxa"/>
            <w:vAlign w:val="bottom"/>
          </w:tcPr>
          <w:p>
            <w:pPr>
              <w:spacing w:after="0"/>
              <w:rPr>
                <w:sz w:val="19"/>
                <w:szCs w:val="19"/>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FF0FC"/>
          </w:tcPr>
          <w:p>
            <w:pPr>
              <w:spacing w:after="0"/>
              <w:rPr>
                <w:sz w:val="19"/>
                <w:szCs w:val="19"/>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to 3.50%. Principal and interest are paid monthly, in arrears.</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Notes are secured by a security interest in all of the Company’s rights, title and interest in and to certain equipment. The Company was subject to prepayment penalties through the second anniversary of each note. The Company is no longer subject to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t>prepayment penalties. The Master Agreement includes default provisions that are customary for financings of this type and are similar and no more restrictive than the Company’s existing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without penalty.</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Incentive Plans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is a summary of the Company’s long-term incentive plans. Beginning on August 4, 2016, all equity awards granted under long-term incentive plans are issued from the Company’s stockholder-approved 2016 Incentive Compensation Plan. All prior awards were issued from the Company’s 2006 Incentive Compensation Plan, which expired on July 31, 2016. See Note 4, Stock-Based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Long-Term Incentive Wrap-Around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2016 Long-Term Incentive Wrap-Around Plan (the “Wrap-Around Plan”), which was approved in the fourth quarter of fiscal 2014, was a supplemental performance-based incentive plan that was only effective if there was no vesting of the performance-based awards under the 2013-2016 LTIP and, as a result, all performance-based awards under that plan are forfeited. The performance targets under the 2013-2016 LTIP were not achieved at the end of fiscal 2016 and accordingly, the Wrap-Around Plan became effective.</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performance target under the Wrap-Around Plan consisted of two metrics, Sales and EBITDA, with threshold (50%), target (80%) and maximum (100%) payout levels. Each metric was weighted as 50% of the total performance target. However, in order for there to be any payout under either metric, EBITDA for fiscal 2016 had to be equal to or greater than the minimum threshold.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Wrap-Around Plan also provided for an opportunity to receive additional shares of restricted stock if the performance targets were achieved and the Company’s closing stock price was $6.75 or higher on the day earnings for fiscal 2016 were publicly released, which was March 20, 2017. The stock did not achieve a minimum of $6.75, therefore, no additional award was earned.</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Based on the operating results for fiscal 2016, the Company achieved a 50.6% payout of its EBITDA target. The minimum threshold for the Sales target was not achieved. Accordingly, subsequent to year-end, in the first quarter of fiscal 2017, the Compensation Committee of the Board of Directors approved awards totaling $2.3 million, with a grant date of March 20, 2017. On that date, the Company granted shares of restricted stock, with a fair value of approximately $1.0 million and cash awards totaling approximately $1.3 million. All awards vested on July 28, 2017.</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March 20, 2017, in conjunction with the grant of restricted stock awards, the Company reclassified $0.9 million of the liability accrual from “</w:t>
      </w:r>
      <w:r>
        <w:rPr>
          <w:rFonts w:ascii="Arial" w:cs="Arial" w:eastAsia="Arial" w:hAnsi="Arial"/>
          <w:sz w:val="16"/>
          <w:szCs w:val="16"/>
          <w:i w:val="1"/>
          <w:iCs w:val="1"/>
          <w:color w:val="auto"/>
        </w:rPr>
        <w:t>Accrued</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 and Other Current Liabilities</w:t>
      </w:r>
      <w:r>
        <w:rPr>
          <w:rFonts w:ascii="Arial" w:cs="Arial" w:eastAsia="Arial" w:hAnsi="Arial"/>
          <w:sz w:val="16"/>
          <w:szCs w:val="16"/>
          <w:color w:val="auto"/>
        </w:rPr>
        <w:t>”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See the Consolidated Statement of Changes in Stockholders’ Equity.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New Long-Term Incentive Plan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as amended February 1, 2017 (the “new LTIP”).</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Periods, the Target Cash Value for any award is based on one year of annual salary, as opposed to two years, to avoid doubling an award payout in any given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Performance awards granted will vest on August 31 following the end of the applicable Performance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2016-2017 Performance Period, the Compensation Committee established two performance targets under the LTIP (the “2016-2017 LTIP”), each weighted 50%. The first target is EBITDA for fiscal 2017, defined as earnings before interest, taxes, depreciation and amortization, and the second target is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2017-2018 Performance Period, the Compensation Committee established two performance targets under the LTIP (the “2017-2018 LTIP”), each weighted 50%. The first target is Total Company Comparable Sales and will be measured based on a two-year stack, which is the sum of the Total Company Comparable Sales for fiscal 2017 and fiscal 2018. The second target is a Modified ROIC, which is defined as Operating Income divided by Invested Capital (Total Debt plus Stockholders’ Equity).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awards granted under both the 2016-2017 LTIP and 2017-2018 LTIP were in restricted stock units (RSUs). Assuming that the Company achieves the performance target at target levels and all time-vested awards vest, the compensation expense associated with the 2016-2017 LTIP and 2017-2018 LTIP is estimated to be approximately $4.0 million and $4.2 million, respectively. Approximately half of the compensation expense for each plan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third quarter of fiscal 2017, the Company had accrued approximately $0.3 million in compensation expense related to the potential payout of performance awards under the 2016-2017 LTIP. No accrual has been made for performance awards under the 2017-2018 LTIP.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the end of the second quarter of fiscal 2016, the Company’s 2006 Incentive Compensation Plan (as amended and restated effective as of August 1, 2013, the “2006 Plan”) was the only stockholder-approved plan. The 2006 Plan expired on July 31, 2016. In the third quarter of fiscal 2016, at the Company’s 2016 Annual Meeting of Stockholders held August 4, 2016, the Company’s stockholders approved the adoption of the 2016 Incentive Compensation Plan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initial share reserve under the 2016 Plan, including the rollover of 525,538 available shares under our 2006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In accordance with the terms of the 2016 Plan, any shares outstanding under the 2006 Plan at August 4, 2016 that subsequently terminate, expire or are canceled for any reason without having been exercised or paid are added back and become available for issuance under the 2016 Plan, with options and stock appreciation rights being added back on a one-for-one basis and full-value awards being added back on a 1 to 1.9 basis. At October 28, 2017, the Company had 6,437,283 shares available under the 2016 Plan.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300"/>
        <w:spacing w:after="0" w:line="260" w:lineRule="auto"/>
        <w:rPr>
          <w:sz w:val="20"/>
          <w:szCs w:val="20"/>
          <w:color w:val="auto"/>
        </w:rPr>
      </w:pPr>
      <w:r>
        <w:rPr>
          <w:rFonts w:ascii="Arial" w:cs="Arial" w:eastAsia="Arial" w:hAnsi="Arial"/>
          <w:sz w:val="18"/>
          <w:szCs w:val="18"/>
          <w:color w:val="auto"/>
        </w:rPr>
        <w:t>The following tables summarize the share activity and stock option activity for the Company’s 2006 Plan and 2016 Plan, on a combined basis, for the first nine months of fiscal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Weighted-</w:t>
            </w:r>
          </w:p>
        </w:tc>
        <w:tc>
          <w:tcPr>
            <w:tcW w:w="0" w:type="dxa"/>
            <w:vAlign w:val="bottom"/>
          </w:tcPr>
          <w:p>
            <w:pPr>
              <w:spacing w:after="0"/>
              <w:rPr>
                <w:sz w:val="1"/>
                <w:szCs w:val="1"/>
                <w:color w:val="auto"/>
              </w:rPr>
            </w:pPr>
          </w:p>
        </w:tc>
      </w:tr>
      <w:tr>
        <w:trPr>
          <w:trHeight w:val="206"/>
        </w:trPr>
        <w:tc>
          <w:tcPr>
            <w:tcW w:w="4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6"/>
                <w:szCs w:val="16"/>
                <w:color w:val="auto"/>
                <w:w w:val="91"/>
              </w:rPr>
              <w:t>Restricted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color w:val="auto"/>
                <w:w w:val="86"/>
              </w:rPr>
              <w:t>average</w:t>
            </w:r>
          </w:p>
        </w:tc>
        <w:tc>
          <w:tcPr>
            <w:tcW w:w="0" w:type="dxa"/>
            <w:vAlign w:val="bottom"/>
          </w:tcPr>
          <w:p>
            <w:pPr>
              <w:spacing w:after="0"/>
              <w:rPr>
                <w:sz w:val="1"/>
                <w:szCs w:val="1"/>
                <w:color w:val="auto"/>
              </w:rPr>
            </w:pPr>
          </w:p>
        </w:tc>
      </w:tr>
      <w:tr>
        <w:trPr>
          <w:trHeight w:val="50"/>
        </w:trPr>
        <w:tc>
          <w:tcPr>
            <w:tcW w:w="4920" w:type="dxa"/>
            <w:vAlign w:val="bottom"/>
          </w:tcPr>
          <w:p>
            <w:pPr>
              <w:spacing w:after="0"/>
              <w:rPr>
                <w:sz w:val="4"/>
                <w:szCs w:val="4"/>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Restricted</w:t>
            </w:r>
          </w:p>
        </w:tc>
        <w:tc>
          <w:tcPr>
            <w:tcW w:w="1020" w:type="dxa"/>
            <w:vAlign w:val="bottom"/>
            <w:gridSpan w:val="2"/>
            <w:vMerge w:val="continue"/>
          </w:tcPr>
          <w:p>
            <w:pPr>
              <w:spacing w:after="0"/>
              <w:rPr>
                <w:sz w:val="4"/>
                <w:szCs w:val="4"/>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rPr>
              <w:t>Deferred</w:t>
            </w: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w w:val="91"/>
              </w:rPr>
              <w:t>Total number</w:t>
            </w:r>
          </w:p>
        </w:tc>
        <w:tc>
          <w:tcPr>
            <w:tcW w:w="80" w:type="dxa"/>
            <w:vAlign w:val="bottom"/>
          </w:tcPr>
          <w:p>
            <w:pPr>
              <w:spacing w:after="0"/>
              <w:rPr>
                <w:sz w:val="4"/>
                <w:szCs w:val="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6"/>
                <w:szCs w:val="16"/>
                <w:color w:val="auto"/>
                <w:w w:val="90"/>
              </w:rPr>
              <w:t>grant-date</w:t>
            </w:r>
          </w:p>
        </w:tc>
        <w:tc>
          <w:tcPr>
            <w:tcW w:w="0" w:type="dxa"/>
            <w:vAlign w:val="bottom"/>
          </w:tcPr>
          <w:p>
            <w:pPr>
              <w:spacing w:after="0"/>
              <w:rPr>
                <w:sz w:val="1"/>
                <w:szCs w:val="1"/>
                <w:color w:val="auto"/>
              </w:rPr>
            </w:pPr>
          </w:p>
        </w:tc>
      </w:tr>
      <w:tr>
        <w:trPr>
          <w:trHeight w:val="145"/>
        </w:trPr>
        <w:tc>
          <w:tcPr>
            <w:tcW w:w="49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6"/>
                <w:szCs w:val="16"/>
                <w:color w:val="auto"/>
                <w:w w:val="93"/>
              </w:rPr>
              <w:t>Stock Units</w:t>
            </w:r>
          </w:p>
        </w:tc>
        <w:tc>
          <w:tcPr>
            <w:tcW w:w="112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Fully-vested</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4920" w:type="dxa"/>
            <w:vAlign w:val="bottom"/>
          </w:tcPr>
          <w:p>
            <w:pPr>
              <w:spacing w:after="0"/>
              <w:rPr>
                <w:sz w:val="4"/>
                <w:szCs w:val="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shares</w:t>
            </w:r>
          </w:p>
        </w:tc>
        <w:tc>
          <w:tcPr>
            <w:tcW w:w="1020" w:type="dxa"/>
            <w:vAlign w:val="bottom"/>
            <w:gridSpan w:val="2"/>
            <w:vMerge w:val="continue"/>
          </w:tcPr>
          <w:p>
            <w:pPr>
              <w:spacing w:after="0"/>
              <w:rPr>
                <w:sz w:val="4"/>
                <w:szCs w:val="4"/>
                <w:color w:val="auto"/>
              </w:rPr>
            </w:pPr>
          </w:p>
        </w:tc>
        <w:tc>
          <w:tcPr>
            <w:tcW w:w="1120" w:type="dxa"/>
            <w:vAlign w:val="bottom"/>
            <w:gridSpan w:val="2"/>
            <w:vMerge w:val="restart"/>
          </w:tcPr>
          <w:p>
            <w:pPr>
              <w:jc w:val="right"/>
              <w:ind w:right="380"/>
              <w:spacing w:after="0" w:line="216" w:lineRule="exact"/>
              <w:rPr>
                <w:sz w:val="20"/>
                <w:szCs w:val="20"/>
                <w:color w:val="auto"/>
              </w:rPr>
            </w:pPr>
            <w:r>
              <w:rPr>
                <w:rFonts w:ascii="Arial" w:cs="Arial" w:eastAsia="Arial" w:hAnsi="Arial"/>
                <w:sz w:val="15"/>
                <w:szCs w:val="15"/>
                <w:color w:val="auto"/>
              </w:rPr>
              <w:t xml:space="preserve">shares </w:t>
            </w:r>
            <w:r>
              <w:rPr>
                <w:rFonts w:ascii="Arial" w:cs="Arial" w:eastAsia="Arial" w:hAnsi="Arial"/>
                <w:sz w:val="25"/>
                <w:szCs w:val="25"/>
                <w:color w:val="auto"/>
                <w:vertAlign w:val="superscript"/>
              </w:rPr>
              <w:t>(2)</w:t>
            </w:r>
          </w:p>
        </w:tc>
        <w:tc>
          <w:tcPr>
            <w:tcW w:w="1140" w:type="dxa"/>
            <w:vAlign w:val="bottom"/>
            <w:gridSpan w:val="2"/>
            <w:vMerge w:val="continue"/>
          </w:tcPr>
          <w:p>
            <w:pPr>
              <w:spacing w:after="0"/>
              <w:rPr>
                <w:sz w:val="4"/>
                <w:szCs w:val="4"/>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6"/>
                <w:szCs w:val="16"/>
                <w:color w:val="auto"/>
              </w:rPr>
              <w:t>of shares</w:t>
            </w:r>
          </w:p>
        </w:tc>
        <w:tc>
          <w:tcPr>
            <w:tcW w:w="940" w:type="dxa"/>
            <w:vAlign w:val="bottom"/>
            <w:gridSpan w:val="3"/>
            <w:vMerge w:val="restart"/>
          </w:tcPr>
          <w:p>
            <w:pPr>
              <w:spacing w:after="0" w:line="216" w:lineRule="exact"/>
              <w:rPr>
                <w:sz w:val="20"/>
                <w:szCs w:val="20"/>
                <w:color w:val="auto"/>
              </w:rPr>
            </w:pPr>
            <w:r>
              <w:rPr>
                <w:rFonts w:ascii="Arial" w:cs="Arial" w:eastAsia="Arial" w:hAnsi="Arial"/>
                <w:sz w:val="15"/>
                <w:szCs w:val="15"/>
                <w:color w:val="auto"/>
              </w:rPr>
              <w:t xml:space="preserve">fair value </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167"/>
        </w:trPr>
        <w:tc>
          <w:tcPr>
            <w:tcW w:w="4920" w:type="dxa"/>
            <w:vAlign w:val="bottom"/>
            <w:vMerge w:val="restart"/>
          </w:tcPr>
          <w:p>
            <w:pPr>
              <w:spacing w:after="0"/>
              <w:rPr>
                <w:sz w:val="20"/>
                <w:szCs w:val="20"/>
                <w:color w:val="auto"/>
              </w:rPr>
            </w:pPr>
            <w:r>
              <w:rPr>
                <w:rFonts w:ascii="Arial" w:cs="Arial" w:eastAsia="Arial" w:hAnsi="Arial"/>
                <w:sz w:val="16"/>
                <w:szCs w:val="16"/>
                <w:b w:val="1"/>
                <w:bCs w:val="1"/>
                <w:color w:val="auto"/>
              </w:rPr>
              <w:t>Shares</w:t>
            </w:r>
          </w:p>
        </w:tc>
        <w:tc>
          <w:tcPr>
            <w:tcW w:w="112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116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920" w:type="dxa"/>
            <w:vAlign w:val="bottom"/>
            <w:vMerge w:val="continue"/>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856,332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369,828</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64,876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1,291,036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20" w:type="dxa"/>
            <w:vAlign w:val="bottom"/>
          </w:tcPr>
          <w:p>
            <w:pPr>
              <w:ind w:left="260"/>
              <w:spacing w:after="0"/>
              <w:rPr>
                <w:sz w:val="20"/>
                <w:szCs w:val="20"/>
                <w:color w:val="auto"/>
              </w:rPr>
            </w:pPr>
            <w:r>
              <w:rPr>
                <w:rFonts w:ascii="Arial" w:cs="Arial" w:eastAsia="Arial" w:hAnsi="Arial"/>
                <w:sz w:val="16"/>
                <w:szCs w:val="16"/>
                <w:color w:val="auto"/>
              </w:rPr>
              <w:t>Shares granted</w:t>
            </w:r>
          </w:p>
        </w:tc>
        <w:tc>
          <w:tcPr>
            <w:tcW w:w="900" w:type="dxa"/>
            <w:vAlign w:val="bottom"/>
          </w:tcPr>
          <w:p>
            <w:pPr>
              <w:jc w:val="right"/>
              <w:spacing w:after="0"/>
              <w:rPr>
                <w:sz w:val="20"/>
                <w:szCs w:val="20"/>
                <w:color w:val="auto"/>
              </w:rPr>
            </w:pPr>
            <w:r>
              <w:rPr>
                <w:rFonts w:ascii="Arial" w:cs="Arial" w:eastAsia="Arial" w:hAnsi="Arial"/>
                <w:sz w:val="16"/>
                <w:szCs w:val="16"/>
                <w:color w:val="auto"/>
              </w:rPr>
              <w:t>484,558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804,701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74,968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66,325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1,430,552</w:t>
            </w:r>
          </w:p>
        </w:tc>
        <w:tc>
          <w:tcPr>
            <w:tcW w:w="2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vested/issued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(430,336)</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(27,697)</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(44,599)</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(66,325)</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(568,957)</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20" w:type="dxa"/>
            <w:vAlign w:val="bottom"/>
          </w:tcPr>
          <w:p>
            <w:pPr>
              <w:ind w:left="260"/>
              <w:spacing w:after="0"/>
              <w:rPr>
                <w:sz w:val="20"/>
                <w:szCs w:val="20"/>
                <w:color w:val="auto"/>
              </w:rPr>
            </w:pPr>
            <w:r>
              <w:rPr>
                <w:rFonts w:ascii="Arial" w:cs="Arial" w:eastAsia="Arial" w:hAnsi="Arial"/>
                <w:sz w:val="16"/>
                <w:szCs w:val="16"/>
                <w:color w:val="auto"/>
              </w:rPr>
              <w:t>Shares canceled</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(857,221)</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(37,649)</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(894,870)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Outstanding non-vested shares at end of quarter</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53,333</w:t>
            </w:r>
          </w:p>
        </w:tc>
        <w:tc>
          <w:tcPr>
            <w:tcW w:w="2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1,109,183</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95,245</w:t>
            </w: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1,257,761</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right="8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Stock Units (“RSUs”) were primarily granted in connection with the 2017-2018 LTIP. The RSUs will vest in two tranches with the first 50% vesting on April 1, 2019 and the second 50% vesting on April 1, 2020.</w:t>
      </w:r>
    </w:p>
    <w:p>
      <w:pPr>
        <w:spacing w:after="0" w:line="62" w:lineRule="exact"/>
        <w:rPr>
          <w:rFonts w:ascii="Arial" w:cs="Arial" w:eastAsia="Arial" w:hAnsi="Arial"/>
          <w:sz w:val="18"/>
          <w:szCs w:val="18"/>
          <w:color w:val="auto"/>
        </w:rPr>
      </w:pPr>
    </w:p>
    <w:p>
      <w:pPr>
        <w:ind w:left="760" w:right="200" w:hanging="374"/>
        <w:spacing w:after="0" w:line="26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74,968 shares of deferred stock, with a fair value of $182,852,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73" w:lineRule="exact"/>
        <w:rPr>
          <w:rFonts w:ascii="Arial" w:cs="Arial" w:eastAsia="Arial" w:hAnsi="Arial"/>
          <w:sz w:val="18"/>
          <w:szCs w:val="18"/>
          <w:color w:val="auto"/>
        </w:rPr>
      </w:pPr>
    </w:p>
    <w:p>
      <w:pPr>
        <w:ind w:left="760" w:right="260" w:hanging="374"/>
        <w:spacing w:after="0" w:line="27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first nine months of fiscal 2017, the Company granted 66,325 shares of stock, with a fair value of approximately $166,139, to certain directors as compensation in lieu of cash, in accordance with their irrevocable elections. Directors are required to elect 50% of their quarterly retainer in equity. Any shares in excess of the minimum required election are issued from the Company’s Third Amendment to the Second Amended and Restated Non-Employee Director Compensation Plan (“Non-Employee Director Compensation Plan”).</w:t>
      </w:r>
    </w:p>
    <w:p>
      <w:pPr>
        <w:spacing w:after="0" w:line="63" w:lineRule="exact"/>
        <w:rPr>
          <w:rFonts w:ascii="Arial" w:cs="Arial" w:eastAsia="Arial" w:hAnsi="Arial"/>
          <w:sz w:val="17"/>
          <w:szCs w:val="17"/>
          <w:color w:val="auto"/>
        </w:rPr>
      </w:pPr>
    </w:p>
    <w:p>
      <w:pPr>
        <w:ind w:left="760" w:right="38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Weighted-</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86"/>
              </w:rPr>
              <w:t>average</w:t>
            </w: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color w:val="auto"/>
                <w:w w:val="90"/>
              </w:rPr>
              <w:t>Weighted-average</w:t>
            </w:r>
          </w:p>
        </w:tc>
        <w:tc>
          <w:tcPr>
            <w:tcW w:w="1180" w:type="dxa"/>
            <w:vAlign w:val="bottom"/>
          </w:tcPr>
          <w:p>
            <w:pPr>
              <w:spacing w:after="0"/>
              <w:rPr>
                <w:sz w:val="17"/>
                <w:szCs w:val="17"/>
                <w:color w:val="auto"/>
              </w:rPr>
            </w:pPr>
          </w:p>
        </w:tc>
      </w:tr>
      <w:tr>
        <w:trPr>
          <w:trHeight w:val="203"/>
        </w:trPr>
        <w:tc>
          <w:tcPr>
            <w:tcW w:w="604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6"/>
                <w:szCs w:val="16"/>
                <w:color w:val="auto"/>
              </w:rPr>
              <w:t>Number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exercise price</w:t>
            </w: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color w:val="auto"/>
                <w:w w:val="93"/>
              </w:rPr>
              <w:t>remaining</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Aggregate</w:t>
            </w:r>
          </w:p>
        </w:tc>
      </w:tr>
      <w:tr>
        <w:trPr>
          <w:trHeight w:val="209"/>
        </w:trPr>
        <w:tc>
          <w:tcPr>
            <w:tcW w:w="60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6"/>
                <w:szCs w:val="16"/>
                <w:color w:val="auto"/>
              </w:rPr>
              <w:t>shares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per option</w:t>
            </w: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contractual term</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w w:val="94"/>
              </w:rPr>
              <w:t>intrinsic value</w:t>
            </w:r>
          </w:p>
        </w:tc>
      </w:tr>
      <w:tr>
        <w:trPr>
          <w:trHeight w:val="21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Stock Options</w:t>
            </w: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6"/>
                <w:szCs w:val="16"/>
                <w:color w:val="auto"/>
              </w:rPr>
              <w:t>2,524,546</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8"/>
                <w:szCs w:val="18"/>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11,286</w:t>
            </w: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granted</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13"/>
        </w:trPr>
        <w:tc>
          <w:tcPr>
            <w:tcW w:w="6040" w:type="dxa"/>
            <w:vAlign w:val="bottom"/>
          </w:tcPr>
          <w:p>
            <w:pPr>
              <w:ind w:left="260"/>
              <w:spacing w:after="0"/>
              <w:rPr>
                <w:sz w:val="20"/>
                <w:szCs w:val="20"/>
                <w:color w:val="auto"/>
              </w:rPr>
            </w:pPr>
            <w:r>
              <w:rPr>
                <w:rFonts w:ascii="Arial" w:cs="Arial" w:eastAsia="Arial" w:hAnsi="Arial"/>
                <w:sz w:val="16"/>
                <w:szCs w:val="16"/>
                <w:color w:val="auto"/>
              </w:rPr>
              <w:t>Options canceled</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(1,259,579)</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5.05</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exercised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r>
      <w:tr>
        <w:trPr>
          <w:trHeight w:val="207"/>
        </w:trPr>
        <w:tc>
          <w:tcPr>
            <w:tcW w:w="6040" w:type="dxa"/>
            <w:vAlign w:val="bottom"/>
          </w:tcPr>
          <w:p>
            <w:pPr>
              <w:ind w:left="260"/>
              <w:spacing w:after="0"/>
              <w:rPr>
                <w:sz w:val="20"/>
                <w:szCs w:val="20"/>
                <w:color w:val="auto"/>
              </w:rPr>
            </w:pPr>
            <w:r>
              <w:rPr>
                <w:rFonts w:ascii="Arial" w:cs="Arial" w:eastAsia="Arial" w:hAnsi="Arial"/>
                <w:sz w:val="16"/>
                <w:szCs w:val="16"/>
                <w:color w:val="auto"/>
              </w:rPr>
              <w:t>Outstanding options at end of quarter</w:t>
            </w:r>
          </w:p>
        </w:tc>
        <w:tc>
          <w:tcPr>
            <w:tcW w:w="1160" w:type="dxa"/>
            <w:vAlign w:val="bottom"/>
          </w:tcPr>
          <w:p>
            <w:pPr>
              <w:jc w:val="right"/>
              <w:spacing w:after="0"/>
              <w:rPr>
                <w:sz w:val="20"/>
                <w:szCs w:val="20"/>
                <w:color w:val="auto"/>
              </w:rPr>
            </w:pPr>
            <w:r>
              <w:rPr>
                <w:rFonts w:ascii="Arial" w:cs="Arial" w:eastAsia="Arial" w:hAnsi="Arial"/>
                <w:sz w:val="16"/>
                <w:szCs w:val="16"/>
                <w:color w:val="auto"/>
              </w:rPr>
              <w:t>1,294,967</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4.82</w:t>
            </w:r>
          </w:p>
        </w:tc>
        <w:tc>
          <w:tcPr>
            <w:tcW w:w="180" w:type="dxa"/>
            <w:vAlign w:val="bottom"/>
          </w:tcPr>
          <w:p>
            <w:pPr>
              <w:spacing w:after="0"/>
              <w:rPr>
                <w:sz w:val="17"/>
                <w:szCs w:val="17"/>
                <w:color w:val="auto"/>
              </w:rPr>
            </w:pPr>
          </w:p>
        </w:tc>
        <w:tc>
          <w:tcPr>
            <w:tcW w:w="1540" w:type="dxa"/>
            <w:vAlign w:val="bottom"/>
            <w:gridSpan w:val="3"/>
          </w:tcPr>
          <w:p>
            <w:pPr>
              <w:ind w:left="700"/>
              <w:spacing w:after="0"/>
              <w:rPr>
                <w:sz w:val="20"/>
                <w:szCs w:val="20"/>
                <w:color w:val="auto"/>
              </w:rPr>
            </w:pPr>
            <w:r>
              <w:rPr>
                <w:rFonts w:ascii="Arial" w:cs="Arial" w:eastAsia="Arial" w:hAnsi="Arial"/>
                <w:sz w:val="16"/>
                <w:szCs w:val="16"/>
                <w:color w:val="auto"/>
                <w:w w:val="98"/>
              </w:rPr>
              <w:t>4.8 years  $</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3,000</w:t>
            </w:r>
          </w:p>
        </w:tc>
      </w:tr>
      <w:tr>
        <w:trPr>
          <w:trHeight w:val="219"/>
        </w:trPr>
        <w:tc>
          <w:tcPr>
            <w:tcW w:w="6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1,294,967</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ind w:left="700"/>
              <w:spacing w:after="0"/>
              <w:rPr>
                <w:sz w:val="20"/>
                <w:szCs w:val="20"/>
                <w:color w:val="auto"/>
              </w:rPr>
            </w:pPr>
            <w:r>
              <w:rPr>
                <w:rFonts w:ascii="Arial" w:cs="Arial" w:eastAsia="Arial" w:hAnsi="Arial"/>
                <w:sz w:val="16"/>
                <w:szCs w:val="16"/>
                <w:color w:val="auto"/>
              </w:rPr>
              <w:t>4.8 years</w:t>
            </w:r>
          </w:p>
        </w:tc>
        <w:tc>
          <w:tcPr>
            <w:tcW w:w="1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first nine months of fiscal 2017, the Company granted 30,000 stock options, 484,558 shares of restricted stock, 804,701 RSUs and 74,968 shares of deferred stock. For the first nine months of fiscal 2016, the Company granted 8,522 stock options, 3,834 shares of restricted stock, 431,270 RSUs and 23,570 shares of deferred stock.</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specified by the Compensation Committee, RSUs, restricted stock and deferred stock are valued using the closing price of the Company’s common stock on the day immediately preceding the date of grant.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 following assumptions were used for grants for the first nine months of fiscal 2017 and fiscal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October 28, 2017</w:t>
            </w:r>
          </w:p>
        </w:tc>
        <w:tc>
          <w:tcPr>
            <w:tcW w:w="32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October 29, 2016</w:t>
            </w:r>
          </w:p>
        </w:tc>
        <w:tc>
          <w:tcPr>
            <w:tcW w:w="140" w:type="dxa"/>
            <w:vAlign w:val="bottom"/>
            <w:tcBorders>
              <w:bottom w:val="single" w:sz="8" w:color="CFF0FC"/>
            </w:tcBorders>
          </w:tcPr>
          <w:p>
            <w:pPr>
              <w:spacing w:after="0"/>
              <w:rPr>
                <w:sz w:val="18"/>
                <w:szCs w:val="18"/>
                <w:color w:val="auto"/>
              </w:rPr>
            </w:pPr>
          </w:p>
        </w:tc>
      </w:tr>
      <w:tr>
        <w:trPr>
          <w:trHeight w:val="213"/>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49.9%</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39.3%</w:t>
            </w: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1.44%</w:t>
            </w:r>
          </w:p>
        </w:tc>
        <w:tc>
          <w:tcPr>
            <w:tcW w:w="1580" w:type="dxa"/>
            <w:vAlign w:val="bottom"/>
          </w:tcPr>
          <w:p>
            <w:pPr>
              <w:jc w:val="right"/>
              <w:spacing w:after="0"/>
              <w:rPr>
                <w:sz w:val="20"/>
                <w:szCs w:val="20"/>
                <w:color w:val="auto"/>
              </w:rPr>
            </w:pPr>
            <w:r>
              <w:rPr>
                <w:rFonts w:ascii="Arial" w:cs="Arial" w:eastAsia="Arial" w:hAnsi="Arial"/>
                <w:sz w:val="16"/>
                <w:szCs w:val="16"/>
                <w:color w:val="auto"/>
              </w:rPr>
              <w:t>0.78%</w:t>
            </w:r>
          </w:p>
        </w:tc>
        <w:tc>
          <w:tcPr>
            <w:tcW w:w="140" w:type="dxa"/>
            <w:vAlign w:val="bottom"/>
          </w:tcPr>
          <w:p>
            <w:pPr>
              <w:spacing w:after="0"/>
              <w:rPr>
                <w:sz w:val="18"/>
                <w:szCs w:val="18"/>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Expected life</w:t>
            </w:r>
          </w:p>
        </w:tc>
        <w:tc>
          <w:tcPr>
            <w:tcW w:w="188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3.0 yrs</w:t>
            </w: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 yrs</w:t>
            </w:r>
          </w:p>
        </w:tc>
      </w:tr>
      <w:tr>
        <w:trPr>
          <w:trHeight w:val="210"/>
        </w:trPr>
        <w:tc>
          <w:tcPr>
            <w:tcW w:w="7820" w:type="dxa"/>
            <w:vAlign w:val="bottom"/>
          </w:tcPr>
          <w:p>
            <w:pPr>
              <w:spacing w:after="0"/>
              <w:rPr>
                <w:sz w:val="20"/>
                <w:szCs w:val="20"/>
                <w:color w:val="auto"/>
              </w:rPr>
            </w:pPr>
            <w:r>
              <w:rPr>
                <w:rFonts w:ascii="Arial" w:cs="Arial" w:eastAsia="Arial" w:hAnsi="Arial"/>
                <w:sz w:val="16"/>
                <w:szCs w:val="16"/>
                <w:color w:val="auto"/>
              </w:rPr>
              <w:t>Dividend rate</w:t>
            </w:r>
          </w:p>
        </w:tc>
        <w:tc>
          <w:tcPr>
            <w:tcW w:w="1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granted 29,425 shares of common stock, with a fair value of approximately $71,454, to certain of its non-employee directors as compensation in lieu of cash in the first nine months of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Company recognized total stock-based compensation expense of $1.3 million and $1.1 million for the first nine months of fiscal 2017 and fiscal 2016, respectively. The total compensation cost related to time-vested stock options, restricted stock and RSU awards not yet recognized as of October 28, 2017 was approximately $2.4 million, net of estimated forfeitures, which will be expensed over a weighted average remaining life of 22 months.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900" w:type="dxa"/>
            <w:vAlign w:val="bottom"/>
          </w:tcPr>
          <w:p>
            <w:pPr>
              <w:spacing w:after="0"/>
              <w:rPr>
                <w:sz w:val="17"/>
                <w:szCs w:val="17"/>
                <w:color w:val="auto"/>
              </w:rPr>
            </w:pPr>
          </w:p>
        </w:tc>
        <w:tc>
          <w:tcPr>
            <w:tcW w:w="2520" w:type="dxa"/>
            <w:vAlign w:val="bottom"/>
            <w:gridSpan w:val="3"/>
          </w:tcPr>
          <w:p>
            <w:pPr>
              <w:jc w:val="right"/>
              <w:ind w:right="319"/>
              <w:spacing w:after="0"/>
              <w:rPr>
                <w:sz w:val="20"/>
                <w:szCs w:val="20"/>
                <w:color w:val="auto"/>
              </w:rPr>
            </w:pPr>
            <w:r>
              <w:rPr>
                <w:rFonts w:ascii="Arial" w:cs="Arial" w:eastAsia="Arial" w:hAnsi="Arial"/>
                <w:sz w:val="16"/>
                <w:szCs w:val="16"/>
                <w:color w:val="auto"/>
              </w:rPr>
              <w:t>For the three months ended</w:t>
            </w:r>
          </w:p>
        </w:tc>
        <w:tc>
          <w:tcPr>
            <w:tcW w:w="240" w:type="dxa"/>
            <w:vAlign w:val="bottom"/>
          </w:tcPr>
          <w:p>
            <w:pPr>
              <w:spacing w:after="0"/>
              <w:rPr>
                <w:sz w:val="17"/>
                <w:szCs w:val="17"/>
                <w:color w:val="auto"/>
              </w:rPr>
            </w:pPr>
          </w:p>
        </w:tc>
        <w:tc>
          <w:tcPr>
            <w:tcW w:w="2660" w:type="dxa"/>
            <w:vAlign w:val="bottom"/>
            <w:gridSpan w:val="4"/>
          </w:tcPr>
          <w:p>
            <w:pPr>
              <w:ind w:left="400"/>
              <w:spacing w:after="0"/>
              <w:rPr>
                <w:sz w:val="20"/>
                <w:szCs w:val="20"/>
                <w:color w:val="auto"/>
              </w:rPr>
            </w:pPr>
            <w:r>
              <w:rPr>
                <w:rFonts w:ascii="Arial" w:cs="Arial" w:eastAsia="Arial" w:hAnsi="Arial"/>
                <w:sz w:val="16"/>
                <w:szCs w:val="16"/>
                <w:color w:val="auto"/>
              </w:rPr>
              <w:t>For the nine months ended</w:t>
            </w:r>
          </w:p>
        </w:tc>
      </w:tr>
      <w:tr>
        <w:trPr>
          <w:trHeight w:val="212"/>
        </w:trPr>
        <w:tc>
          <w:tcPr>
            <w:tcW w:w="59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October 28,</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90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2017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October 29, 2016</w:t>
            </w:r>
          </w:p>
        </w:tc>
        <w:tc>
          <w:tcPr>
            <w:tcW w:w="1620" w:type="dxa"/>
            <w:vAlign w:val="bottom"/>
            <w:gridSpan w:val="3"/>
          </w:tcPr>
          <w:p>
            <w:pPr>
              <w:ind w:left="240"/>
              <w:spacing w:after="0"/>
              <w:rPr>
                <w:sz w:val="20"/>
                <w:szCs w:val="20"/>
                <w:color w:val="auto"/>
              </w:rPr>
            </w:pPr>
            <w:r>
              <w:rPr>
                <w:rFonts w:ascii="Arial" w:cs="Arial" w:eastAsia="Arial" w:hAnsi="Arial"/>
                <w:sz w:val="16"/>
                <w:szCs w:val="16"/>
                <w:color w:val="auto"/>
              </w:rPr>
              <w:t>October 28, 2017</w:t>
            </w:r>
          </w:p>
        </w:tc>
        <w:tc>
          <w:tcPr>
            <w:tcW w:w="1280" w:type="dxa"/>
            <w:vAlign w:val="bottom"/>
            <w:gridSpan w:val="2"/>
          </w:tcPr>
          <w:p>
            <w:pPr>
              <w:ind w:left="20"/>
              <w:spacing w:after="0"/>
              <w:rPr>
                <w:sz w:val="20"/>
                <w:szCs w:val="20"/>
                <w:color w:val="auto"/>
              </w:rPr>
            </w:pPr>
            <w:r>
              <w:rPr>
                <w:rFonts w:ascii="Arial" w:cs="Arial" w:eastAsia="Arial" w:hAnsi="Arial"/>
                <w:sz w:val="16"/>
                <w:szCs w:val="16"/>
                <w:color w:val="auto"/>
              </w:rPr>
              <w:t>October 29, 2016</w:t>
            </w:r>
          </w:p>
        </w:tc>
      </w:tr>
      <w:tr>
        <w:trPr>
          <w:trHeight w:val="213"/>
        </w:trPr>
        <w:tc>
          <w:tcPr>
            <w:tcW w:w="5900" w:type="dxa"/>
            <w:vAlign w:val="bottom"/>
          </w:tcPr>
          <w:p>
            <w:pPr>
              <w:spacing w:after="0"/>
              <w:rPr>
                <w:sz w:val="20"/>
                <w:szCs w:val="20"/>
                <w:color w:val="auto"/>
              </w:rPr>
            </w:pPr>
            <w:r>
              <w:rPr>
                <w:rFonts w:ascii="Arial" w:cs="Arial" w:eastAsia="Arial" w:hAnsi="Arial"/>
                <w:sz w:val="16"/>
                <w:szCs w:val="16"/>
                <w:i w:val="1"/>
                <w:iCs w:val="1"/>
                <w:color w:val="auto"/>
              </w:rPr>
              <w:t>(in thousands</w:t>
            </w:r>
            <w:r>
              <w:rPr>
                <w:rFonts w:ascii="Arial" w:cs="Arial" w:eastAsia="Arial" w:hAnsi="Arial"/>
                <w:sz w:val="16"/>
                <w:szCs w:val="16"/>
                <w:b w:val="1"/>
                <w:bCs w:val="1"/>
                <w:i w:val="1"/>
                <w:iCs w:val="1"/>
                <w:color w:val="auto"/>
              </w:rPr>
              <w:t>)</w:t>
            </w: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Common Stock Outstanding:</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Basic weighted average common shares outstanding</w:t>
            </w:r>
          </w:p>
        </w:tc>
        <w:tc>
          <w:tcPr>
            <w:tcW w:w="1120" w:type="dxa"/>
            <w:vAlign w:val="bottom"/>
          </w:tcPr>
          <w:p>
            <w:pPr>
              <w:jc w:val="right"/>
              <w:spacing w:after="0"/>
              <w:rPr>
                <w:sz w:val="20"/>
                <w:szCs w:val="20"/>
                <w:color w:val="auto"/>
              </w:rPr>
            </w:pPr>
            <w:r>
              <w:rPr>
                <w:rFonts w:ascii="Arial" w:cs="Arial" w:eastAsia="Arial" w:hAnsi="Arial"/>
                <w:sz w:val="16"/>
                <w:szCs w:val="16"/>
                <w:color w:val="auto"/>
              </w:rPr>
              <w:t>48,607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49,552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48,966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49,532</w:t>
            </w:r>
          </w:p>
        </w:tc>
        <w:tc>
          <w:tcPr>
            <w:tcW w:w="10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Common stock equivalents – stock options and restricted stock </w:t>
            </w:r>
            <w:r>
              <w:rPr>
                <w:rFonts w:ascii="Arial" w:cs="Arial" w:eastAsia="Arial" w:hAnsi="Arial"/>
                <w:sz w:val="25"/>
                <w:szCs w:val="25"/>
                <w:color w:val="auto"/>
                <w:vertAlign w:val="superscript"/>
              </w:rPr>
              <w:t>(1)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4"/>
        </w:trPr>
        <w:tc>
          <w:tcPr>
            <w:tcW w:w="5900" w:type="dxa"/>
            <w:vAlign w:val="bottom"/>
          </w:tcPr>
          <w:p>
            <w:pPr>
              <w:spacing w:after="0"/>
              <w:rPr>
                <w:sz w:val="20"/>
                <w:szCs w:val="20"/>
                <w:color w:val="auto"/>
              </w:rPr>
            </w:pPr>
            <w:r>
              <w:rPr>
                <w:rFonts w:ascii="Arial" w:cs="Arial" w:eastAsia="Arial" w:hAnsi="Arial"/>
                <w:sz w:val="16"/>
                <w:szCs w:val="16"/>
                <w:color w:val="auto"/>
              </w:rPr>
              <w:t>Diluted weighted average common shares outstanding</w:t>
            </w:r>
          </w:p>
        </w:tc>
        <w:tc>
          <w:tcPr>
            <w:tcW w:w="1120" w:type="dxa"/>
            <w:vAlign w:val="bottom"/>
          </w:tcPr>
          <w:p>
            <w:pPr>
              <w:jc w:val="right"/>
              <w:spacing w:after="0"/>
              <w:rPr>
                <w:sz w:val="20"/>
                <w:szCs w:val="20"/>
                <w:color w:val="auto"/>
              </w:rPr>
            </w:pPr>
            <w:r>
              <w:rPr>
                <w:rFonts w:ascii="Arial" w:cs="Arial" w:eastAsia="Arial" w:hAnsi="Arial"/>
                <w:sz w:val="16"/>
                <w:szCs w:val="16"/>
                <w:color w:val="auto"/>
              </w:rPr>
              <w:t>48,607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49,552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48,966</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49,532</w:t>
            </w:r>
          </w:p>
        </w:tc>
        <w:tc>
          <w:tcPr>
            <w:tcW w:w="100" w:type="dxa"/>
            <w:vAlign w:val="bottom"/>
          </w:tcPr>
          <w:p>
            <w:pPr>
              <w:spacing w:after="0"/>
              <w:rPr>
                <w:sz w:val="17"/>
                <w:szCs w:val="17"/>
                <w:color w:val="auto"/>
              </w:rPr>
            </w:pPr>
          </w:p>
        </w:tc>
      </w:tr>
    </w:tbl>
    <w:p>
      <w:pPr>
        <w:spacing w:after="0" w:line="208" w:lineRule="exact"/>
        <w:rPr>
          <w:sz w:val="20"/>
          <w:szCs w:val="20"/>
          <w:color w:val="auto"/>
        </w:rPr>
      </w:pPr>
    </w:p>
    <w:p>
      <w:pPr>
        <w:ind w:left="1040" w:right="100" w:hanging="519"/>
        <w:spacing w:after="0" w:line="34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Common stock equivalents of 92 shares and 67 shares for the three and nine months ended October 28, 2017, respectively, and 483 shares and 402 shares for the three and nine months ended October 29, 2016, respectively, were excluded due to the net loss in all periods.</w:t>
      </w:r>
    </w:p>
    <w:p>
      <w:pPr>
        <w:spacing w:after="0" w:line="15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2760" w:type="dxa"/>
            <w:vAlign w:val="bottom"/>
            <w:gridSpan w:val="4"/>
          </w:tcPr>
          <w:p>
            <w:pPr>
              <w:ind w:left="360"/>
              <w:spacing w:after="0"/>
              <w:rPr>
                <w:sz w:val="20"/>
                <w:szCs w:val="20"/>
                <w:color w:val="auto"/>
              </w:rPr>
            </w:pPr>
            <w:r>
              <w:rPr>
                <w:rFonts w:ascii="Arial" w:cs="Arial" w:eastAsia="Arial" w:hAnsi="Arial"/>
                <w:sz w:val="16"/>
                <w:szCs w:val="16"/>
                <w:color w:val="auto"/>
              </w:rPr>
              <w:t>For the three months ended</w:t>
            </w:r>
          </w:p>
        </w:tc>
        <w:tc>
          <w:tcPr>
            <w:tcW w:w="2640" w:type="dxa"/>
            <w:vAlign w:val="bottom"/>
            <w:gridSpan w:val="4"/>
          </w:tcPr>
          <w:p>
            <w:pPr>
              <w:ind w:left="380"/>
              <w:spacing w:after="0"/>
              <w:rPr>
                <w:sz w:val="20"/>
                <w:szCs w:val="20"/>
                <w:color w:val="auto"/>
              </w:rPr>
            </w:pPr>
            <w:r>
              <w:rPr>
                <w:rFonts w:ascii="Arial" w:cs="Arial" w:eastAsia="Arial" w:hAnsi="Arial"/>
                <w:sz w:val="16"/>
                <w:szCs w:val="16"/>
                <w:color w:val="auto"/>
              </w:rPr>
              <w:t>For the nine months ended</w:t>
            </w:r>
          </w:p>
        </w:tc>
      </w:tr>
      <w:tr>
        <w:trPr>
          <w:trHeight w:val="212"/>
        </w:trPr>
        <w:tc>
          <w:tcPr>
            <w:tcW w:w="58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color w:val="auto"/>
              </w:rPr>
              <w:t>October 28,</w:t>
            </w:r>
          </w:p>
        </w:tc>
        <w:tc>
          <w:tcPr>
            <w:tcW w:w="1380" w:type="dxa"/>
            <w:vAlign w:val="bottom"/>
            <w:gridSpan w:val="2"/>
          </w:tcPr>
          <w:p>
            <w:pPr>
              <w:ind w:left="180"/>
              <w:spacing w:after="0"/>
              <w:rPr>
                <w:sz w:val="20"/>
                <w:szCs w:val="20"/>
                <w:color w:val="auto"/>
              </w:rPr>
            </w:pPr>
            <w:r>
              <w:rPr>
                <w:rFonts w:ascii="Arial" w:cs="Arial" w:eastAsia="Arial" w:hAnsi="Arial"/>
                <w:sz w:val="16"/>
                <w:szCs w:val="16"/>
                <w:color w:val="auto"/>
              </w:rPr>
              <w:t>October 29,</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October 28,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5800" w:type="dxa"/>
            <w:vAlign w:val="bottom"/>
          </w:tcPr>
          <w:p>
            <w:pPr>
              <w:spacing w:after="0"/>
              <w:rPr>
                <w:sz w:val="17"/>
                <w:szCs w:val="17"/>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7"/>
                <w:szCs w:val="17"/>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7"/>
                <w:szCs w:val="17"/>
                <w:color w:val="auto"/>
              </w:rPr>
            </w:pPr>
          </w:p>
        </w:tc>
        <w:tc>
          <w:tcPr>
            <w:tcW w:w="1140" w:type="dxa"/>
            <w:vAlign w:val="bottom"/>
          </w:tcPr>
          <w:p>
            <w:pPr>
              <w:ind w:left="400"/>
              <w:spacing w:after="0"/>
              <w:rPr>
                <w:sz w:val="20"/>
                <w:szCs w:val="20"/>
                <w:color w:val="auto"/>
              </w:rPr>
            </w:pPr>
            <w:r>
              <w:rPr>
                <w:rFonts w:ascii="Arial" w:cs="Arial" w:eastAsia="Arial" w:hAnsi="Arial"/>
                <w:sz w:val="16"/>
                <w:szCs w:val="16"/>
                <w:color w:val="auto"/>
              </w:rPr>
              <w:t>2017</w:t>
            </w:r>
          </w:p>
        </w:tc>
        <w:tc>
          <w:tcPr>
            <w:tcW w:w="1500" w:type="dxa"/>
            <w:vAlign w:val="bottom"/>
            <w:gridSpan w:val="3"/>
          </w:tcPr>
          <w:p>
            <w:pPr>
              <w:ind w:left="240"/>
              <w:spacing w:after="0"/>
              <w:rPr>
                <w:sz w:val="20"/>
                <w:szCs w:val="20"/>
                <w:color w:val="auto"/>
              </w:rPr>
            </w:pPr>
            <w:r>
              <w:rPr>
                <w:rFonts w:ascii="Arial" w:cs="Arial" w:eastAsia="Arial" w:hAnsi="Arial"/>
                <w:sz w:val="16"/>
                <w:szCs w:val="16"/>
                <w:color w:val="auto"/>
              </w:rPr>
              <w:t>October 29, 2016</w:t>
            </w:r>
          </w:p>
        </w:tc>
      </w:tr>
      <w:tr>
        <w:trPr>
          <w:trHeight w:val="213"/>
        </w:trPr>
        <w:tc>
          <w:tcPr>
            <w:tcW w:w="5800" w:type="dxa"/>
            <w:vAlign w:val="bottom"/>
          </w:tcPr>
          <w:p>
            <w:pPr>
              <w:spacing w:after="0"/>
              <w:rPr>
                <w:sz w:val="20"/>
                <w:szCs w:val="20"/>
                <w:color w:val="auto"/>
              </w:rPr>
            </w:pPr>
            <w:r>
              <w:rPr>
                <w:rFonts w:ascii="Arial" w:cs="Arial" w:eastAsia="Arial" w:hAnsi="Arial"/>
                <w:sz w:val="16"/>
                <w:szCs w:val="16"/>
                <w:i w:val="1"/>
                <w:iCs w:val="1"/>
                <w:color w:val="auto"/>
              </w:rPr>
              <w:t>(in thousands, except exercise prices)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Stock Options (time-vested)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1,232</w:t>
            </w:r>
          </w:p>
        </w:tc>
        <w:tc>
          <w:tcPr>
            <w:tcW w:w="120" w:type="dxa"/>
            <w:vAlign w:val="bottom"/>
            <w:shd w:val="clear" w:color="auto" w:fill="CFF0FC"/>
          </w:tcPr>
          <w:p>
            <w:pPr>
              <w:spacing w:after="0"/>
              <w:rPr>
                <w:sz w:val="19"/>
                <w:szCs w:val="19"/>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6"/>
                <w:szCs w:val="16"/>
                <w:color w:val="auto"/>
              </w:rPr>
              <w:t>Restricted Stock Units (time-vested)</w:t>
            </w:r>
          </w:p>
        </w:tc>
        <w:tc>
          <w:tcPr>
            <w:tcW w:w="1140" w:type="dxa"/>
            <w:vAlign w:val="bottom"/>
          </w:tcPr>
          <w:p>
            <w:pPr>
              <w:jc w:val="right"/>
              <w:spacing w:after="0"/>
              <w:rPr>
                <w:sz w:val="20"/>
                <w:szCs w:val="20"/>
                <w:color w:val="auto"/>
              </w:rPr>
            </w:pPr>
            <w:r>
              <w:rPr>
                <w:rFonts w:ascii="Arial" w:cs="Arial" w:eastAsia="Arial" w:hAnsi="Arial"/>
                <w:sz w:val="16"/>
                <w:szCs w:val="16"/>
                <w:color w:val="auto"/>
              </w:rPr>
              <w:t>1,106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1,109</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r>
      <w:tr>
        <w:trPr>
          <w:trHeight w:val="219"/>
        </w:trPr>
        <w:tc>
          <w:tcPr>
            <w:tcW w:w="5800" w:type="dxa"/>
            <w:vAlign w:val="bottom"/>
            <w:shd w:val="clear" w:color="auto" w:fill="CFF0FC"/>
          </w:tcPr>
          <w:p>
            <w:pPr>
              <w:spacing w:after="0"/>
              <w:rPr>
                <w:sz w:val="20"/>
                <w:szCs w:val="20"/>
                <w:color w:val="auto"/>
              </w:rPr>
            </w:pPr>
            <w:r>
              <w:rPr>
                <w:rFonts w:ascii="Arial" w:cs="Arial" w:eastAsia="Arial" w:hAnsi="Arial"/>
                <w:sz w:val="16"/>
                <w:szCs w:val="16"/>
                <w:color w:val="auto"/>
              </w:rPr>
              <w:t>Restricted and Deferred Stock</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6"/>
                <w:szCs w:val="16"/>
                <w:color w:val="auto"/>
              </w:rPr>
              <w:t>Range of exercise prices of such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$1.85 - $7.02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$4.49 - $7.52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 $7.02</w:t>
            </w: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$4.49 - $7.52</w:t>
            </w:r>
          </w:p>
        </w:tc>
        <w:tc>
          <w:tcPr>
            <w:tcW w:w="120" w:type="dxa"/>
            <w:vAlign w:val="bottom"/>
          </w:tcPr>
          <w:p>
            <w:pPr>
              <w:spacing w:after="0"/>
              <w:rPr>
                <w:sz w:val="18"/>
                <w:szCs w:val="18"/>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October 28, 2017, expire from June 8, 2018 to August 31, 2027 .</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There were no performance-based awards outstanding at October 28, 2017. For the third quarter and first nine months of fiscal 2016, 893,621 shares of unvested performance-based restricted stock and 1,125,317 performance-based stock options were excluded from the Company’s computation of basic and diluted earnings per share. All outstanding performance-based awards expired unvested in March 2017 as a result of the Company’s not achieving performance targets in fiscal 2016.</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Shares of unvested time-based restricted stock of 53,333 at October 28, 2017 and 356,227 shares at October 29, 2016 were excluded from the computation of basic earnings per share and will continue to be excluded until such shares vest. See Note 3, Long-Term Incentive Plans, for a discussion of the Company’s LTIP plans and equity awards.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53,333 shares of restricted stock outstanding at October 28, 2017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Stock Repurchase Plan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17, 2017, the Company’s Board of Directors approved a stock repurchase plan. Under the stock repurchase plan, the Company may purchase up to $12.0 million of its common stock through open market and privately negotiated transactions during fiscal 2017. The timing and the amount of any repurchases of common stock will be determined based on the Company’s evaluation of market conditions and other factors. The stock repurchase program commenced in the first quarter of fiscal 2017 and will expire on February 3, 2018, but may be suspended, terminated or modified at any time for any reason. The Company expects to finance the repurchases from operating funds and/or periodic borrowings on its Credit Facility. Any repurchased common stock will be held as treasury stock and will be recorded on a trade-date basis.</w:t>
      </w:r>
    </w:p>
    <w:p>
      <w:pPr>
        <w:spacing w:after="0" w:line="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Through October 28, 2017, the Company purchased 1,878,434 shares of common stock at an average price of $2.49 per share. Approximately $7.3 million remains available under the stock repurchase plan. There were no stock repurchases during the third quarter of fiscal 2017.</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At October 28, 2017, the Company had total deferred tax assets of approximately $84.4 million, total deferred tax liabilities of $12.6 million and a corresponding valuation allowance of $72.0 million.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2017, the Company believes that a full allowance remains appropriate at this time.</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October 28, 2017, the Company had net operating loss carryforwards of $155.9 million for federal income tax purposes and $88.8 million for state income tax purposes that are available to offset future taxable income through fiscal year 2037. Additionally, the Company has alternative minimum tax credit carryforwards of $2.3 million, which are available to further reduce income taxes over an indefinite period. Additionally, the Company has $2.6 million of net operating loss for tax purposes related to the Company’s operations in Canada.</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tax provision for the first nine months of fiscal 2017 represented current state margin tax. For the first nine months of fiscal 2016 the tax provision primarily represents current state margin tax and foreign income tax.</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unrecognized tax benefit at October 28, 2017 was $3.0 million. This amount is directly associated with a prior year tax position related to exiting the Company’s direct business in Europe.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Related Parties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Oliver Walsh was elected as a director at the Company’s Annual Meeting of Stockholders on August 3, 2017. On August 17, 2017, Mr. Walsh entered into a temporary consulting agreement with the Company, to serve as the Company’s Interim Chief Marketing Officer through the Fall and Holiday selling seasons, while the Company searches for a new Chief Marketing Officer. Pursuant to the terms of the temporary consulting agreement, Mr. Walsh is entitled to receive compensation at a rate of $7,000 per week plus reimbursement for all business and travel expenses. Because of the related party relationship, the temporary consulting agreement was approved by the Company’s Audit Committee. Through the end of the third quarter of fiscal 2017, Mr. Walsh received total compensation pursuant to the temporary consulting agreement, excluding reimbursement of expenses, of $70,000.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gross profit margins, merchandise margins, marketing costs, selling, general and administrative expenses, store counts, inventory levels, capital expenditures, borrowings, interest costs, sales and earnings expectations for fiscal 2017 and beyond, the expected impact of inventory management improvements on inventory levels and working capital in fiscal 2017, the expected impact of investments in marketing on 2017 sales and longer term impact on customer acquisition and brand awareness, and the anticipated pace and number of store openings and closings in fiscal 2017 and anticipated impact of expanding into Canada or future growth.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28, 2017, included in our Annual Report on Form 10-K for the year ended January 28, 2017, as filed with the Securities and Exchange Commission on March 20, 2017 (our “Fiscal 2016 Annual Report”).</w:t>
      </w:r>
    </w:p>
    <w:p>
      <w:pPr>
        <w:spacing w:after="0" w:line="6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Numerous factors could cause our actual results to differ materially from such forward-looking statements. We encourage readers to refer to the “Risk Factors” section in Part I, Item 1A of our Fiscal 2016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maintain and build our brand awareness and compete successfully in our market.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&amp; tall men’s apparel with retail and direct operations in the United States, Canada and London, England. We operate under the trade names of Destination XL</w:t>
      </w:r>
      <w:r>
        <w:rPr>
          <w:rFonts w:ascii="Arial" w:cs="Arial" w:eastAsia="Arial" w:hAnsi="Arial"/>
          <w:sz w:val="26"/>
          <w:szCs w:val="26"/>
          <w:color w:val="auto"/>
          <w:vertAlign w:val="superscript"/>
        </w:rPr>
        <w:t>®</w:t>
      </w:r>
      <w:r>
        <w:rPr>
          <w:rFonts w:ascii="Arial" w:cs="Arial" w:eastAsia="Arial" w:hAnsi="Arial"/>
          <w:sz w:val="18"/>
          <w:szCs w:val="18"/>
          <w:color w:val="auto"/>
        </w:rPr>
        <w:t>, DXL</w:t>
      </w:r>
      <w:r>
        <w:rPr>
          <w:rFonts w:ascii="Arial" w:cs="Arial" w:eastAsia="Arial" w:hAnsi="Arial"/>
          <w:sz w:val="26"/>
          <w:szCs w:val="26"/>
          <w:color w:val="auto"/>
          <w:vertAlign w:val="superscript"/>
        </w:rPr>
        <w:t>®</w:t>
      </w:r>
      <w:r>
        <w:rPr>
          <w:rFonts w:ascii="Arial" w:cs="Arial" w:eastAsia="Arial" w:hAnsi="Arial"/>
          <w:sz w:val="18"/>
          <w:szCs w:val="18"/>
          <w:color w:val="auto"/>
        </w:rPr>
        <w:t>, DXL Outlets, Casual Male XL</w:t>
      </w:r>
      <w:r>
        <w:rPr>
          <w:rFonts w:ascii="Arial" w:cs="Arial" w:eastAsia="Arial" w:hAnsi="Arial"/>
          <w:sz w:val="26"/>
          <w:szCs w:val="26"/>
          <w:color w:val="auto"/>
          <w:vertAlign w:val="superscript"/>
        </w:rPr>
        <w:t>®</w:t>
      </w:r>
      <w:r>
        <w:rPr>
          <w:rFonts w:ascii="Arial" w:cs="Arial" w:eastAsia="Arial" w:hAnsi="Arial"/>
          <w:sz w:val="18"/>
          <w:szCs w:val="18"/>
          <w:color w:val="auto"/>
        </w:rPr>
        <w:t>, Casual Male XL Outlets, Rochester Clothing, ShoesXL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LivingXL</w:t>
      </w:r>
      <w:r>
        <w:rPr>
          <w:rFonts w:ascii="Arial" w:cs="Arial" w:eastAsia="Arial" w:hAnsi="Arial"/>
          <w:sz w:val="26"/>
          <w:szCs w:val="26"/>
          <w:color w:val="auto"/>
          <w:vertAlign w:val="superscript"/>
        </w:rPr>
        <w:t>®</w:t>
      </w:r>
      <w:r>
        <w:rPr>
          <w:rFonts w:ascii="Arial" w:cs="Arial" w:eastAsia="Arial" w:hAnsi="Arial"/>
          <w:sz w:val="18"/>
          <w:szCs w:val="18"/>
          <w:color w:val="auto"/>
        </w:rPr>
        <w:t>. At October 28, 2017, we operated 211 Destination XL stores, 14 DXL outlet stores, 81 Casual Male XL retail stores, 33 Casual Male XL outlet stores and 5 Rochester Clothing stores. Our e-commerce site, DestinationXL.com, supports our stores, brands and product extensions.</w:t>
      </w:r>
    </w:p>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3, 2018 and January 28, 2017 as “fiscal 2017” and “fiscal 2016,” respectively. Fiscal 2017 is a 53-week period and fiscal 2016 was a 52-week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(e-commerce) businesses,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ind w:right="520"/>
        <w:spacing w:after="0" w:line="342" w:lineRule="auto"/>
        <w:rPr>
          <w:sz w:val="20"/>
          <w:szCs w:val="20"/>
          <w:color w:val="auto"/>
        </w:rPr>
      </w:pPr>
      <w:r>
        <w:rPr>
          <w:rFonts w:ascii="Arial" w:cs="Arial" w:eastAsia="Arial" w:hAnsi="Arial"/>
          <w:sz w:val="16"/>
          <w:szCs w:val="16"/>
          <w:color w:val="auto"/>
        </w:rPr>
        <w:t>As we disclosed at the end of fiscal 2016, with over 200 DXL stores open, we have transitioned to one comparable sales figure for the Company which includes stores and our e-commerce business. We no longer provide comparable store sales on a discrete basis for our DXL format stores.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addition, our customer’s shopping experience continues to evolve across multiple channels and we are continually changing to meet his needs. As part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omni-channel initiatives, the majority of our retail stores have the capability of fulfilling online orders if merchandise is not available in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warehouse. As a result, we continue to see more transactions that begin online but are ultimately completed at the store level. Similarly, if a customer visits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store and the item is out of stock, the associate can order the item through our website. A customer also has the ability to order online and pick-up in</w:t>
      </w:r>
    </w:p>
    <w:p>
      <w:pPr>
        <w:spacing w:after="0" w:line="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store. Because this omni-channel approach to retailing is changing the boundaries of where a sale originates and where a sale is ultimately settled, we do not report comparable sales separately for our retail and e-commerce businesses. However, as we invest in building our e-commerce platform, bringing a heightened digital focus to our Company, additional disclosure on our e-commerce growth as it relates to our current initiatives is important. Beginning in the second quarter of fiscal 2017, we define store sales as sales that originate and are fulfilled directly at the store level. E-commerce sales are defined as sales that originate online, including those initiated online at the store level. This reclassification on how we define a store sale from an e-commerce sale had no effect on our previous disclosure or how we report total Company comparable sales.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The following is a summary of results for the third quarter and first nine months of fiscal 2017 as compared to the prior year’s third quarter and first nine months, including EBITDA, which is a non-GAAP measure. Please see “Non-GAAP Financial Measures” below for a reconciliation of Net Loss to EBITDA.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6"/>
          </w:tcPr>
          <w:p>
            <w:pPr>
              <w:jc w:val="right"/>
              <w:ind w:right="1060"/>
              <w:spacing w:after="0"/>
              <w:rPr>
                <w:sz w:val="20"/>
                <w:szCs w:val="20"/>
                <w:color w:val="auto"/>
              </w:rPr>
            </w:pPr>
            <w:r>
              <w:rPr>
                <w:rFonts w:ascii="Arial" w:cs="Arial" w:eastAsia="Arial" w:hAnsi="Arial"/>
                <w:sz w:val="14"/>
                <w:szCs w:val="14"/>
                <w:color w:val="auto"/>
              </w:rPr>
              <w:t>For the three months ended</w:t>
            </w:r>
          </w:p>
        </w:tc>
        <w:tc>
          <w:tcPr>
            <w:tcW w:w="140" w:type="dxa"/>
            <w:vAlign w:val="bottom"/>
          </w:tcPr>
          <w:p>
            <w:pPr>
              <w:spacing w:after="0"/>
              <w:rPr>
                <w:sz w:val="14"/>
                <w:szCs w:val="14"/>
                <w:color w:val="auto"/>
              </w:rPr>
            </w:pPr>
          </w:p>
        </w:tc>
        <w:tc>
          <w:tcPr>
            <w:tcW w:w="3200" w:type="dxa"/>
            <w:vAlign w:val="bottom"/>
            <w:gridSpan w:val="6"/>
          </w:tcPr>
          <w:p>
            <w:pPr>
              <w:jc w:val="right"/>
              <w:ind w:right="96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October 28, 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color w:val="auto"/>
                <w:w w:val="97"/>
              </w:rPr>
              <w:t>October 29, 2016</w:t>
            </w:r>
          </w:p>
        </w:tc>
        <w:tc>
          <w:tcPr>
            <w:tcW w:w="14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October 28, 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4"/>
                <w:szCs w:val="14"/>
                <w:color w:val="auto"/>
                <w:w w:val="99"/>
              </w:rPr>
              <w:t>October 29,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14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loss</w:t>
            </w:r>
          </w:p>
        </w:tc>
        <w:tc>
          <w:tcPr>
            <w:tcW w:w="26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CFF0FC"/>
            </w:tcBorders>
            <w:gridSpan w:val="2"/>
          </w:tcPr>
          <w:p>
            <w:pPr>
              <w:jc w:val="right"/>
              <w:ind w:right="140"/>
              <w:spacing w:after="0" w:line="155" w:lineRule="exact"/>
              <w:rPr>
                <w:sz w:val="20"/>
                <w:szCs w:val="20"/>
                <w:color w:val="auto"/>
              </w:rPr>
            </w:pPr>
            <w:r>
              <w:rPr>
                <w:rFonts w:ascii="Arial" w:cs="Arial" w:eastAsia="Arial" w:hAnsi="Arial"/>
                <w:sz w:val="14"/>
                <w:szCs w:val="14"/>
                <w:color w:val="auto"/>
              </w:rPr>
              <w:t>(5.7)</w:t>
            </w:r>
          </w:p>
        </w:tc>
        <w:tc>
          <w:tcPr>
            <w:tcW w:w="280" w:type="dxa"/>
            <w:vAlign w:val="bottom"/>
            <w:tcBorders>
              <w:top w:val="single" w:sz="8" w:color="CFF0FC"/>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top w:val="single" w:sz="8" w:color="CFF0FC"/>
            </w:tcBorders>
            <w:gridSpan w:val="2"/>
          </w:tcPr>
          <w:p>
            <w:pPr>
              <w:jc w:val="right"/>
              <w:ind w:right="160"/>
              <w:spacing w:after="0" w:line="155" w:lineRule="exact"/>
              <w:rPr>
                <w:sz w:val="20"/>
                <w:szCs w:val="20"/>
                <w:color w:val="auto"/>
              </w:rPr>
            </w:pPr>
            <w:r>
              <w:rPr>
                <w:rFonts w:ascii="Arial" w:cs="Arial" w:eastAsia="Arial" w:hAnsi="Arial"/>
                <w:sz w:val="14"/>
                <w:szCs w:val="14"/>
                <w:color w:val="auto"/>
              </w:rPr>
              <w:t>(4.5)</w:t>
            </w:r>
          </w:p>
        </w:tc>
        <w:tc>
          <w:tcPr>
            <w:tcW w:w="14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CFF0FC"/>
            </w:tcBorders>
            <w:gridSpan w:val="2"/>
          </w:tcPr>
          <w:p>
            <w:pPr>
              <w:jc w:val="right"/>
              <w:ind w:right="120"/>
              <w:spacing w:after="0" w:line="155" w:lineRule="exact"/>
              <w:rPr>
                <w:sz w:val="20"/>
                <w:szCs w:val="20"/>
                <w:color w:val="auto"/>
              </w:rPr>
            </w:pPr>
            <w:r>
              <w:rPr>
                <w:rFonts w:ascii="Arial" w:cs="Arial" w:eastAsia="Arial" w:hAnsi="Arial"/>
                <w:sz w:val="14"/>
                <w:szCs w:val="14"/>
                <w:color w:val="auto"/>
              </w:rPr>
              <w:t>(15.5)</w:t>
            </w:r>
          </w:p>
        </w:tc>
        <w:tc>
          <w:tcPr>
            <w:tcW w:w="28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EBITDA (Non-GAAP basis)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1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89"/>
              </w:rPr>
              <w:t>Per diluted share:</w:t>
            </w:r>
          </w:p>
        </w:tc>
        <w:tc>
          <w:tcPr>
            <w:tcW w:w="3600" w:type="dxa"/>
            <w:vAlign w:val="bottom"/>
            <w:tcBorders>
              <w:bottom w:val="single" w:sz="8" w:color="CFF0FC"/>
            </w:tcBorders>
            <w:gridSpan w:val="2"/>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3"/>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(0.12)</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(0.09)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(0.32)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sales for the third quarter were below expectations and were negatively impacted by the delayed arrival of cold weather in the Northeast and Hurricanes Irma and Harvey. We believe that our customer is a need-based shopper and the onset of cold weather is typically when he comes to shop. Comparable sales for our DXL stores in the Northeast region trailed our stores in the rest of the country by approximately 400 basis points. We estimate that the negative impact of the comp sales of our Northeast stores on our total comparable sales of (0.1%) for the third quarter was approximately 90 basis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points. Additionally, from a merchandising category perspective, our cold weather categories trended behind the remainder of our merchandise assortment by over 10% for the third quarter and over 20% for the month of October. With the cold weather arriving in the first few weeks of the fourth quarter, we are beginning to see an improvement in comparable sales performance. In addition to the unseasonably warm weather during the quarter, we also had 34 stores that were closed for at least one day, with the majority closed three to four days, as a result of Hurricanes Irma and Harvey. We estimate that the combined impact from both storms on our comparable sales for the third quarter was approximately 50 basis points.</w:t>
      </w:r>
    </w:p>
    <w:p>
      <w:pPr>
        <w:spacing w:after="0" w:line="7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Despite, the warm weather and hurricanes, which contributed to a decrease in store traffic, we are pleased with our sales productivity in our stores, with average dollars per transactions, units per transaction and conversion all increasing over the prior year. We remain committed to driving traffic to our stores and website and building brand awareness as we head into the fourth quarter of fiscal 2017. We are pleased to have launched our new Holiday advertising campaign and believe our integrated social, digital and media marketing plan, which we discuss below, will drive traffic to our stores and website.</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third quarter of fiscal 2017, as part of our ongoing inventory initiatives, we took an aggressive approach to moving some of our traditional slower-moving categories, which resulted in increased markdowns for the quarter and decreased merchandise margins from a year ago of approximately 120 basis points. On a comparative basis with the end of the third quarter of the prior year, we have reduced inventories by approximately $8.3 million, or 6.5% at October 28, 2017, with minimal impact to our merchandise margin which, on a year-to-date basis, has decreased by only 40 basis points compared to the prior year. We expect our merchandise margins to return to a more normalized level in the fourth quarter due to fewer merchandise markdowns. This initiative has enabled us to reduce our inventory thereby improving our working capital and free cash flow.</w:t>
      </w:r>
    </w:p>
    <w:p>
      <w:pPr>
        <w:spacing w:after="0" w:line="23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net loss for the third quarter of fiscal 2017 was $(5.7) million, or $(0.12) per diluted share, as compared to a net loss of $(4.5) million, or $(0.09) per diluted share, for the third quarter of fiscal 2016. For the first nine months of fiscal 2017, the net loss was $(15.5) million, or $(0.32) per diluted share, as compared to a net loss of $(4.0) million, or $(0.08) per diluted share for the prior year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220"/>
        <w:spacing w:after="0" w:line="308" w:lineRule="auto"/>
        <w:rPr>
          <w:sz w:val="20"/>
          <w:szCs w:val="20"/>
          <w:color w:val="auto"/>
        </w:rPr>
      </w:pPr>
      <w:r>
        <w:rPr>
          <w:rFonts w:ascii="Arial" w:cs="Arial" w:eastAsia="Arial" w:hAnsi="Arial"/>
          <w:sz w:val="17"/>
          <w:szCs w:val="17"/>
          <w:color w:val="auto"/>
        </w:rPr>
        <w:t>period. Included in net loss for the first nine months of fiscal 2017 was an impairment charge of approximately $1.7 million, or $0.03 per diluted share, for the write-down of certain store assets and an increase of approximately $4.2 million, or $0.09 per diluted share, in advertising costs.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first nine months of fiscal 2017, we opened a total of 20 stores, which includes two DXL retail stores in Ontario, Canada. These two stores mark our first Company-operated DXL stores located outside of the United States. We believe that Canada provides a strategic growth opportunity for our DXL brand. In addition, for fiscal 2017 we expect to close approximately 19 Casual Male XL stores and 3 Casual Male XL outlet stores, the majority of which are in connection with the opening of the DXL retail and outlet stores in the same geographic market. Of the 114 Casual Male XL stores in operation, 112 are generating positive free cash flow.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Campaign ~ Holiday 2017</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we discussed last quarter, we are committed to improving brand awareness, driving traffic to our stores and growing our e-commerce business through a robust investment in both our traditional and digital marketing programs. Our new marketing campaign, “Time to XL,” launched on social media and on our website on November 7, 2017. Our new creative ad will begin to air on television starting November 25, 2017 and will run through the Christmas holiday. In addition to our digital and media advertising, we will also be sponsoring the Frisco Bowl college football game on December 20, 2017. Our new campaign is centered on changing the conversation around Men’s XL apparel and celebrating the style of our customer base. The campaign features prominent brand ambassadors, including 10-time MLB All-Star David Ortiz, producer and artist DJ Khaled, singer and songwriter Sundance, NHL Stanley Cup winner Hal Gill and fashion blogger Kelvin Davis; five celebrities with larger-than-life personalities, each with his own sense of #XLstyle. We want the XL community to know who we are and that we “XL” at service, selection, comfort and fit. We are confident that this campaign will signal a new chapter in the DXL store and we are hopeful that the campaign will drive brand awareness and new customers to our DXL brand.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more fully below under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in March 2017 our Board of Directors approved a stock repurchase plan, pursuant to which we may purchase up to $12.0 million of our outstanding common stock during fiscal 2017. During the first nine months of fiscal 2017, we repurchased approximately 1.9 million shares at a total cost of approximately $4.7 million. There were no stock repurchases during the third quarter of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 Review</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fiscal 2016, we began our inventory optimization project in an effort to improve inventory receipt flow and procurement, tightening controls over the number of weeks of supply and refining our in-stock positions by sku level. We expect these changes to result in a more optimized inventory structure and expect our inventory at the end of fiscal 2017 to be $12.0 to $15.0 million less than fiscal 2016. This reduction in inventory is expected to improve our working capital position and partially reduce our debt in fiscal 2017. At the end of the third quarter of fiscal 2017, we were ahead of plan having reduced inventory levels by $8.3 million, or a decrease of 6.5%, as compared to the end of the third quarter last year. We do not believe these changes have jeopardized sales from out-of-stock positions in either our retail stores or in our direct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Outlook</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our sales falling below expectations due in part to the delay of cold weather, we are revising our guidance. In the second quarter of fiscal 2017, we increased our marketing expense for fiscal 2017 to $29.0 million to help drive brand awareness, store traffic and our digital presence. This is an increase of approximately $10.8 million from fiscal 2016. While we expect this will benefit sales in the fourth quarter of fiscal 2017, we strongly believe that this investment in marketing and customer acquisition was important for our long-term growth. We currently expect to open 20 DXL retail stores and 1 DXL outlet store in fiscal 2017, while closing 19 Casual Male XL retail stores and 3 Casual Male XL outlet stores, the majority of which are in connection with the opening of the DXL retail and outlet stores in the same geographic markets. All DXL store growth for the year will be funded by cash from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our revised outlook, based on a 53-week year, is as follows:</w:t>
      </w:r>
    </w:p>
    <w:p>
      <w:pPr>
        <w:spacing w:after="0" w:line="117" w:lineRule="exact"/>
        <w:rPr>
          <w:sz w:val="20"/>
          <w:szCs w:val="20"/>
          <w:color w:val="auto"/>
        </w:rPr>
      </w:pPr>
    </w:p>
    <w:p>
      <w:pPr>
        <w:ind w:left="780" w:right="440" w:hanging="259"/>
        <w:spacing w:after="0" w:line="34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are expected to be in the range from $466.0 million to $470.0 million, with a total company comparable sales increase of flat to 2.0% (a decrease from previous guidance of $470.0 - $480.0 million in sales with a total company comparable sales increase of 1.0% to 4.0%).</w:t>
      </w:r>
    </w:p>
    <w:p>
      <w:pPr>
        <w:spacing w:after="0" w:line="15" w:lineRule="exact"/>
        <w:rPr>
          <w:rFonts w:ascii="Arial" w:cs="Arial" w:eastAsia="Arial" w:hAnsi="Arial"/>
          <w:sz w:val="16"/>
          <w:szCs w:val="16"/>
          <w:color w:val="auto"/>
        </w:rPr>
      </w:pPr>
    </w:p>
    <w:p>
      <w:pPr>
        <w:ind w:left="780" w:right="280" w:hanging="259"/>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rate of approximately 45.0% to 45.5% , a decrease of 50 basis points to flat from fiscal 2016 (a change from previous guidance of 45.5% to 46.0%).</w:t>
      </w:r>
    </w:p>
    <w:p>
      <w:pPr>
        <w:spacing w:after="0" w:line="62"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costs, as a percentage of sales, to increase by approximately 280 to 310 basis points (an increase from previous guidance of 230 to 290 basis points due to the decrease in sales guidance).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left="780" w:right="140" w:hanging="259"/>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on a GAAP basis, of $(17.0) to $(21.0) million, or $(0.35) to $(0.42) per diluted share (a decrease in earnings from previous guidance of $(11.7) to $(16.7) million, or $(0.24) to $(0.34) per diluted share).</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of $16.0 to $20.0 million (a decrease from previous guidance of $20.0 to $25.0 million).</w:t>
      </w:r>
    </w:p>
    <w:p>
      <w:pPr>
        <w:spacing w:after="0" w:line="117" w:lineRule="exact"/>
        <w:rPr>
          <w:rFonts w:ascii="Arial" w:cs="Arial" w:eastAsia="Arial" w:hAnsi="Arial"/>
          <w:sz w:val="18"/>
          <w:szCs w:val="18"/>
          <w:color w:val="auto"/>
        </w:rPr>
      </w:pPr>
    </w:p>
    <w:p>
      <w:pPr>
        <w:ind w:left="780" w:right="220" w:hanging="259"/>
        <w:spacing w:after="0" w:line="286"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net loss of $(0.21) to $(0.25) per diluted share (a decrease from previous guidance of $(0.14) to $(0.21) per diluted share). Because we expect to continue providing a full valuation allowance against our deferred tax assets, we do not expect to recognize any income tax benefit in fiscal 2017. See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below for a reconciliation of adjusted net loss.</w:t>
      </w:r>
    </w:p>
    <w:p>
      <w:pPr>
        <w:spacing w:after="0" w:line="57" w:lineRule="exact"/>
        <w:rPr>
          <w:rFonts w:ascii="Arial" w:cs="Arial" w:eastAsia="Arial" w:hAnsi="Arial"/>
          <w:sz w:val="17"/>
          <w:szCs w:val="17"/>
          <w:color w:val="auto"/>
        </w:rPr>
      </w:pPr>
    </w:p>
    <w:p>
      <w:pPr>
        <w:ind w:left="780" w:right="280" w:hanging="259"/>
        <w:spacing w:after="0" w:line="26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of approximately $22.0 million, $13.7 million of which will be for new DXL stores and $8.3 million of which will be for infrastructure projects, partially offset by approximately $5.0 million in tenant allowances. We expect to fund our capital expenditures primarily from our operating cash flow (unchanged).</w:t>
      </w:r>
    </w:p>
    <w:p>
      <w:pPr>
        <w:spacing w:after="0" w:line="73" w:lineRule="exact"/>
        <w:rPr>
          <w:rFonts w:ascii="Arial" w:cs="Arial" w:eastAsia="Arial" w:hAnsi="Arial"/>
          <w:sz w:val="18"/>
          <w:szCs w:val="18"/>
          <w:color w:val="auto"/>
        </w:rPr>
      </w:pPr>
    </w:p>
    <w:p>
      <w:pPr>
        <w:ind w:left="780" w:right="20" w:hanging="259"/>
        <w:spacing w:after="0" w:line="25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end of fiscal 2017, we expect cash flow from operating activities of $31.0 million to $35.0 million (including tenant allowances) and positive free cash flow, before DXL capital expenditures, of $22.7 million to $26.7 million. Free cash flow, after DXL capital expenditures, will be approximately $9.0 million to $13.0 million (a decrease from our previous guidance of cash flow from operating activities of activities of $35.0 to $40.0 million, free cash flow, before DXL capital expenditures, of $26.7 million to $31.7 million and free cash flow, after DXL capital expenditures, of $13.0 to $18.0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color w:val="auto"/>
              </w:rPr>
              <w:t>Third Quarter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color w:val="auto"/>
                <w:w w:val="92"/>
              </w:rPr>
              <w:t>First Nine Months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i w:val="1"/>
                <w:iCs w:val="1"/>
                <w:color w:val="auto"/>
              </w:rPr>
              <w:t>(in millions)</w:t>
            </w: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Sales for fiscal 2016</w:t>
            </w:r>
          </w:p>
        </w:tc>
        <w:tc>
          <w:tcPr>
            <w:tcW w:w="1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101.9</w:t>
            </w:r>
          </w:p>
        </w:tc>
        <w:tc>
          <w:tcPr>
            <w:tcW w:w="2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6"/>
                <w:szCs w:val="16"/>
                <w:color w:val="auto"/>
              </w:rPr>
              <w:t>Less 2016 sales for stores that have closed /converted</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Decrease in comparable sales</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6"/>
                <w:szCs w:val="16"/>
                <w:color w:val="auto"/>
              </w:rPr>
              <w:t>Non-comparable sales, primarily DXL stores open less than 13 months</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Other, net</w:t>
            </w:r>
          </w:p>
        </w:tc>
        <w:tc>
          <w:tcPr>
            <w:tcW w:w="1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6"/>
                <w:szCs w:val="16"/>
                <w:b w:val="1"/>
                <w:bCs w:val="1"/>
                <w:color w:val="auto"/>
              </w:rPr>
              <w:t>Sales for fiscal 2017</w:t>
            </w:r>
          </w:p>
        </w:tc>
        <w:tc>
          <w:tcPr>
            <w:tcW w:w="16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Total sales for the third quarter of fiscal 2017 increased 1.8% to $103.7 million from $101.9 million from the third quarter of fiscal 2016. The increase of $1.8 million in total sales was due to non-comparable sales of $6.4 million and other revenue of $0.4 million, partially offset by a decrease in sales from closed stores of $4.9 million and a comparable sales decrease of $0.1 million, or (0.1)%. As discussed above, sales for the third quarter were impacted by the unseasonably warm weather and the hurricanes which impacted our Florida and Texas stores. While store traffic was down 5% for the third quarter, we did see increases in sales productivity with increases in average dollars per transactions, units per transaction and conversion.</w:t>
      </w:r>
    </w:p>
    <w:p>
      <w:pPr>
        <w:spacing w:after="0" w:line="6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first nine months of fiscal 2017, sales increased $4.8 million, or 1.5%, as compared to the first nine months of fiscal 2016. The increase in sales was primarily due to non-comparable sales of $23.0 million, partially offset by sales from closed stores of $17.5 million and a decrease of 0.5%, or $1.6 million, in comparable sales.</w:t>
      </w:r>
    </w:p>
    <w:p>
      <w:pPr>
        <w:spacing w:after="0" w:line="73"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With our transformation of our store base complete, we are focused on growing our e-commerce business and improving store productivity through an integrated strategy. We are implementing several initiatives to enhance our digital presence and provide our customers with improved functionality and increased touchpoints across all of our e-commerce platforms with the objective of growing and retaining our customer base. On a trailing twelve-month basis, e-commerce sales as a percentage of net sales were 20.8% at the end of the third quarter of fiscal 2017 as compared to 19.5% at the end of the third quarter of the prior year.</w:t>
      </w:r>
    </w:p>
    <w:p>
      <w:pPr>
        <w:spacing w:after="0" w:line="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end-of-rack customer grew to 45.3% of our bottoms business from 44.8% in the third quarter of fiscal 2016. Our end-of-rack customer, with a waist size of 46 inches or less, shops 52% more often than our customer with a waist size of 48 inches or more and, on an annual basis, spends twice as much.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third quarter of fiscal 2017, our gross margin rate, inclusive of occupancy costs, was 43.2% as compared to a gross margin rate of 44.4% for the third quarter of fiscal 2016. The decrease of 120 basis points was due to a decrease in merchandise margins of 120 basis points. The decrease in merchandise margin was related to an increase in promotional markdowns related to our inventory productivity initiatives as compared to the prior year’s third quarter. In addition, during the third quarter we took an aggressive approach to move slow-moving and clearance inventory, which also contributed to an increase in markdowns. As a result,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clearance inventory at October 28, 2017 was 7%, a decrease from 9% at October 29, 2016. Occupancy costs, as a percentage of sales, remained flat.</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first nine months of fiscal 2017, our gross margin rate, inclusive of occupancy costs, was 44.9% as compared to a gross margin rate of 45.7% for the first nine months of fiscal 2016. The decrease of 80 basis points was due to a 40 basis point decrease in merchandise margins and a 40 basis point increase in occupancy costs. The increase in occupancy costs was primarily due to an increase in DXL total square footage and the comparable sales decline. On a dollar basis, occupancy costs for the first nine months of fiscal 2017 increased approximately 4.2% over the prior year’s first nine months, primarily as a result of an increase of 1.5% in total square footage and the increased percentage of DXL stores.</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decrease of 40 basis points in merchandise margins for the first nine months of fiscal 2017 as compared to the prior year was due primarily to our inventory initiatives and increased efforts to reduce slow-moving merchandise categories which resulted in higher promotional markdowns than the prior year. Our inventory initiatives have resulted in a 6.5% decrease in inventory levels from a year ago, improved inventory turn and days on hand, while at the same time managing a strong merchandise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a percentage of sales, SG&amp;A expenses for the third quarter of fiscal 2017 were 40.5% as compared to 40.6% for the third quarter of fiscal 2016. For the first nine months of fiscal 2017 SG&amp;A expenses as a percentage of sales were 41.3% as compared to 39.4% for the first nine months of fiscal 2016. On a dollar basis, SG&amp;A increased by $0.6 million and $8.2 million for the third quarter and first nine months of fiscal 2017, respectively. The increase in the third quarter of fiscal 2017 was primarily due to increases in store payroll and other supporting costs associated with our DXL store base and e-commerce initiatives.</w:t>
      </w:r>
    </w:p>
    <w:p>
      <w:pPr>
        <w:spacing w:after="0" w:line="8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first nine months of fiscal 2017, the increase was principally due to an increase of $4.2 million in advertising expense. As discussed above, we are increasing our investment in our marketing initiatives to help drive brand awareness, store traffic and our digital presence. The remainder of the increase was due to increases in store payroll and other supporting costs associated with a greater DXL store base and e-commerce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and amortization for the third quarter of fiscal 2017 increased $0.2 million to $7.7 million as compared to $7.5 million for the third quarter of fiscal 2016.</w:t>
      </w:r>
    </w:p>
    <w:p>
      <w:pPr>
        <w:spacing w:after="0" w:line="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For the first nine months of fiscal 2017, depreciation and amortization was $25.1 million as compared to $22.4 million for the first nine months of fiscal 2016. The increase of $2.7 million includes a $1.7 million impairment charge taken in the second quarter of fiscal 2017 to write-down certain store assets. The remainder of the increase was due to the continued store growth associated with our DXL retail and outlet stores.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interest expense for the third quarter and first nine months of fiscal 2017 of $0.9 million and $2.5 million, respectively, increased slightly from $0.8 million and $2.3 million, respectively, for the third quarter and first nine months of fiscal 2016. As a result of our inventory initiatives undertaken to improve liquidity, we expect interest costs for fiscal 2017 will be similar to fiscal 2016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October 28, 2017, we had total deferred tax assets of $84.4 million, total deferred tax liabilities of $12.6 million and a corresponding valuation allowance of $72.0 million. The deferred tax assets included approximately $59.4 million of net operating loss carryforwards and approximately $4.7 million of deferred gain on our sale-leaseback and, to a lesser extent, other book/tax timing differences.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2017, we believe that a full valuation allowance continues to remain appropriate at this time.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tax provision for the third quarter and first nine months of fiscal 2017 represented current state margin tax. For the third quarter and first nine months of fiscal 2016, the tax provision represented current state margin tax and foreign income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third quarter of fiscal 2017, we had a net loss of $(5.7) million, or $(0.12) per diluted share, compared with a net loss of $(4.5) million, or $(0.09) per diluted share, for the third quarter of fiscal 2016.</w:t>
      </w:r>
    </w:p>
    <w:p>
      <w:pPr>
        <w:spacing w:after="0" w:line="62"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For the first nine months of fiscal 2017, we had a net loss of $(15.5) million, or $(0.32) per diluted share, compared with a net loss of $(4.0) million, or $(0.08) per diluted share. Results for the first nine months of fiscal 2017 included an impairment charge of $1.7 million, or $0.03 per diluted share, associated with write-down of store assets, and increased advertising costs of $4.2 million, or $0.09 per diluted share.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2" w:name="page23"/>
    <w:bookmarkEnd w:id="22"/>
    <w:p>
      <w:pPr>
        <w:ind w:right="140"/>
        <w:spacing w:after="0" w:line="264" w:lineRule="auto"/>
        <w:rPr>
          <w:sz w:val="20"/>
          <w:szCs w:val="20"/>
          <w:color w:val="auto"/>
        </w:rPr>
      </w:pPr>
      <w:r>
        <w:rPr>
          <w:rFonts w:ascii="Arial" w:cs="Arial" w:eastAsia="Arial" w:hAnsi="Arial"/>
          <w:sz w:val="18"/>
          <w:szCs w:val="18"/>
          <w:color w:val="auto"/>
        </w:rPr>
        <w:t>On a non-GAAP basis, assuming a normalized tax rate for both periods, adjusted net loss per share for the third quarter and first nine months of fiscal 2017 was $(0.07) per diluted share and $(0.19) per diluted share, respectively, as compared to adjusted net loss of $(0.05) per diluted share and $(0.05) per diluted share, respectively, for the third quarter and first nine months of fiscal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At October 28, 2017, total inventory was $119.9 million compared to $117.4 million at January 28, 2017 and $128.2 million at October 29, 2016. The 6.5% decrease of $8.3 million from October 29, 2016 was due to inventory initiatives that began in fiscal 2016 to improve timing of receipts and reduce weeks of supply on hand. At October 28, 2017, our clearance inventory represented 7.0% of our total inventory, as compared to 9.0% at October 29,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with Bank of America, N.A., which was most recently amended in October 2014 (“Credit Facility”). Our current cash needs are primarily for working capital (essentially inventory requirements), capital expenditures, growth initiatives, and, as discussed further below, our stock repurchase program, which was announced in March 2017.</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discussed below, our capital expenditures for fiscal 2017 are expected to be approximately $22.0 million, primarily related to the planned opening of approximately 20 new DXL retail and 1 outlet stores and information technology projects. However, we expect to receive approximately $5.0 million in tenant allowances to offset these capital expenditures. We expect to fund this store growth and stock repurchase program in fiscal 2017 primarily through cash flow from operations, with periodic borrowings from our Credit Facility. We currently believe that our existing cash generated by operations together with our Credit Facility will be sufficient within current forecasts for us to meet our foreseeable liquidity requirements.</w:t>
      </w:r>
    </w:p>
    <w:p>
      <w:pPr>
        <w:spacing w:after="0" w:line="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fiscal 2017, we expect cash flow from operating activities of $31.0 million to $35.0 million (including tenant allowances), and positive free cash flow of $9.0 to $13.0 million that will be used to reduce outstanding debt and purchase shares of the Company’s common stock as part of its stock repurchase program.</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the first nine months of fiscal 2017, free cash flow improved by $0.5 million to $(13.2) million from $(13.7) million for the first nine months of fiscal 2016. The improvement in free cash flow was primarily due to the lower capital expenditures and positive working capital changes, partially offset by reduced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October 28, 2017 with the associated unamortized debt issuance costs: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Gross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Less Debt Issuance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Net Debt</w:t>
            </w:r>
          </w:p>
        </w:tc>
      </w:tr>
      <w:tr>
        <w:trPr>
          <w:trHeight w:val="167"/>
        </w:trPr>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68,444</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FF0FC"/>
          </w:tcPr>
          <w:p>
            <w:pPr>
              <w:spacing w:after="0"/>
              <w:rPr>
                <w:sz w:val="19"/>
                <w:szCs w:val="19"/>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81,853</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81,386</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credit facility with Bank of America, N.A., effective October 29, 2014 (our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of the Notes to the Consolidated Financial Statements included in this Quarterly Report.</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p>
      <w:pPr>
        <w:ind w:right="80"/>
        <w:spacing w:after="0" w:line="255" w:lineRule="auto"/>
        <w:rPr>
          <w:sz w:val="20"/>
          <w:szCs w:val="20"/>
          <w:color w:val="auto"/>
        </w:rPr>
      </w:pPr>
      <w:r>
        <w:rPr>
          <w:rFonts w:ascii="Arial" w:cs="Arial" w:eastAsia="Arial" w:hAnsi="Arial"/>
          <w:sz w:val="18"/>
          <w:szCs w:val="18"/>
          <w:color w:val="auto"/>
        </w:rPr>
        <w:t>We had outstanding borrowings of $68.4 million under the Credit Facility at October 28, 2017. At October 28, 2017, outstanding standby letters of credit were $3.3 million and outstanding documentary letters of credit were $0.1 million. The average monthly borrowing outstanding under the Credit Facility during the first nine months ended October 28, 2017 was approximately $60.4 million, resulting in an average unused excess availability of approximately $43.3 million. Unused excess availability at October 28, 2017 was $38.2 million. Our 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 accrue interest at fixed rates ranging from 3.07% to 3.50%. Principal and interest, are payable monthly, in arrears. The Company was subject to prepayment penalties through the second anniversary of each note. The Company is no longer subject to any prepayment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without penalty.</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October 28, 2017 and October 29, 2016,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7"/>
          </w:tcPr>
          <w:p>
            <w:pPr>
              <w:ind w:left="760"/>
              <w:spacing w:after="0"/>
              <w:rPr>
                <w:sz w:val="20"/>
                <w:szCs w:val="20"/>
                <w:color w:val="auto"/>
              </w:rPr>
            </w:pPr>
            <w:r>
              <w:rPr>
                <w:rFonts w:ascii="Arial" w:cs="Arial" w:eastAsia="Arial" w:hAnsi="Arial"/>
                <w:sz w:val="14"/>
                <w:szCs w:val="14"/>
                <w:color w:val="auto"/>
              </w:rPr>
              <w:t>October 28, 2017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900"/>
              <w:spacing w:after="0"/>
              <w:rPr>
                <w:sz w:val="20"/>
                <w:szCs w:val="20"/>
                <w:color w:val="auto"/>
              </w:rPr>
            </w:pPr>
            <w:r>
              <w:rPr>
                <w:rFonts w:ascii="Arial" w:cs="Arial" w:eastAsia="Arial" w:hAnsi="Arial"/>
                <w:sz w:val="14"/>
                <w:szCs w:val="14"/>
                <w:color w:val="auto"/>
              </w:rPr>
              <w:t>October 29,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2"/>
                <w:szCs w:val="12"/>
                <w:color w:val="auto"/>
              </w:rPr>
            </w:pPr>
          </w:p>
        </w:tc>
        <w:tc>
          <w:tcPr>
            <w:tcW w:w="840" w:type="dxa"/>
            <w:vAlign w:val="bottom"/>
            <w:gridSpan w:val="3"/>
          </w:tcPr>
          <w:p>
            <w:pPr>
              <w:jc w:val="center"/>
              <w:ind w:left="239"/>
              <w:spacing w:after="0" w:line="149" w:lineRule="exact"/>
              <w:rPr>
                <w:sz w:val="20"/>
                <w:szCs w:val="20"/>
                <w:color w:val="auto"/>
              </w:rPr>
            </w:pPr>
            <w:r>
              <w:rPr>
                <w:rFonts w:ascii="Arial" w:cs="Arial" w:eastAsia="Arial" w:hAnsi="Arial"/>
                <w:sz w:val="14"/>
                <w:szCs w:val="14"/>
                <w:color w:val="auto"/>
                <w:w w:val="88"/>
              </w:rPr>
              <w:t>Square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6"/>
          </w:tcPr>
          <w:p>
            <w:pPr>
              <w:jc w:val="center"/>
              <w:ind w:right="480"/>
              <w:spacing w:after="0" w:line="149" w:lineRule="exact"/>
              <w:rPr>
                <w:sz w:val="20"/>
                <w:szCs w:val="20"/>
                <w:color w:val="auto"/>
              </w:rPr>
            </w:pPr>
            <w:r>
              <w:rPr>
                <w:rFonts w:ascii="Arial" w:cs="Arial" w:eastAsia="Arial" w:hAnsi="Arial"/>
                <w:sz w:val="14"/>
                <w:szCs w:val="14"/>
                <w:color w:val="auto"/>
                <w:w w:val="97"/>
              </w:rPr>
              <w:t>Number of</w:t>
            </w:r>
          </w:p>
        </w:tc>
        <w:tc>
          <w:tcPr>
            <w:tcW w:w="10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color w:val="auto"/>
              </w:rPr>
              <w:t>Stores</w:t>
            </w:r>
          </w:p>
        </w:tc>
        <w:tc>
          <w:tcPr>
            <w:tcW w:w="240" w:type="dxa"/>
            <w:vAlign w:val="bottom"/>
          </w:tcPr>
          <w:p>
            <w:pPr>
              <w:spacing w:after="0"/>
              <w:rPr>
                <w:sz w:val="14"/>
                <w:szCs w:val="14"/>
                <w:color w:val="auto"/>
              </w:rPr>
            </w:pPr>
          </w:p>
        </w:tc>
        <w:tc>
          <w:tcPr>
            <w:tcW w:w="840" w:type="dxa"/>
            <w:vAlign w:val="bottom"/>
            <w:gridSpan w:val="3"/>
          </w:tcPr>
          <w:p>
            <w:pPr>
              <w:jc w:val="center"/>
              <w:ind w:left="219"/>
              <w:spacing w:after="0"/>
              <w:rPr>
                <w:sz w:val="20"/>
                <w:szCs w:val="20"/>
                <w:color w:val="auto"/>
              </w:rPr>
            </w:pPr>
            <w:r>
              <w:rPr>
                <w:rFonts w:ascii="Arial" w:cs="Arial" w:eastAsia="Arial" w:hAnsi="Arial"/>
                <w:sz w:val="14"/>
                <w:szCs w:val="14"/>
                <w:color w:val="auto"/>
                <w:w w:val="89"/>
              </w:rPr>
              <w:t>Footage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860"/>
              <w:spacing w:after="0"/>
              <w:rPr>
                <w:sz w:val="20"/>
                <w:szCs w:val="20"/>
                <w:color w:val="auto"/>
              </w:rPr>
            </w:pPr>
            <w:r>
              <w:rPr>
                <w:rFonts w:ascii="Arial" w:cs="Arial" w:eastAsia="Arial" w:hAnsi="Arial"/>
                <w:sz w:val="14"/>
                <w:szCs w:val="14"/>
                <w:color w:val="auto"/>
                <w:w w:val="88"/>
              </w:rPr>
              <w:t>Stores</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211</w:t>
            </w:r>
          </w:p>
        </w:tc>
        <w:tc>
          <w:tcPr>
            <w:tcW w:w="14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2,165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100" w:type="dxa"/>
            <w:vAlign w:val="bottom"/>
            <w:gridSpan w:val="10"/>
          </w:tcPr>
          <w:p>
            <w:pPr>
              <w:spacing w:after="0"/>
              <w:rPr>
                <w:sz w:val="20"/>
                <w:szCs w:val="20"/>
                <w:color w:val="auto"/>
              </w:rPr>
            </w:pPr>
            <w:r>
              <w:rPr>
                <w:rFonts w:ascii="Arial" w:cs="Arial" w:eastAsia="Arial" w:hAnsi="Arial"/>
                <w:sz w:val="18"/>
                <w:szCs w:val="18"/>
                <w:color w:val="auto"/>
                <w:w w:val="92"/>
              </w:rPr>
              <w:t>Below is a summary of store openings and closings from January 28, 2017 to October 28, 2017:</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2"/>
              </w:rPr>
              <w:t>Casual Male</w:t>
            </w: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w w:val="95"/>
              </w:rPr>
              <w:t>Casual Male</w:t>
            </w:r>
          </w:p>
        </w:tc>
        <w:tc>
          <w:tcPr>
            <w:tcW w:w="14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Rochester</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DXL</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color w:val="auto"/>
                <w:w w:val="97"/>
              </w:rPr>
              <w:t>DXL Outlets</w:t>
            </w: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XL Retail</w:t>
            </w:r>
          </w:p>
        </w:tc>
        <w:tc>
          <w:tcPr>
            <w:tcW w:w="940" w:type="dxa"/>
            <w:vAlign w:val="bottom"/>
            <w:gridSpan w:val="4"/>
          </w:tcPr>
          <w:p>
            <w:pPr>
              <w:jc w:val="right"/>
              <w:ind w:right="220"/>
              <w:spacing w:after="0"/>
              <w:rPr>
                <w:sz w:val="20"/>
                <w:szCs w:val="20"/>
                <w:color w:val="auto"/>
              </w:rPr>
            </w:pPr>
            <w:r>
              <w:rPr>
                <w:rFonts w:ascii="Arial" w:cs="Arial" w:eastAsia="Arial" w:hAnsi="Arial"/>
                <w:sz w:val="14"/>
                <w:szCs w:val="14"/>
                <w:color w:val="auto"/>
              </w:rPr>
              <w:t>XL Outlets</w:t>
            </w:r>
          </w:p>
        </w:tc>
        <w:tc>
          <w:tcPr>
            <w:tcW w:w="14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Clothing</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28, 2017</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October 28,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right="480" w:hanging="512"/>
        <w:spacing w:after="0" w:line="342"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stores opened in new markets, including 2 stores located in Ontario, Canada. The Company’s five DXL Studio locations, which were opened during the third quarter, are considered temporary store locations and are, therefore, not included in the above store count.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left="520" w:hanging="512"/>
        <w:spacing w:after="0" w:line="25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capital expenditures for the first nine months of fiscal 2017 were $18.4 million as compared to $21.8 million for the first nine months of fiscal 2016. We have opened 19 DXL retail stores and 1 DXL outlet during the first nine months of fiscal 2017 as compared to 22 DXL retail stores and 3 DXL outlets for the first nine months of fiscal 2016.</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fiscal 2017, our capital expenditures are expected to be approximately $22.0 million and we expect to receive approximately $5.0 million in tenant allowances to offset these expenditures. Our budget includes approximately $13.7 million, excluding any allowance, related to the opening of 20 DXL retail stores and 1 DXL outlet stores, and approximately $8.3 million for continued information technology projects and general overhead projects. In addition, we expect to close approximately 19 Casual Male XL stores and 3 Casual Male XL outlet stores, the majority of which are in connection with the opening of the DXL retail and outlet stores in the same geographic market.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2016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Adjusted net loss, adjusted net loss per diluted share, free cash flow, free cash flow before DXL capital expenditures and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7"/>
          <w:szCs w:val="17"/>
          <w:i w:val="1"/>
          <w:iCs w:val="1"/>
          <w:color w:val="auto"/>
        </w:rPr>
        <w:t>(certain columns may not foot due to rounding)</w:t>
      </w:r>
      <w:r>
        <w:rPr>
          <w:rFonts w:ascii="Arial" w:cs="Arial" w:eastAsia="Arial" w:hAnsi="Arial"/>
          <w:sz w:val="17"/>
          <w:szCs w:val="17"/>
          <w:color w:val="auto"/>
        </w:rPr>
        <w:t>:</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u w:val="single" w:color="auto"/>
          <w:color w:val="auto"/>
        </w:rPr>
        <w:t>Adjusted net loss and adjusted net loss per diluted share</w:t>
      </w:r>
      <w:r>
        <w:rPr>
          <w:rFonts w:ascii="Arial" w:cs="Arial" w:eastAsia="Arial" w:hAnsi="Arial"/>
          <w:sz w:val="17"/>
          <w:szCs w:val="17"/>
          <w:color w:val="auto"/>
        </w:rPr>
        <w:t>. The above discussion includes an adjusted net loss for the third quarter and first nine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2017 and fiscal 2016 on a non-GAAP basis, which reflected an adjustment assuming a normal tax rate of 40%. We have fully reserved against our deferred tax assets and, therefore, net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is a reconciliation of the net loss to adjusted net loss, assuming a normal tax rate of 40% for the first nine months of fiscal 2017 and fiscal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240"/>
              <w:spacing w:after="0"/>
              <w:rPr>
                <w:sz w:val="20"/>
                <w:szCs w:val="20"/>
                <w:color w:val="auto"/>
              </w:rPr>
            </w:pPr>
            <w:r>
              <w:rPr>
                <w:rFonts w:ascii="Arial" w:cs="Arial" w:eastAsia="Arial" w:hAnsi="Arial"/>
                <w:sz w:val="14"/>
                <w:szCs w:val="14"/>
                <w:color w:val="auto"/>
                <w:w w:val="90"/>
              </w:rPr>
              <w:t>For the 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380"/>
              <w:spacing w:after="0"/>
              <w:rPr>
                <w:sz w:val="20"/>
                <w:szCs w:val="20"/>
                <w:color w:val="auto"/>
              </w:rPr>
            </w:pPr>
            <w:r>
              <w:rPr>
                <w:rFonts w:ascii="Arial" w:cs="Arial" w:eastAsia="Arial" w:hAnsi="Arial"/>
                <w:sz w:val="14"/>
                <w:szCs w:val="14"/>
                <w:color w:val="auto"/>
                <w:w w:val="89"/>
              </w:rPr>
              <w:t>For the nine months ended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color w:val="auto"/>
              </w:rPr>
              <w:t>October 28, 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Arial" w:cs="Arial" w:eastAsia="Arial" w:hAnsi="Arial"/>
                <w:sz w:val="14"/>
                <w:szCs w:val="14"/>
                <w:color w:val="auto"/>
              </w:rPr>
              <w:t>October 29, 2016</w:t>
            </w:r>
          </w:p>
        </w:tc>
        <w:tc>
          <w:tcPr>
            <w:tcW w:w="20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color w:val="auto"/>
              </w:rPr>
              <w:t>October 28, 2017</w:t>
            </w:r>
          </w:p>
        </w:tc>
        <w:tc>
          <w:tcPr>
            <w:tcW w:w="200" w:type="dxa"/>
            <w:vAlign w:val="bottom"/>
          </w:tcPr>
          <w:p>
            <w:pPr>
              <w:spacing w:after="0"/>
              <w:rPr>
                <w:sz w:val="14"/>
                <w:szCs w:val="14"/>
                <w:color w:val="auto"/>
              </w:rPr>
            </w:pPr>
          </w:p>
        </w:tc>
        <w:tc>
          <w:tcPr>
            <w:tcW w:w="1700" w:type="dxa"/>
            <w:vAlign w:val="bottom"/>
            <w:gridSpan w:val="5"/>
          </w:tcPr>
          <w:p>
            <w:pPr>
              <w:jc w:val="right"/>
              <w:ind w:right="520"/>
              <w:spacing w:after="0"/>
              <w:rPr>
                <w:sz w:val="20"/>
                <w:szCs w:val="20"/>
                <w:color w:val="auto"/>
              </w:rPr>
            </w:pPr>
            <w:r>
              <w:rPr>
                <w:rFonts w:ascii="Arial" w:cs="Arial" w:eastAsia="Arial" w:hAnsi="Arial"/>
                <w:sz w:val="14"/>
                <w:szCs w:val="14"/>
                <w:color w:val="auto"/>
              </w:rPr>
              <w:t>October 29, 2016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Per diluted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8"/>
              <w:spacing w:after="0" w:line="137" w:lineRule="exact"/>
              <w:rPr>
                <w:sz w:val="20"/>
                <w:szCs w:val="20"/>
                <w:color w:val="auto"/>
              </w:rPr>
            </w:pPr>
            <w:r>
              <w:rPr>
                <w:rFonts w:ascii="Arial" w:cs="Arial" w:eastAsia="Arial" w:hAnsi="Arial"/>
                <w:sz w:val="14"/>
                <w:szCs w:val="14"/>
                <w:color w:val="auto"/>
                <w:w w:val="98"/>
              </w:rPr>
              <w:t>Per diluted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4"/>
                <w:szCs w:val="14"/>
                <w:color w:val="auto"/>
              </w:rPr>
            </w:pPr>
          </w:p>
        </w:tc>
        <w:tc>
          <w:tcPr>
            <w:tcW w:w="5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share</w:t>
            </w:r>
          </w:p>
        </w:tc>
        <w:tc>
          <w:tcPr>
            <w:tcW w:w="200" w:type="dxa"/>
            <w:vAlign w:val="bottom"/>
          </w:tcPr>
          <w:p>
            <w:pPr>
              <w:spacing w:after="0"/>
              <w:rPr>
                <w:sz w:val="14"/>
                <w:szCs w:val="14"/>
                <w:color w:val="auto"/>
              </w:rPr>
            </w:pPr>
          </w:p>
        </w:tc>
        <w:tc>
          <w:tcPr>
            <w:tcW w:w="5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share</w:t>
            </w:r>
          </w:p>
        </w:tc>
        <w:tc>
          <w:tcPr>
            <w:tcW w:w="200" w:type="dxa"/>
            <w:vAlign w:val="bottom"/>
          </w:tcPr>
          <w:p>
            <w:pPr>
              <w:spacing w:after="0"/>
              <w:rPr>
                <w:sz w:val="14"/>
                <w:szCs w:val="14"/>
                <w:color w:val="auto"/>
              </w:rPr>
            </w:pP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42"/>
        </w:trPr>
        <w:tc>
          <w:tcPr>
            <w:tcW w:w="362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14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(5,706)</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(0.12)</w:t>
            </w: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(4,452)</w:t>
            </w:r>
          </w:p>
        </w:tc>
        <w:tc>
          <w:tcPr>
            <w:tcW w:w="2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(0.09)</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(15,502)</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(0.32)</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(4,039)</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tcPr>
          <w:p>
            <w:pPr>
              <w:ind w:left="280"/>
              <w:spacing w:after="0"/>
              <w:rPr>
                <w:sz w:val="20"/>
                <w:szCs w:val="20"/>
                <w:color w:val="auto"/>
              </w:rPr>
            </w:pPr>
            <w:r>
              <w:rPr>
                <w:rFonts w:ascii="Arial" w:cs="Arial" w:eastAsia="Arial" w:hAnsi="Arial"/>
                <w:sz w:val="14"/>
                <w:szCs w:val="14"/>
                <w:color w:val="auto"/>
              </w:rPr>
              <w:t>Income tax benefit, assuming</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shd w:val="clear" w:color="auto" w:fill="CFF0FC"/>
          </w:tcPr>
          <w:p>
            <w:pPr>
              <w:jc w:val="center"/>
              <w:ind w:right="1700"/>
              <w:spacing w:after="0"/>
              <w:rPr>
                <w:sz w:val="20"/>
                <w:szCs w:val="20"/>
                <w:color w:val="auto"/>
              </w:rPr>
            </w:pPr>
            <w:r>
              <w:rPr>
                <w:rFonts w:ascii="Arial" w:cs="Arial" w:eastAsia="Arial" w:hAnsi="Arial"/>
                <w:sz w:val="14"/>
                <w:szCs w:val="14"/>
                <w:color w:val="auto"/>
                <w:w w:val="93"/>
              </w:rPr>
              <w:t>a normal tax rate of 40%</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2,282</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1,565</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(3,424)</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(2,651)</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(9,263)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(0.19)</w:t>
            </w: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(2,348)</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(0.05)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number of common shares</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gridSpan w:val="2"/>
          </w:tcPr>
          <w:p>
            <w:pPr>
              <w:jc w:val="center"/>
              <w:ind w:right="1700"/>
              <w:spacing w:after="0"/>
              <w:rPr>
                <w:sz w:val="20"/>
                <w:szCs w:val="20"/>
                <w:color w:val="auto"/>
              </w:rPr>
            </w:pPr>
            <w:r>
              <w:rPr>
                <w:rFonts w:ascii="Arial" w:cs="Arial" w:eastAsia="Arial" w:hAnsi="Arial"/>
                <w:sz w:val="14"/>
                <w:szCs w:val="14"/>
                <w:color w:val="auto"/>
                <w:w w:val="91"/>
              </w:rPr>
              <w:t>outstanding on a diluted basis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49,552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48,966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49,532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u w:val="single" w:color="auto"/>
          <w:color w:val="auto"/>
        </w:rPr>
        <w:t>Free Cash Flow and Free Cash Flow Before DXL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We define free cash flow as cash flow from operating activities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Free cash flow before DXL capital expenditures is free cash flow with DXL capital expenditures added back. Free cash flow excludes the mandatory and discretionary repayment of debt. Free cash flow and free cash flow before DXL capital expenditures are metrics that management uses to monitor liquidity. We expect to fund our ongoing DXL capital expenditures with cash flow from operations. We believe this metric is important to investors because it demonstrates our ability to strengthen liquidity while also contributing to the funding of the DXL store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 and free cash flow before DXL capital expenditures: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60" w:type="dxa"/>
            <w:vAlign w:val="bottom"/>
            <w:gridSpan w:val="6"/>
          </w:tcPr>
          <w:p>
            <w:pPr>
              <w:jc w:val="right"/>
              <w:ind w:right="1680"/>
              <w:spacing w:after="0"/>
              <w:rPr>
                <w:sz w:val="20"/>
                <w:szCs w:val="20"/>
                <w:color w:val="auto"/>
              </w:rPr>
            </w:pPr>
            <w:r>
              <w:rPr>
                <w:rFonts w:ascii="Arial" w:cs="Arial" w:eastAsia="Arial" w:hAnsi="Arial"/>
                <w:sz w:val="14"/>
                <w:szCs w:val="14"/>
                <w:color w:val="auto"/>
              </w:rPr>
              <w:t>For the nine months ended</w:t>
            </w: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4"/>
                <w:szCs w:val="14"/>
                <w:color w:val="auto"/>
              </w:rPr>
            </w:pPr>
          </w:p>
        </w:tc>
        <w:tc>
          <w:tcPr>
            <w:tcW w:w="2040" w:type="dxa"/>
            <w:vAlign w:val="bottom"/>
            <w:gridSpan w:val="2"/>
          </w:tcPr>
          <w:p>
            <w:pPr>
              <w:jc w:val="right"/>
              <w:ind w:right="780"/>
              <w:spacing w:after="0"/>
              <w:rPr>
                <w:sz w:val="20"/>
                <w:szCs w:val="20"/>
                <w:color w:val="auto"/>
              </w:rPr>
            </w:pPr>
            <w:r>
              <w:rPr>
                <w:rFonts w:ascii="Arial" w:cs="Arial" w:eastAsia="Arial" w:hAnsi="Arial"/>
                <w:sz w:val="14"/>
                <w:szCs w:val="14"/>
                <w:color w:val="auto"/>
              </w:rPr>
              <w:t>October 28, 2017</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color w:val="auto"/>
              </w:rPr>
              <w:t>October 29, 2016</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20" w:type="dxa"/>
            <w:vAlign w:val="bottom"/>
          </w:tcPr>
          <w:p>
            <w:pPr>
              <w:spacing w:after="0"/>
              <w:rPr>
                <w:sz w:val="14"/>
                <w:szCs w:val="14"/>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r>
      <w:tr>
        <w:trPr>
          <w:trHeight w:val="156"/>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(0.6)</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20" w:type="dxa"/>
            <w:vAlign w:val="bottom"/>
          </w:tcPr>
          <w:p>
            <w:pPr>
              <w:spacing w:after="0"/>
              <w:rPr>
                <w:sz w:val="14"/>
                <w:szCs w:val="14"/>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4"/>
                <w:szCs w:val="14"/>
                <w:color w:val="auto"/>
              </w:rPr>
              <w:t>(12.6)</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4"/>
                <w:szCs w:val="14"/>
                <w:color w:val="auto"/>
              </w:rPr>
              <w:t>(16.0)</w:t>
            </w:r>
          </w:p>
        </w:tc>
      </w:tr>
      <w:tr>
        <w:trPr>
          <w:trHeight w:val="156"/>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040" w:hanging="654"/>
        <w:spacing w:after="0" w:line="220" w:lineRule="auto"/>
        <w:tabs>
          <w:tab w:leader="none" w:pos="1040" w:val="left"/>
        </w:tabs>
        <w:numPr>
          <w:ilvl w:val="0"/>
          <w:numId w:val="10"/>
        </w:numPr>
        <w:rPr>
          <w:rFonts w:ascii="Arial" w:cs="Arial" w:eastAsia="Arial" w:hAnsi="Arial"/>
          <w:sz w:val="36"/>
          <w:szCs w:val="36"/>
          <w:color w:val="auto"/>
          <w:vertAlign w:val="subscript"/>
        </w:rPr>
      </w:pPr>
      <w:r>
        <w:rPr>
          <w:rFonts w:ascii="Arial" w:cs="Arial" w:eastAsia="Arial" w:hAnsi="Arial"/>
          <w:sz w:val="14"/>
          <w:szCs w:val="14"/>
          <w:color w:val="auto"/>
        </w:rPr>
        <w:t>Cash flow from operating activities includes lease incentives received against our capital expenditures.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6" w:name="page27"/>
    <w:bookmarkEnd w:id="26"/>
    <w:p>
      <w:pPr>
        <w:ind w:right="20"/>
        <w:spacing w:after="0" w:line="264" w:lineRule="auto"/>
        <w:rPr>
          <w:sz w:val="20"/>
          <w:szCs w:val="20"/>
          <w:color w:val="auto"/>
        </w:rPr>
      </w:pPr>
      <w:r>
        <w:rPr>
          <w:rFonts w:ascii="Arial" w:cs="Arial" w:eastAsia="Arial" w:hAnsi="Arial"/>
          <w:sz w:val="18"/>
          <w:szCs w:val="18"/>
          <w:i w:val="1"/>
          <w:iCs w:val="1"/>
          <w:u w:val="single" w:color="auto"/>
          <w:color w:val="auto"/>
        </w:rPr>
        <w:t>EBITDA</w:t>
      </w:r>
      <w:r>
        <w:rPr>
          <w:rFonts w:ascii="Arial" w:cs="Arial" w:eastAsia="Arial" w:hAnsi="Arial"/>
          <w:sz w:val="18"/>
          <w:szCs w:val="18"/>
          <w:i w:val="1"/>
          <w:iCs w:val="1"/>
          <w:color w:val="auto"/>
        </w:rPr>
        <w:t xml:space="preserve">. </w:t>
      </w:r>
      <w:r>
        <w:rPr>
          <w:rFonts w:ascii="Arial" w:cs="Arial" w:eastAsia="Arial" w:hAnsi="Arial"/>
          <w:sz w:val="18"/>
          <w:szCs w:val="18"/>
          <w:color w:val="auto"/>
        </w:rPr>
        <w:t>EBITDA is calculated as earnings before interest, taxes, depreciation and amortization. We believe that EBITDA is useful to investors in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income (loss) to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3"/>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6"/>
          </w:tcPr>
          <w:p>
            <w:pPr>
              <w:jc w:val="right"/>
              <w:ind w:right="1100"/>
              <w:spacing w:after="0"/>
              <w:rPr>
                <w:sz w:val="20"/>
                <w:szCs w:val="20"/>
                <w:color w:val="auto"/>
              </w:rPr>
            </w:pPr>
            <w:r>
              <w:rPr>
                <w:rFonts w:ascii="Arial" w:cs="Arial" w:eastAsia="Arial" w:hAnsi="Arial"/>
                <w:sz w:val="14"/>
                <w:szCs w:val="14"/>
                <w:color w:val="auto"/>
              </w:rPr>
              <w:t>For the nine months ended</w:t>
            </w: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6"/>
              </w:rPr>
              <w:t>October 28, 2017</w:t>
            </w:r>
          </w:p>
        </w:tc>
        <w:tc>
          <w:tcPr>
            <w:tcW w:w="2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October 29, 2016</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7"/>
              </w:rPr>
              <w:t>October 28, 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7"/>
              </w:rPr>
              <w:t>October 29, 2016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8"/>
              </w:rPr>
              <w:t>(in millions)</w:t>
            </w:r>
          </w:p>
        </w:tc>
        <w:tc>
          <w:tcPr>
            <w:tcW w:w="2440" w:type="dxa"/>
            <w:vAlign w:val="bottom"/>
          </w:tcPr>
          <w:p>
            <w:pPr>
              <w:spacing w:after="0"/>
              <w:rPr>
                <w:sz w:val="13"/>
                <w:szCs w:val="13"/>
                <w:color w:val="auto"/>
              </w:rPr>
            </w:pPr>
          </w:p>
        </w:tc>
        <w:tc>
          <w:tcPr>
            <w:tcW w:w="156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(5.7)</w:t>
            </w:r>
          </w:p>
        </w:tc>
        <w:tc>
          <w:tcPr>
            <w:tcW w:w="1240" w:type="dxa"/>
            <w:vAlign w:val="bottom"/>
            <w:vMerge w:val="restart"/>
          </w:tcPr>
          <w:p>
            <w:pPr>
              <w:jc w:val="right"/>
              <w:ind w:right="1088"/>
              <w:spacing w:after="0"/>
              <w:rPr>
                <w:sz w:val="20"/>
                <w:szCs w:val="20"/>
                <w:color w:val="auto"/>
              </w:rPr>
            </w:pPr>
            <w:r>
              <w:rPr>
                <w:rFonts w:ascii="Arial" w:cs="Arial" w:eastAsia="Arial" w:hAnsi="Arial"/>
                <w:sz w:val="14"/>
                <w:szCs w:val="14"/>
                <w:color w:val="auto"/>
                <w:w w:val="76"/>
              </w:rPr>
              <w:t>$</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7"/>
              </w:rPr>
              <w:t>(4.5)</w:t>
            </w: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(15.5)</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6"/>
        </w:trPr>
        <w:tc>
          <w:tcPr>
            <w:tcW w:w="3160" w:type="dxa"/>
            <w:vAlign w:val="bottom"/>
            <w:gridSpan w:val="2"/>
          </w:tcPr>
          <w:p>
            <w:pPr>
              <w:spacing w:after="0" w:line="155" w:lineRule="exact"/>
              <w:rPr>
                <w:sz w:val="20"/>
                <w:szCs w:val="20"/>
                <w:color w:val="auto"/>
              </w:rPr>
            </w:pPr>
            <w:r>
              <w:rPr>
                <w:rFonts w:ascii="Arial" w:cs="Arial" w:eastAsia="Arial" w:hAnsi="Arial"/>
                <w:sz w:val="14"/>
                <w:szCs w:val="14"/>
                <w:color w:val="auto"/>
              </w:rPr>
              <w:t>Net loss (GAAP basis)</w:t>
            </w:r>
          </w:p>
        </w:tc>
        <w:tc>
          <w:tcPr>
            <w:tcW w:w="156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14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 (non-GAAP basis)</w:t>
            </w:r>
          </w:p>
        </w:tc>
        <w:tc>
          <w:tcPr>
            <w:tcW w:w="14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w:t>
            </w:r>
          </w:p>
        </w:tc>
        <w:tc>
          <w:tcPr>
            <w:tcW w:w="280" w:type="dxa"/>
            <w:vAlign w:val="bottom"/>
            <w:tcBorders>
              <w:bottom w:val="single" w:sz="8" w:color="CFF0FC"/>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ind w:right="108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w:t>
            </w:r>
          </w:p>
        </w:tc>
        <w:tc>
          <w:tcPr>
            <w:tcW w:w="2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2017 Outlook - GAAP to Non-GAAP Reconciliations.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2017 Outlook:</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gridSpan w:val="2"/>
          </w:tcPr>
          <w:p>
            <w:pPr>
              <w:jc w:val="right"/>
              <w:ind w:right="280"/>
              <w:spacing w:after="0"/>
              <w:rPr>
                <w:sz w:val="20"/>
                <w:szCs w:val="20"/>
                <w:color w:val="auto"/>
              </w:rPr>
            </w:pPr>
            <w:r>
              <w:rPr>
                <w:rFonts w:ascii="Arial" w:cs="Arial" w:eastAsia="Arial" w:hAnsi="Arial"/>
                <w:sz w:val="14"/>
                <w:szCs w:val="14"/>
                <w:color w:val="auto"/>
              </w:rPr>
              <w:t>Projected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Fiscal 2017</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40" w:type="dxa"/>
            <w:vAlign w:val="bottom"/>
          </w:tcPr>
          <w:p>
            <w:pPr>
              <w:jc w:val="right"/>
              <w:ind w:right="56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64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$(17.0)-$(21.0)</w:t>
            </w:r>
          </w:p>
        </w:tc>
        <w:tc>
          <w:tcPr>
            <w:tcW w:w="80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3.3</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spacing w:after="0" w:line="155" w:lineRule="exact"/>
              <w:rPr>
                <w:sz w:val="20"/>
                <w:szCs w:val="20"/>
                <w:color w:val="auto"/>
              </w:rPr>
            </w:pPr>
            <w:r>
              <w:rPr>
                <w:rFonts w:ascii="Arial" w:cs="Arial" w:eastAsia="Arial" w:hAnsi="Arial"/>
                <w:sz w:val="14"/>
                <w:szCs w:val="14"/>
                <w:color w:val="auto"/>
              </w:rPr>
              <w:t>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$16.0-$20.0</w:t>
            </w: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64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18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Net loss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$(17.0)-$(21.0)</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$(0.35)-$(0.42)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$6.8-$8.4</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$0.14-$0.17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Adjusted net loss (non-GAAP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$(10.2)-$(12.6)</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$(0.21)-$(0.25)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$31.0-$35.0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20" w:type="dxa"/>
            <w:vAlign w:val="bottom"/>
            <w:gridSpan w:val="2"/>
          </w:tcPr>
          <w:p>
            <w:pPr>
              <w:jc w:val="right"/>
              <w:ind w:right="740"/>
              <w:spacing w:after="0"/>
              <w:rPr>
                <w:sz w:val="20"/>
                <w:szCs w:val="20"/>
                <w:color w:val="auto"/>
              </w:rPr>
            </w:pPr>
            <w:r>
              <w:rPr>
                <w:rFonts w:ascii="Arial" w:cs="Arial" w:eastAsia="Arial" w:hAnsi="Arial"/>
                <w:sz w:val="14"/>
                <w:szCs w:val="14"/>
                <w:color w:val="auto"/>
              </w:rPr>
              <w:t>(8.3)</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top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 (non-GAAP basis)</w:t>
            </w:r>
          </w:p>
        </w:tc>
        <w:tc>
          <w:tcPr>
            <w:tcW w:w="2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$22.7-$26.7</w:t>
            </w:r>
          </w:p>
        </w:tc>
        <w:tc>
          <w:tcPr>
            <w:tcW w:w="800" w:type="dxa"/>
            <w:vAlign w:val="bottom"/>
            <w:tcBorders>
              <w:top w:val="single" w:sz="8" w:color="CFF0FC"/>
            </w:tcBorders>
            <w:shd w:val="clear" w:color="auto" w:fill="CFF0FC"/>
          </w:tcPr>
          <w:p>
            <w:pPr>
              <w:spacing w:after="0"/>
              <w:rPr>
                <w:sz w:val="13"/>
                <w:szCs w:val="13"/>
                <w:color w:val="auto"/>
              </w:rPr>
            </w:pPr>
          </w:p>
        </w:tc>
        <w:tc>
          <w:tcPr>
            <w:tcW w:w="18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920" w:type="dxa"/>
            <w:vAlign w:val="bottom"/>
            <w:gridSpan w:val="2"/>
          </w:tcPr>
          <w:p>
            <w:pPr>
              <w:jc w:val="right"/>
              <w:ind w:right="740"/>
              <w:spacing w:after="0"/>
              <w:rPr>
                <w:sz w:val="20"/>
                <w:szCs w:val="20"/>
                <w:color w:val="auto"/>
              </w:rPr>
            </w:pPr>
            <w:r>
              <w:rPr>
                <w:rFonts w:ascii="Arial" w:cs="Arial" w:eastAsia="Arial" w:hAnsi="Arial"/>
                <w:sz w:val="14"/>
                <w:szCs w:val="14"/>
                <w:color w:val="auto"/>
              </w:rPr>
              <w:t>(13.7)</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$9.0-$13.0</w:t>
            </w:r>
          </w:p>
        </w:tc>
        <w:tc>
          <w:tcPr>
            <w:tcW w:w="800" w:type="dxa"/>
            <w:vAlign w:val="bottom"/>
            <w:tcBorders>
              <w:top w:val="single" w:sz="8" w:color="CFF0FC"/>
              <w:bottom w:val="single" w:sz="8" w:color="CFF0FC"/>
            </w:tcBorders>
            <w:shd w:val="clear" w:color="auto" w:fill="CFF0FC"/>
          </w:tcPr>
          <w:p>
            <w:pPr>
              <w:spacing w:after="0"/>
              <w:rPr>
                <w:sz w:val="13"/>
                <w:szCs w:val="13"/>
                <w:color w:val="auto"/>
              </w:rPr>
            </w:pPr>
          </w:p>
        </w:tc>
        <w:tc>
          <w:tcPr>
            <w:tcW w:w="18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October 28, 2017, the interest rate on our prime based borrowings was 4.75%. At October 28, 2017, approximately $64.0 million of our outstanding borrowings were in LIBOR contracts with an interest rate of 2.70%. At October 28, 2017, we also had $12.0 million outstanding under a term loan, which bears interest at a variable rate based on one-month LIBOR rates plus 6.5%.</w:t>
      </w:r>
    </w:p>
    <w:p>
      <w:pPr>
        <w:spacing w:after="0" w:line="8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Based upon a sensitivity analysis as of October 28, 2017, assuming average outstanding borrowing during the first nine months of fiscal 2017 of $60.4 million under our Credit Facility and $12.0 million outstanding under our term loan, a 50 basis point increase in interest rates would have resulted in a potential increase in interest expense of approximately $362,000 on an annualized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Rochester Clothing store located in London, England conducts business in British pounds and our two DXL stores located in Ontario, Canada conduct business in Canadian dollars. As of October 28, 2017, sales from these stores were immaterial to consolidated sales. As such, we believe that movement in foreign currency exchange rates will not have a material adverse effect on our financial position or results of operations.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October 28, 2017.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October 28, 2017, our disclosure controls and procedures were effective.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October 28, 2017 that has materially affected, or is reasonably likely to materially affect, our internal control over financial reporting.</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449"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2016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00" w:right="140"/>
        <w:spacing w:after="0" w:line="269" w:lineRule="auto"/>
        <w:rPr>
          <w:sz w:val="20"/>
          <w:szCs w:val="20"/>
          <w:color w:val="auto"/>
        </w:rPr>
      </w:pPr>
      <w:r>
        <w:rPr>
          <w:rFonts w:ascii="Arial" w:cs="Arial" w:eastAsia="Arial" w:hAnsi="Arial"/>
          <w:sz w:val="17"/>
          <w:szCs w:val="17"/>
          <w:color w:val="auto"/>
        </w:rPr>
        <w:t>On March 17, 2017, the Company’s Board of Directors approved a stock repurchase plan. Under the stock repurchase plan, the Company may purchase up to $12.0 million of its common stock through open market and privately negotiated transactions during fiscal 2017. Through October 28, 2017, the Company purchased 1,878,434 shares of common stock at an average price of $2.49 per share. Approximately $7.3 million remains available under the stock repurchase plan. There were no stock repurchases during the third quarter of fiscal 2017.</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1">
        <w:r>
          <w:rPr>
            <w:rFonts w:ascii="Arial" w:cs="Arial" w:eastAsia="Arial" w:hAnsi="Arial"/>
            <w:sz w:val="16"/>
            <w:szCs w:val="16"/>
            <w:u w:val="single" w:color="auto"/>
            <w:color w:val="0000EE"/>
          </w:rPr>
          <w:t>Letter Agreement, dated January 29, 2014, by and between the Company and Red Mountain Capital Partners LLC.</w:t>
        </w:r>
      </w:hyperlink>
    </w:p>
    <w:p>
      <w:pPr>
        <w:spacing w:after="0" w:line="225"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8">
        <w:r>
          <w:rPr>
            <w:rFonts w:ascii="Arial" w:cs="Arial" w:eastAsia="Arial" w:hAnsi="Arial"/>
            <w:sz w:val="16"/>
            <w:szCs w:val="16"/>
            <w:u w:val="single" w:color="auto"/>
            <w:color w:val="0000EE"/>
          </w:rPr>
          <w:t>Certification of the Chief Executive Officer of the Company pursuant to Rule 13a-14(a) under the Securities Exchange Act of 1934.</w:t>
        </w:r>
      </w:hyperlink>
    </w:p>
    <w:p>
      <w:pPr>
        <w:spacing w:after="0" w:line="131"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9">
        <w:r>
          <w:rPr>
            <w:rFonts w:ascii="Arial" w:cs="Arial" w:eastAsia="Arial" w:hAnsi="Arial"/>
            <w:sz w:val="16"/>
            <w:szCs w:val="16"/>
            <w:u w:val="single" w:color="auto"/>
            <w:color w:val="0000EE"/>
          </w:rPr>
          <w:t>Certification of the Chief Financial Officer of the Company pursuant to Rule 13a-14(a) under the Securities Exchange Act of 1934.</w:t>
        </w:r>
      </w:hyperlink>
    </w:p>
    <w:p>
      <w:pPr>
        <w:spacing w:after="0" w:line="131"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40">
        <w:r>
          <w:rPr>
            <w:rFonts w:ascii="Arial" w:cs="Arial" w:eastAsia="Arial" w:hAnsi="Arial"/>
            <w:sz w:val="16"/>
            <w:szCs w:val="16"/>
            <w:u w:val="single" w:color="auto"/>
            <w:color w:val="0000EE"/>
          </w:rPr>
          <w:t>Certification of Chief Executive Officer pursuant to 18 U.S.C. Section 1350, as adopted pursuant to Section 906 of the Sarbanes-Oxley Act of 2002.</w:t>
        </w:r>
      </w:hyperlink>
    </w:p>
    <w:p>
      <w:pPr>
        <w:spacing w:after="0" w:line="117" w:lineRule="exact"/>
        <w:rPr>
          <w:sz w:val="20"/>
          <w:szCs w:val="20"/>
          <w:color w:val="auto"/>
        </w:rPr>
      </w:pPr>
    </w:p>
    <w:p>
      <w:pPr>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41">
        <w:r>
          <w:rPr>
            <w:rFonts w:ascii="Arial" w:cs="Arial" w:eastAsia="Arial" w:hAnsi="Arial"/>
            <w:sz w:val="16"/>
            <w:szCs w:val="16"/>
            <w:u w:val="single" w:color="auto"/>
            <w:color w:val="0000EE"/>
          </w:rPr>
          <w:t>Certification of Chief Financial Officer pursuant to 18 U.S.C. Section 1350, as adopted pursuant to Section 906 of the Sarbanes-Oxley Act of 2002.</w:t>
        </w:r>
      </w:hyperlink>
    </w:p>
    <w:p>
      <w:pPr>
        <w:spacing w:after="0" w:line="131" w:lineRule="exact"/>
        <w:rPr>
          <w:sz w:val="20"/>
          <w:szCs w:val="20"/>
          <w:color w:val="auto"/>
        </w:rPr>
      </w:pPr>
    </w:p>
    <w:p>
      <w:pPr>
        <w:ind w:left="54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October 28, 2017,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DESTINATION XL GROUP, INC.</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November 17, 2017</w:t>
            </w: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By:  /S/ John F. Cooney</w:t>
            </w:r>
          </w:p>
        </w:tc>
      </w:tr>
      <w:tr>
        <w:trPr>
          <w:trHeight w:val="195"/>
        </w:trPr>
        <w:tc>
          <w:tcPr>
            <w:tcW w:w="41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Chief Accounting Officer and Corporate</w:t>
            </w:r>
          </w:p>
        </w:tc>
      </w:tr>
      <w:tr>
        <w:trPr>
          <w:trHeight w:val="216"/>
        </w:trPr>
        <w:tc>
          <w:tcPr>
            <w:tcW w:w="4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Controller (Duly Authorized Officer and Chief Accounting</w:t>
            </w:r>
          </w:p>
        </w:tc>
      </w:tr>
      <w:tr>
        <w:trPr>
          <w:trHeight w:val="230"/>
        </w:trPr>
        <w:tc>
          <w:tcPr>
            <w:tcW w:w="4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ind w:left="1600"/>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January 29, 2014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Red Mountain Capital Partners LLC</w:t>
      </w:r>
    </w:p>
    <w:p>
      <w:pPr>
        <w:spacing w:after="0" w:line="238" w:lineRule="auto"/>
        <w:rPr>
          <w:sz w:val="20"/>
          <w:szCs w:val="20"/>
          <w:color w:val="auto"/>
        </w:rPr>
      </w:pPr>
      <w:r>
        <w:rPr>
          <w:rFonts w:ascii="Arial" w:cs="Arial" w:eastAsia="Arial" w:hAnsi="Arial"/>
          <w:sz w:val="22"/>
          <w:szCs w:val="22"/>
          <w:color w:val="auto"/>
        </w:rPr>
        <w:t>10100 Santa Monica Boulevard, Suite 925</w:t>
      </w:r>
    </w:p>
    <w:p>
      <w:pPr>
        <w:spacing w:after="0"/>
        <w:rPr>
          <w:sz w:val="20"/>
          <w:szCs w:val="20"/>
          <w:color w:val="auto"/>
        </w:rPr>
      </w:pPr>
      <w:r>
        <w:rPr>
          <w:rFonts w:ascii="Arial" w:cs="Arial" w:eastAsia="Arial" w:hAnsi="Arial"/>
          <w:sz w:val="22"/>
          <w:szCs w:val="22"/>
          <w:color w:val="auto"/>
        </w:rPr>
        <w:t>Los Angeles, California 90067</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60" w:firstLine="958"/>
        <w:spacing w:after="0" w:line="244" w:lineRule="auto"/>
        <w:tabs>
          <w:tab w:leader="none" w:pos="1761" w:val="left"/>
        </w:tabs>
        <w:numPr>
          <w:ilvl w:val="0"/>
          <w:numId w:val="12"/>
        </w:numPr>
        <w:rPr>
          <w:rFonts w:ascii="Arial" w:cs="Arial" w:eastAsia="Arial" w:hAnsi="Arial"/>
          <w:sz w:val="21"/>
          <w:szCs w:val="21"/>
          <w:color w:val="auto"/>
        </w:rPr>
      </w:pPr>
      <w:r>
        <w:rPr>
          <w:rFonts w:ascii="Arial" w:cs="Arial" w:eastAsia="Arial" w:hAnsi="Arial"/>
          <w:sz w:val="21"/>
          <w:szCs w:val="21"/>
          <w:color w:val="auto"/>
        </w:rPr>
        <w:t>Red Mountain Capital Partners LLC, a Delaware limited liability company (“</w:t>
      </w:r>
      <w:r>
        <w:rPr>
          <w:rFonts w:ascii="Arial" w:cs="Arial" w:eastAsia="Arial" w:hAnsi="Arial"/>
          <w:sz w:val="21"/>
          <w:szCs w:val="21"/>
          <w:u w:val="single" w:color="auto"/>
          <w:color w:val="auto"/>
        </w:rPr>
        <w:t>Red Mountain</w:t>
      </w:r>
      <w:r>
        <w:rPr>
          <w:rFonts w:ascii="Arial" w:cs="Arial" w:eastAsia="Arial" w:hAnsi="Arial"/>
          <w:sz w:val="21"/>
          <w:szCs w:val="21"/>
          <w:color w:val="auto"/>
        </w:rPr>
        <w:t>”), and Destination XL Group,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together with Red Mountain, the “</w:t>
      </w:r>
      <w:r>
        <w:rPr>
          <w:rFonts w:ascii="Arial" w:cs="Arial" w:eastAsia="Arial" w:hAnsi="Arial"/>
          <w:sz w:val="21"/>
          <w:szCs w:val="21"/>
          <w:u w:val="single" w:color="auto"/>
          <w:color w:val="auto"/>
        </w:rPr>
        <w:t>Parties</w:t>
      </w:r>
      <w:r>
        <w:rPr>
          <w:rFonts w:ascii="Arial" w:cs="Arial" w:eastAsia="Arial" w:hAnsi="Arial"/>
          <w:sz w:val="21"/>
          <w:szCs w:val="21"/>
          <w:color w:val="auto"/>
        </w:rPr>
        <w:t>”), understand and agree that, subject to the terms of, and in accordance with, this letter agreement, the Company has agreed and expects to provide Red Mountain with certain information about its properties, employees, finances, businesses and operations (including monthly financial information and the information and materials provided or made available to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xml:space="preserve">”) during the time when any person affiliated with Red Mountain serves on the Board);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letter agreement obligates the Company to disclose any information if such disclosure would be unlawful or result in a breach by the Company or one of its subsidiaries of a confidentiality agreement with a third party. Any such information provided by the Company shall be used by Red Mountain and its Affiliates (as defined below) solely to enable Red Mountain and its Affiliates to make non-publicly disclosed suggestions to the Board regarding the Company’s ongoing business and corporate strategies and policies.</w:t>
      </w:r>
    </w:p>
    <w:p>
      <w:pPr>
        <w:spacing w:after="0" w:line="189" w:lineRule="exact"/>
        <w:rPr>
          <w:rFonts w:ascii="Arial" w:cs="Arial" w:eastAsia="Arial" w:hAnsi="Arial"/>
          <w:sz w:val="21"/>
          <w:szCs w:val="21"/>
          <w:color w:val="auto"/>
        </w:rPr>
      </w:pPr>
    </w:p>
    <w:p>
      <w:pPr>
        <w:ind w:firstLine="958"/>
        <w:spacing w:after="0" w:line="272" w:lineRule="auto"/>
        <w:tabs>
          <w:tab w:leader="none" w:pos="1761"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information about the Company or any third party that is furnished by the Company or its Representatives (as defined below) to Red Mountain before the date hereof, now or in the future, and regardless of the manner in which it is furnished, is referred to in this letter agreement as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Proprietary Information does not include, however, any information that (i) is or becomes generally available to the public other than as a result of a disclosure by Red Mountain, any of its Affiliates or any of their respective Representatives in violation of this letter agreement; (ii) was available to Red Mountain, any of its Affiliates or any of their respective Representatives on a non-confidential basis prior to its disclosure by the Company or its Representatives; (iii) becomes available to Red Mountain, any of its Affiliates or any of their respective Representatives from a person other than the Company or its Representatives who is not subject to any legally binding obligation to keep such information confidential; or (iv) was independently developed by Red Mountain, any of its Affiliates or any of their respective Representatives without reference to or use of the Proprietary Information. For purposes of this letter agreement, (x) “</w:t>
      </w:r>
      <w:r>
        <w:rPr>
          <w:rFonts w:ascii="Arial" w:cs="Arial" w:eastAsia="Arial" w:hAnsi="Arial"/>
          <w:sz w:val="19"/>
          <w:szCs w:val="19"/>
          <w:u w:val="single" w:color="auto"/>
          <w:color w:val="auto"/>
        </w:rPr>
        <w:t>Affiliates</w:t>
      </w:r>
      <w:r>
        <w:rPr>
          <w:rFonts w:ascii="Arial" w:cs="Arial" w:eastAsia="Arial" w:hAnsi="Arial"/>
          <w:sz w:val="19"/>
          <w:szCs w:val="19"/>
          <w:color w:val="auto"/>
        </w:rPr>
        <w:t>” of Red Mountain shall mean (A) Red Mountain Partners, L.P., a Delaware limited partnership, (B) RMCP GP LLC, a Delaware limited liability company, (C) Red Mountain Capital Management, Inc., and (D) Willem Mesdag, a natural person, (y) “</w:t>
      </w:r>
      <w:r>
        <w:rPr>
          <w:rFonts w:ascii="Arial" w:cs="Arial" w:eastAsia="Arial" w:hAnsi="Arial"/>
          <w:sz w:val="19"/>
          <w:szCs w:val="19"/>
          <w:u w:val="single" w:color="auto"/>
          <w:color w:val="auto"/>
        </w:rPr>
        <w:t>Representative</w:t>
      </w:r>
      <w:r>
        <w:rPr>
          <w:rFonts w:ascii="Arial" w:cs="Arial" w:eastAsia="Arial" w:hAnsi="Arial"/>
          <w:sz w:val="19"/>
          <w:szCs w:val="19"/>
          <w:color w:val="auto"/>
        </w:rPr>
        <w:t>” shall mean, as to any person, its directors, officers, employees, agents and attorneys; and (z) “</w:t>
      </w:r>
      <w:r>
        <w:rPr>
          <w:rFonts w:ascii="Arial" w:cs="Arial" w:eastAsia="Arial" w:hAnsi="Arial"/>
          <w:sz w:val="19"/>
          <w:szCs w:val="19"/>
          <w:u w:val="single" w:color="auto"/>
          <w:color w:val="auto"/>
        </w:rPr>
        <w:t>person</w:t>
      </w:r>
      <w:r>
        <w:rPr>
          <w:rFonts w:ascii="Arial" w:cs="Arial" w:eastAsia="Arial" w:hAnsi="Arial"/>
          <w:sz w:val="19"/>
          <w:szCs w:val="19"/>
          <w:color w:val="auto"/>
        </w:rPr>
        <w:t>” shall be broadly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interpreted to include, without limitation, any corporation, company, partnership, other entity or individual.</w:t>
      </w:r>
    </w:p>
    <w:p>
      <w:pPr>
        <w:spacing w:after="0" w:line="188" w:lineRule="exact"/>
        <w:rPr>
          <w:sz w:val="20"/>
          <w:szCs w:val="20"/>
          <w:color w:val="auto"/>
        </w:rPr>
      </w:pPr>
    </w:p>
    <w:p>
      <w:pPr>
        <w:ind w:left="1760" w:hanging="802"/>
        <w:spacing w:after="0"/>
        <w:tabs>
          <w:tab w:leader="none" w:pos="1760" w:val="left"/>
        </w:tabs>
        <w:numPr>
          <w:ilvl w:val="1"/>
          <w:numId w:val="13"/>
        </w:numPr>
        <w:rPr>
          <w:rFonts w:ascii="Arial" w:cs="Arial" w:eastAsia="Arial" w:hAnsi="Arial"/>
          <w:sz w:val="19"/>
          <w:szCs w:val="19"/>
          <w:color w:val="auto"/>
        </w:rPr>
      </w:pPr>
      <w:r>
        <w:rPr>
          <w:rFonts w:ascii="Arial" w:cs="Arial" w:eastAsia="Arial" w:hAnsi="Arial"/>
          <w:sz w:val="19"/>
          <w:szCs w:val="19"/>
          <w:color w:val="auto"/>
        </w:rPr>
        <w:t>Subject to paragraph 4 below, unless otherwise agreed to in writing by the Company, Red Mountain shall,</w:t>
      </w:r>
    </w:p>
    <w:p>
      <w:pPr>
        <w:spacing w:after="0" w:line="42" w:lineRule="exact"/>
        <w:rPr>
          <w:rFonts w:ascii="Arial" w:cs="Arial" w:eastAsia="Arial" w:hAnsi="Arial"/>
          <w:sz w:val="19"/>
          <w:szCs w:val="19"/>
          <w:color w:val="auto"/>
        </w:rPr>
      </w:pPr>
    </w:p>
    <w:p>
      <w:pPr>
        <w:ind w:firstLine="8"/>
        <w:spacing w:after="0" w:line="270" w:lineRule="auto"/>
        <w:tabs>
          <w:tab w:leader="none" w:pos="258"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except as required by law, keep all Proprietary Information confidential and not disclose or reveal any Proprietary Information to any person (other than to its Affiliates, its Representatives and Representatives of its Affiliates who have a need to know such information for purposes of assisting in Red Mountain’s evaluation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Affiliate and Representative shall keep confidential all Proprietary Information that is so disclosed or revealed to him or her in accordance with Red Mountain’s confidentiality obligations hereunder with respect to such Proprietary Information); (ii) not use Proprietary Information for any purpose other than enabling Red Mountain to make non-publicly disclosed suggestions to the Board regarding the Company’s ongoing business and corporate strategies and policies; and (iii) except as required by law or legal process, not disclose to any person the fact that Proprietary Information has been disclosed to Red Mountain,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disclosure of the existence of this letter agreement and the filing of this letter agreement as an exhibit to any Schedule 13D or amendment thereto shall not be deemed to be a breach of the foregoing clause (iii). Red Mountain will be responsible for any violation of the confidentiality provisions of this letter agreement by its Affiliates, its Representatives and the Representatives of its Affiliates as if they were parties hereto. The obligations of Red Mountain contained in this paragraph 3 to keep Proprietary Information confidential shall survive any termination or expiration of this letter agreement solely for a period of one year from and after such termination or expiration.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40" w:firstLine="958"/>
        <w:spacing w:after="0" w:line="271" w:lineRule="auto"/>
        <w:tabs>
          <w:tab w:leader="none" w:pos="1761" w:val="left"/>
        </w:tabs>
        <w:numPr>
          <w:ilvl w:val="1"/>
          <w:numId w:val="14"/>
        </w:numPr>
        <w:rPr>
          <w:rFonts w:ascii="Arial" w:cs="Arial" w:eastAsia="Arial" w:hAnsi="Arial"/>
          <w:sz w:val="19"/>
          <w:szCs w:val="19"/>
          <w:color w:val="auto"/>
        </w:rPr>
      </w:pPr>
      <w:r>
        <w:rPr>
          <w:rFonts w:ascii="Arial" w:cs="Arial" w:eastAsia="Arial" w:hAnsi="Arial"/>
          <w:sz w:val="19"/>
          <w:szCs w:val="19"/>
          <w:color w:val="auto"/>
        </w:rPr>
        <w:t>In the event that Red Mountain, any of its Affiliates or any of their respective Representatives is requested pursuant to, or required by, applicable law or regulation (including, without limitation, any rule, regulation or policy statement of any national securities exchange, market or automated quotation system applicable to Red Mountain or any of its Affiliates) or by legal process to disclose any Proprietary Information, Red Mountain shall provide the Company with prompt notice of such request or requirement in order to enable the Company (i) to seek an appropriate protective order or other remedy, (ii) to consult with Red Mountain with respect to the Company’s taking steps to resist or narrow the scope of such request or legal process or (iii) to waive compliance, in whole or in part, with the terms of this letter agreement. In the event that such protective order or other remedy is not timely sought or obtained, or the Company waives compliance, in whole or in part, with the terms of this letter agreement, Red Mountain shall (x) use commercially reasonable efforts to disclose only that portion of the Proprietary Information which is legally required to be disclosed and to ensure that all Proprietary Information that is so disclosed will be accorded confidential treatment and (y) provide the Company with the text of such required disclosure as far in advance of its disclosure as reasonably practicable and consider in good faith the Company’s suggestions concerning the nature and scope of the information to be contained therein. In the event that Red Mountain shall have complied, in all material respects, with the provisions of this paragraph 4, such disclosure may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by Red Mountain, such Affiliate or such Representative, as applicable, without any liability hereunder.</w:t>
      </w:r>
    </w:p>
    <w:p>
      <w:pPr>
        <w:spacing w:after="0" w:line="188" w:lineRule="exact"/>
        <w:rPr>
          <w:sz w:val="20"/>
          <w:szCs w:val="20"/>
          <w:color w:val="auto"/>
        </w:rPr>
      </w:pPr>
    </w:p>
    <w:p>
      <w:pPr>
        <w:ind w:right="20" w:firstLine="958"/>
        <w:spacing w:after="0" w:line="236" w:lineRule="auto"/>
        <w:tabs>
          <w:tab w:leader="none" w:pos="1761" w:val="left"/>
        </w:tabs>
        <w:numPr>
          <w:ilvl w:val="0"/>
          <w:numId w:val="15"/>
        </w:numPr>
        <w:rPr>
          <w:rFonts w:ascii="Arial" w:cs="Arial" w:eastAsia="Arial" w:hAnsi="Arial"/>
          <w:sz w:val="22"/>
          <w:szCs w:val="22"/>
          <w:color w:val="auto"/>
        </w:rPr>
      </w:pPr>
      <w:r>
        <w:rPr>
          <w:rFonts w:ascii="Arial" w:cs="Arial" w:eastAsia="Arial" w:hAnsi="Arial"/>
          <w:sz w:val="22"/>
          <w:szCs w:val="22"/>
          <w:color w:val="auto"/>
        </w:rPr>
        <w:t>For a period commencing on the date of this letter agreement and ending on the later to occur of (i) December 31, 2014 or (ii) (A) the date upon which no persons affiliated with Red Mountain are serving on the Board (in the case of subparagraph (a) below) and (B) three months after such date (in the case of subparagraphs (b) through (h) below), none of Red Mountain or any person affiliated with Red Mountain shall, without the prior written consent of the Company or the Board, directly or indirectly:</w:t>
      </w:r>
    </w:p>
    <w:p>
      <w:pPr>
        <w:spacing w:after="0" w:line="188" w:lineRule="exact"/>
        <w:rPr>
          <w:sz w:val="20"/>
          <w:szCs w:val="20"/>
          <w:color w:val="auto"/>
        </w:rPr>
      </w:pPr>
    </w:p>
    <w:p>
      <w:pPr>
        <w:ind w:left="1900" w:right="120" w:hanging="947"/>
        <w:spacing w:after="0" w:line="273" w:lineRule="auto"/>
        <w:tabs>
          <w:tab w:leader="none" w:pos="19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acquire, offer to acquire, or agree to acquire, directly or indirectly, by purchase or otherwise, (i) any additional common stock of the Company or direct or indirect rights to acquire common stock of the Company, such that Red Mountain, its Affiliates and any other person affiliated with Red Mountain collectively would beneficially own, directly or indirectly, for purposes of Section 13(d)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xml:space="preserve">”), and Rule 13d-3 thereunder (or any comparable or successor law or regulation), after giving effect to such acquisition, in excess of 15% of the amount of the issued and outstanding common stock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any increase in percentage beneficial ownership of common stock of the Company beyond 15% that is caused by a reduction in the number of issued and outstanding common stock of the Company from time to time shall not be deemed to be a violation of this subparagraph (a), or (ii) any assets of the Company or any subsidiary thereof or any successor to or person in control of the Company;</w:t>
      </w:r>
    </w:p>
    <w:p>
      <w:pPr>
        <w:spacing w:after="0" w:line="156" w:lineRule="exact"/>
        <w:rPr>
          <w:rFonts w:ascii="Arial" w:cs="Arial" w:eastAsia="Arial" w:hAnsi="Arial"/>
          <w:sz w:val="19"/>
          <w:szCs w:val="19"/>
          <w:color w:val="auto"/>
        </w:rPr>
      </w:pPr>
    </w:p>
    <w:p>
      <w:pPr>
        <w:ind w:left="1900" w:right="20" w:hanging="947"/>
        <w:spacing w:after="0" w:line="258" w:lineRule="auto"/>
        <w:tabs>
          <w:tab w:leader="none" w:pos="1900" w:val="left"/>
        </w:tabs>
        <w:numPr>
          <w:ilvl w:val="0"/>
          <w:numId w:val="16"/>
        </w:numPr>
        <w:rPr>
          <w:rFonts w:ascii="Arial" w:cs="Arial" w:eastAsia="Arial" w:hAnsi="Arial"/>
          <w:sz w:val="21"/>
          <w:szCs w:val="21"/>
          <w:color w:val="auto"/>
        </w:rPr>
      </w:pPr>
      <w:r>
        <w:rPr>
          <w:rFonts w:ascii="Arial" w:cs="Arial" w:eastAsia="Arial" w:hAnsi="Arial"/>
          <w:sz w:val="21"/>
          <w:szCs w:val="21"/>
          <w:color w:val="auto"/>
        </w:rPr>
        <w:t>make, or in any way participate, directly or indirectly, in any “solicitation” of “proxies” to vote (as such terms are used in the rules of the Securities and Exchange Commission), or seek to advise or influence any person or entity with respect to the voting of any voting securities of the Company;</w:t>
      </w:r>
    </w:p>
    <w:p>
      <w:pPr>
        <w:spacing w:after="0" w:line="166" w:lineRule="exact"/>
        <w:rPr>
          <w:rFonts w:ascii="Arial" w:cs="Arial" w:eastAsia="Arial" w:hAnsi="Arial"/>
          <w:sz w:val="21"/>
          <w:szCs w:val="21"/>
          <w:color w:val="auto"/>
        </w:rPr>
      </w:pPr>
    </w:p>
    <w:p>
      <w:pPr>
        <w:ind w:left="1900" w:hanging="947"/>
        <w:spacing w:after="0"/>
        <w:tabs>
          <w:tab w:leader="none" w:pos="19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nominate, or seek to nominate, directly or indirectly, any person to the Board;</w:t>
      </w:r>
    </w:p>
    <w:p>
      <w:pPr>
        <w:spacing w:after="0" w:line="206" w:lineRule="exact"/>
        <w:rPr>
          <w:rFonts w:ascii="Arial" w:cs="Arial" w:eastAsia="Arial" w:hAnsi="Arial"/>
          <w:sz w:val="22"/>
          <w:szCs w:val="22"/>
          <w:color w:val="auto"/>
        </w:rPr>
      </w:pPr>
    </w:p>
    <w:p>
      <w:pPr>
        <w:ind w:left="1900" w:right="120" w:hanging="947"/>
        <w:spacing w:after="0"/>
        <w:tabs>
          <w:tab w:leader="none" w:pos="19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make any public announcement with respect to, or submit a proposal for, or offer of (with or without conditions) any extraordinary transaction involving the Company or any of its securities or assets (including, for the avoidance of doubt and without limitation, a tender offer);</w:t>
      </w:r>
    </w:p>
    <w:p>
      <w:pPr>
        <w:spacing w:after="0" w:line="186" w:lineRule="exact"/>
        <w:rPr>
          <w:rFonts w:ascii="Arial" w:cs="Arial" w:eastAsia="Arial" w:hAnsi="Arial"/>
          <w:sz w:val="22"/>
          <w:szCs w:val="22"/>
          <w:color w:val="auto"/>
        </w:rPr>
      </w:pPr>
    </w:p>
    <w:p>
      <w:pPr>
        <w:ind w:left="1900" w:right="20" w:hanging="947"/>
        <w:spacing w:after="0" w:line="238" w:lineRule="auto"/>
        <w:tabs>
          <w:tab w:leader="none" w:pos="19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form, join or in any way participate in a “group” as defined in Section 13(d)(3) of the Exchange Act in connection with any of the foregoing;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the existence of a group consisting of Red Mountain, its Affiliates and other persons affiliated with Red Mountain shall not be deemed to be a violation of this subparagraph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color w:val="auto"/>
        </w:rPr>
        <w:t>4</w:t>
      </w:r>
    </w:p>
    <w:p>
      <w:pPr>
        <w:spacing w:after="0" w:line="9" w:lineRule="exact"/>
        <w:rPr>
          <w:sz w:val="20"/>
          <w:szCs w:val="20"/>
          <w:color w:val="auto"/>
        </w:rPr>
      </w:pPr>
    </w:p>
    <w:p>
      <w:pPr>
        <w:ind w:left="1900" w:hanging="947"/>
        <w:spacing w:after="0"/>
        <w:tabs>
          <w:tab w:leader="none" w:pos="19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otherwise act or seek to control or influence the Board or the management or policies of the Company</w:t>
      </w:r>
    </w:p>
    <w:p>
      <w:pPr>
        <w:spacing w:after="0" w:line="1" w:lineRule="exact"/>
        <w:rPr>
          <w:rFonts w:ascii="Arial" w:cs="Arial" w:eastAsia="Arial" w:hAnsi="Arial"/>
          <w:sz w:val="21"/>
          <w:szCs w:val="21"/>
          <w:color w:val="auto"/>
        </w:rPr>
      </w:pPr>
    </w:p>
    <w:p>
      <w:pPr>
        <w:ind w:left="1900" w:right="320"/>
        <w:spacing w:after="0" w:line="237" w:lineRule="auto"/>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taking of any action described in subparagraph (a) after the expiration of the restrictions thereunder shall not, by itself, be deemed a violation of this subparagraph (f));</w:t>
      </w:r>
    </w:p>
    <w:p>
      <w:pPr>
        <w:spacing w:after="0" w:line="184" w:lineRule="exact"/>
        <w:rPr>
          <w:rFonts w:ascii="Arial" w:cs="Arial" w:eastAsia="Arial" w:hAnsi="Arial"/>
          <w:sz w:val="21"/>
          <w:szCs w:val="21"/>
          <w:color w:val="auto"/>
        </w:rPr>
      </w:pPr>
    </w:p>
    <w:p>
      <w:pPr>
        <w:ind w:left="1900" w:right="100" w:hanging="947"/>
        <w:spacing w:after="0" w:line="252" w:lineRule="auto"/>
        <w:tabs>
          <w:tab w:leader="none" w:pos="19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take any action that could reasonably be expected to require the Company to make a public announcement regarding the possibility of any of the events described in subparagraphs (a) through (e)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taking of any action described in subparagraph (a) after the expiration of the restrictions thereunder shall not, by itself, be deemed a violation of this subparagraph (g)); or</w:t>
      </w:r>
    </w:p>
    <w:p>
      <w:pPr>
        <w:spacing w:after="0" w:line="174" w:lineRule="exact"/>
        <w:rPr>
          <w:rFonts w:ascii="Arial" w:cs="Arial" w:eastAsia="Arial" w:hAnsi="Arial"/>
          <w:sz w:val="21"/>
          <w:szCs w:val="21"/>
          <w:color w:val="auto"/>
        </w:rPr>
      </w:pPr>
    </w:p>
    <w:p>
      <w:pPr>
        <w:ind w:left="1900" w:right="840" w:hanging="947"/>
        <w:spacing w:after="0" w:line="251" w:lineRule="auto"/>
        <w:tabs>
          <w:tab w:leader="none" w:pos="19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request that the Company or any of its Representatives, directly or indirectly, to amend or waive any provision of this paragraph 5.</w:t>
      </w:r>
    </w:p>
    <w:p>
      <w:pPr>
        <w:spacing w:after="0" w:line="173"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For the avoidance of doubt, if Mr. Mesdag or any other person affiliated with Red Mountain serves on the Board, the provisions of this paragraph 5 are not intended to be construed to limit Mr. Mesdag or such person’s confidential communications with the Company or the Board in his capacity as a member of the Board.</w:t>
      </w:r>
    </w:p>
    <w:p>
      <w:pPr>
        <w:spacing w:after="0" w:line="186" w:lineRule="exact"/>
        <w:rPr>
          <w:sz w:val="20"/>
          <w:szCs w:val="20"/>
          <w:color w:val="auto"/>
        </w:rPr>
      </w:pPr>
    </w:p>
    <w:p>
      <w:pPr>
        <w:ind w:right="80" w:firstLine="958"/>
        <w:spacing w:after="0" w:line="252" w:lineRule="auto"/>
        <w:tabs>
          <w:tab w:leader="none" w:pos="1761" w:val="left"/>
        </w:tabs>
        <w:numPr>
          <w:ilvl w:val="0"/>
          <w:numId w:val="18"/>
        </w:numPr>
        <w:rPr>
          <w:rFonts w:ascii="Arial" w:cs="Arial" w:eastAsia="Arial" w:hAnsi="Arial"/>
          <w:sz w:val="21"/>
          <w:szCs w:val="21"/>
          <w:color w:val="auto"/>
        </w:rPr>
      </w:pPr>
      <w:r>
        <w:rPr>
          <w:rFonts w:ascii="Arial" w:cs="Arial" w:eastAsia="Arial" w:hAnsi="Arial"/>
          <w:sz w:val="21"/>
          <w:szCs w:val="21"/>
          <w:color w:val="auto"/>
        </w:rPr>
        <w:t>Notwithstanding anything to the contrary herein, Red Mountain may, in its sole discretion, terminate the provisions of paragraph 5 of this letter agreement (including all restrictions thereunder on the activities in which Red Mountain, its Affiliates and other persons affiliated with Red Mountain may engage with respect to the Company) by delivering written notice of such termination to the Company at any time after the approval by the Board of:</w:t>
      </w:r>
    </w:p>
    <w:p>
      <w:pPr>
        <w:spacing w:after="0" w:line="174" w:lineRule="exact"/>
        <w:rPr>
          <w:sz w:val="20"/>
          <w:szCs w:val="20"/>
          <w:color w:val="auto"/>
        </w:rPr>
      </w:pPr>
    </w:p>
    <w:p>
      <w:pPr>
        <w:ind w:left="1900" w:hanging="947"/>
        <w:spacing w:after="0"/>
        <w:tabs>
          <w:tab w:leader="none" w:pos="19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sale of more than 20% of the assets of the Company and its subsidiaries, taken as a whole;</w:t>
      </w:r>
    </w:p>
    <w:p>
      <w:pPr>
        <w:spacing w:after="0" w:line="206" w:lineRule="exact"/>
        <w:rPr>
          <w:rFonts w:ascii="Arial" w:cs="Arial" w:eastAsia="Arial" w:hAnsi="Arial"/>
          <w:sz w:val="22"/>
          <w:szCs w:val="22"/>
          <w:color w:val="auto"/>
        </w:rPr>
      </w:pPr>
    </w:p>
    <w:p>
      <w:pPr>
        <w:ind w:left="1900" w:right="20" w:hanging="947"/>
        <w:spacing w:after="0" w:line="287" w:lineRule="auto"/>
        <w:tabs>
          <w:tab w:leader="none" w:pos="19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beneficial ownership (as defined by Rule 13d-3 under the Exchange Act) by any person of more than 20% of any class of outstanding equity securities of the Company, including any equity issuance, tender offer, exchange offer or other transaction or series of transactions that, if consummated, would result in any person beneficially owning more than 20% of any class of outstanding equity securities of the Company; or</w:t>
      </w:r>
    </w:p>
    <w:p>
      <w:pPr>
        <w:spacing w:after="0" w:line="143" w:lineRule="exact"/>
        <w:rPr>
          <w:rFonts w:ascii="Arial" w:cs="Arial" w:eastAsia="Arial" w:hAnsi="Arial"/>
          <w:sz w:val="19"/>
          <w:szCs w:val="19"/>
          <w:color w:val="auto"/>
        </w:rPr>
      </w:pPr>
    </w:p>
    <w:p>
      <w:pPr>
        <w:ind w:left="1900" w:hanging="947"/>
        <w:spacing w:after="0" w:line="234" w:lineRule="auto"/>
        <w:tabs>
          <w:tab w:leader="none" w:pos="19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merger, consolidation or other business combination involving the Company or any of its subsidiaries and a third party, other than any such transaction where (i) the holders of equity securities of the Company outstanding immediately prior to such transaction continue to hold a majority of the equity securities of the surviving or resulting company or its ultimate parent immediately after giving effect to the transaction, and (ii) does not otherwise involve either (A) any sale of more than 20% of the assets of the Company and its subsidiaries, taken as a whole or (B) where no person after such transaction will beneficially own (within the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5</w:t>
      </w:r>
    </w:p>
    <w:p>
      <w:pPr>
        <w:spacing w:after="0" w:line="9" w:lineRule="exact"/>
        <w:rPr>
          <w:sz w:val="20"/>
          <w:szCs w:val="20"/>
          <w:color w:val="auto"/>
        </w:rPr>
      </w:pPr>
    </w:p>
    <w:p>
      <w:pPr>
        <w:ind w:left="1900" w:right="360"/>
        <w:spacing w:after="0" w:line="237" w:lineRule="auto"/>
        <w:rPr>
          <w:sz w:val="20"/>
          <w:szCs w:val="20"/>
          <w:color w:val="auto"/>
        </w:rPr>
      </w:pPr>
      <w:r>
        <w:rPr>
          <w:rFonts w:ascii="Arial" w:cs="Arial" w:eastAsia="Arial" w:hAnsi="Arial"/>
          <w:sz w:val="22"/>
          <w:szCs w:val="22"/>
          <w:color w:val="auto"/>
        </w:rPr>
        <w:t>of Rule 13d-3 under the Exchange Act) more than 20% of any class of outstanding equity securities of the Company.</w:t>
      </w:r>
    </w:p>
    <w:p>
      <w:pPr>
        <w:spacing w:after="0" w:line="185" w:lineRule="exact"/>
        <w:rPr>
          <w:sz w:val="20"/>
          <w:szCs w:val="20"/>
          <w:color w:val="auto"/>
        </w:rPr>
      </w:pPr>
    </w:p>
    <w:p>
      <w:pPr>
        <w:ind w:right="420"/>
        <w:spacing w:after="0" w:line="258" w:lineRule="auto"/>
        <w:rPr>
          <w:sz w:val="20"/>
          <w:szCs w:val="20"/>
          <w:color w:val="auto"/>
        </w:rPr>
      </w:pPr>
      <w:r>
        <w:rPr>
          <w:rFonts w:ascii="Arial" w:cs="Arial" w:eastAsia="Arial" w:hAnsi="Arial"/>
          <w:sz w:val="21"/>
          <w:szCs w:val="21"/>
          <w:color w:val="auto"/>
        </w:rPr>
        <w:t>In addition, if the Board undertakes a formal process to solicit proposals with respect to any of the foregoing or, with respect to unsolicited proposals, determines that any proposal relating to any of the foregoing is reasonably likely to be approved, the Company shall notify Red Mountain that paragraph 5(h) has been waived by the Company.</w:t>
      </w:r>
    </w:p>
    <w:p>
      <w:pPr>
        <w:spacing w:after="0" w:line="167" w:lineRule="exact"/>
        <w:rPr>
          <w:sz w:val="20"/>
          <w:szCs w:val="20"/>
          <w:color w:val="auto"/>
        </w:rPr>
      </w:pPr>
    </w:p>
    <w:p>
      <w:pPr>
        <w:ind w:right="20" w:firstLine="958"/>
        <w:spacing w:after="0" w:line="244" w:lineRule="auto"/>
        <w:tabs>
          <w:tab w:leader="none" w:pos="1761" w:val="left"/>
        </w:tabs>
        <w:numPr>
          <w:ilvl w:val="0"/>
          <w:numId w:val="20"/>
        </w:numPr>
        <w:rPr>
          <w:rFonts w:ascii="Arial" w:cs="Arial" w:eastAsia="Arial" w:hAnsi="Arial"/>
          <w:sz w:val="21"/>
          <w:szCs w:val="21"/>
          <w:color w:val="auto"/>
        </w:rPr>
      </w:pPr>
      <w:r>
        <w:rPr>
          <w:rFonts w:ascii="Arial" w:cs="Arial" w:eastAsia="Arial" w:hAnsi="Arial"/>
          <w:sz w:val="21"/>
          <w:szCs w:val="21"/>
          <w:color w:val="auto"/>
        </w:rPr>
        <w:t>To the extent that any Proprietary Information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Proprietary Information provided by the Company that is entitled to protection under the attorney-client privilege, work product doctrine or other applicable privilege shall remain entitled to such protection under these privileges, this letter agreement, and under the joint defense doctrine. Nothing in this letter agreement obligates the Company to reveal material subject to the attorney-client privilege, work product doctrine or any other applicable privilege. For the avoidance of doubt, if Mr. Mesdag or any other person affiliated with Red Mountain serves on the Board, Mr. Mesdag or such person shall not share any legally privileged information received in Mesdag or such person’s capacity as a member of the Board with Red Mountain.</w:t>
      </w:r>
    </w:p>
    <w:p>
      <w:pPr>
        <w:spacing w:after="0" w:line="187" w:lineRule="exact"/>
        <w:rPr>
          <w:rFonts w:ascii="Arial" w:cs="Arial" w:eastAsia="Arial" w:hAnsi="Arial"/>
          <w:sz w:val="21"/>
          <w:szCs w:val="21"/>
          <w:color w:val="auto"/>
        </w:rPr>
      </w:pPr>
    </w:p>
    <w:p>
      <w:pPr>
        <w:jc w:val="both"/>
        <w:ind w:right="340" w:firstLine="958"/>
        <w:spacing w:after="0" w:line="252" w:lineRule="auto"/>
        <w:tabs>
          <w:tab w:leader="none" w:pos="1761" w:val="left"/>
        </w:tabs>
        <w:numPr>
          <w:ilvl w:val="0"/>
          <w:numId w:val="20"/>
        </w:numPr>
        <w:rPr>
          <w:rFonts w:ascii="Arial" w:cs="Arial" w:eastAsia="Arial" w:hAnsi="Arial"/>
          <w:sz w:val="21"/>
          <w:szCs w:val="21"/>
          <w:color w:val="auto"/>
        </w:rPr>
      </w:pPr>
      <w:r>
        <w:rPr>
          <w:rFonts w:ascii="Arial" w:cs="Arial" w:eastAsia="Arial" w:hAnsi="Arial"/>
          <w:sz w:val="21"/>
          <w:szCs w:val="21"/>
          <w:color w:val="auto"/>
        </w:rPr>
        <w:t>Red Mountain acknowledges that neither the Company nor any of its Representatives makes any express or implied representation or warranty as to the accuracy or completeness of any Proprietary Information, and Red Mountain agrees that none of such persons shall have any liability to any of Red Mountain, any of its Affiliates or any of their respective Representatives relating to or arising from the use of any Proprietary Information.</w:t>
      </w:r>
    </w:p>
    <w:p>
      <w:pPr>
        <w:spacing w:after="0" w:line="174" w:lineRule="exact"/>
        <w:rPr>
          <w:rFonts w:ascii="Arial" w:cs="Arial" w:eastAsia="Arial" w:hAnsi="Arial"/>
          <w:sz w:val="21"/>
          <w:szCs w:val="21"/>
          <w:color w:val="auto"/>
        </w:rPr>
      </w:pPr>
    </w:p>
    <w:p>
      <w:pPr>
        <w:ind w:firstLine="958"/>
        <w:spacing w:after="0" w:line="274" w:lineRule="auto"/>
        <w:tabs>
          <w:tab w:leader="none" w:pos="1761" w:val="left"/>
        </w:tabs>
        <w:numPr>
          <w:ilvl w:val="0"/>
          <w:numId w:val="20"/>
        </w:numPr>
        <w:rPr>
          <w:rFonts w:ascii="Arial" w:cs="Arial" w:eastAsia="Arial" w:hAnsi="Arial"/>
          <w:sz w:val="19"/>
          <w:szCs w:val="19"/>
          <w:color w:val="auto"/>
        </w:rPr>
      </w:pPr>
      <w:r>
        <w:rPr>
          <w:rFonts w:ascii="Arial" w:cs="Arial" w:eastAsia="Arial" w:hAnsi="Arial"/>
          <w:sz w:val="19"/>
          <w:szCs w:val="19"/>
          <w:color w:val="auto"/>
        </w:rPr>
        <w:t>At any time upon the request of the Company, Red Mountain shall promptly deliver to the Company or destroy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destruction shall be certified by Red Mountain) all Proprietary Information and all copies, reproductions, summaries, analyses or extracts thereof or based thereon (whether in hard-copy form or on intangible media, such as electronic mail or computer files) in the possession of Red Mountain, any of its Affiliates or any of their respective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Red Mountain, its Affiliates and their respective Representatives shall be permitted to retain a copy of such Proprietary Information to the extent such person believes in good faith that the retention of such copy is required under applicable law (including the recordkeeping requirements under the Investment Advisers Act of 1940, as amended). Red Mountain acknowledges that the Company reserves the right, in its sole discretion and without giving any reason therefor, to request the return or destruction of Proprietary Information pursuant to this paragraph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6</w:t>
      </w:r>
    </w:p>
    <w:p>
      <w:pPr>
        <w:spacing w:after="0" w:line="9" w:lineRule="exact"/>
        <w:rPr>
          <w:sz w:val="20"/>
          <w:szCs w:val="20"/>
          <w:color w:val="auto"/>
        </w:rPr>
      </w:pPr>
    </w:p>
    <w:p>
      <w:pPr>
        <w:ind w:right="20" w:firstLine="958"/>
        <w:spacing w:after="0" w:line="233" w:lineRule="auto"/>
        <w:tabs>
          <w:tab w:leader="none" w:pos="1869"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Red Mountain is aware of the restrictions imposed by the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w:t>
      </w:r>
    </w:p>
    <w:p>
      <w:pPr>
        <w:spacing w:after="0" w:line="188" w:lineRule="exact"/>
        <w:rPr>
          <w:rFonts w:ascii="Arial" w:cs="Arial" w:eastAsia="Arial" w:hAnsi="Arial"/>
          <w:sz w:val="22"/>
          <w:szCs w:val="22"/>
          <w:color w:val="auto"/>
        </w:rPr>
      </w:pPr>
    </w:p>
    <w:p>
      <w:pPr>
        <w:ind w:right="140" w:firstLine="958"/>
        <w:spacing w:after="0" w:line="258" w:lineRule="auto"/>
        <w:tabs>
          <w:tab w:leader="none" w:pos="1861" w:val="left"/>
        </w:tabs>
        <w:numPr>
          <w:ilvl w:val="0"/>
          <w:numId w:val="21"/>
        </w:numPr>
        <w:rPr>
          <w:rFonts w:ascii="Arial" w:cs="Arial" w:eastAsia="Arial" w:hAnsi="Arial"/>
          <w:sz w:val="21"/>
          <w:szCs w:val="21"/>
          <w:color w:val="auto"/>
        </w:rPr>
      </w:pPr>
      <w:r>
        <w:rPr>
          <w:rFonts w:ascii="Arial" w:cs="Arial" w:eastAsia="Arial" w:hAnsi="Arial"/>
          <w:sz w:val="21"/>
          <w:szCs w:val="21"/>
          <w:color w:val="auto"/>
        </w:rPr>
        <w:t>Without prejudice to the rights and remedies otherwise available to either party hereto, the Company shall be entitled to equitable relief by way of injunction or otherwise if Red Mountain, any of its Affiliates or any of their respective Representatives breaches or threatens to breach any of the provisions of this letter agreement.</w:t>
      </w:r>
    </w:p>
    <w:p>
      <w:pPr>
        <w:spacing w:after="0" w:line="166" w:lineRule="exact"/>
        <w:rPr>
          <w:rFonts w:ascii="Arial" w:cs="Arial" w:eastAsia="Arial" w:hAnsi="Arial"/>
          <w:sz w:val="21"/>
          <w:szCs w:val="21"/>
          <w:color w:val="auto"/>
        </w:rPr>
      </w:pPr>
    </w:p>
    <w:p>
      <w:pPr>
        <w:ind w:right="220" w:firstLine="958"/>
        <w:spacing w:after="0"/>
        <w:tabs>
          <w:tab w:leader="none" w:pos="1869"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6" w:lineRule="exact"/>
        <w:rPr>
          <w:rFonts w:ascii="Arial" w:cs="Arial" w:eastAsia="Arial" w:hAnsi="Arial"/>
          <w:sz w:val="22"/>
          <w:szCs w:val="22"/>
          <w:color w:val="auto"/>
        </w:rPr>
      </w:pPr>
    </w:p>
    <w:p>
      <w:pPr>
        <w:ind w:right="100" w:firstLine="958"/>
        <w:spacing w:after="0" w:line="275" w:lineRule="auto"/>
        <w:tabs>
          <w:tab w:leader="none" w:pos="1869"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This letter agreement shall be governed by and construed in accordance with the laws of the State of Delaware. Each Party hereby irrevocably and unconditionally consents to the exclusive institution and resolution of any action, suit or proceeding of any kind or nature with respect to or arising out of this letter agreement brought by any Party in the Chancery Court of the State of Delaware and the appellate courts thereof. Each Party hereby irrevocably and unconditionally waives any objection to the laying of venue of any action, suit or proceeding arising out of this letter agreement in such court, and further irrevocably and unconditionally waives and agrees not to plead or claim in any such court that any such action, suit or proceeding brought in any such court has been brought in an inconvenient forum. The Parties agree that a final judgment in any such dispute shall be conclusive and may be enforced in other jurisdictions by suits on the judgment or in any other manner provided by law.</w:t>
      </w:r>
    </w:p>
    <w:p>
      <w:pPr>
        <w:spacing w:after="0" w:line="158" w:lineRule="exact"/>
        <w:rPr>
          <w:rFonts w:ascii="Arial" w:cs="Arial" w:eastAsia="Arial" w:hAnsi="Arial"/>
          <w:sz w:val="19"/>
          <w:szCs w:val="19"/>
          <w:color w:val="auto"/>
        </w:rPr>
      </w:pPr>
    </w:p>
    <w:p>
      <w:pPr>
        <w:ind w:right="120" w:firstLine="958"/>
        <w:spacing w:after="0"/>
        <w:tabs>
          <w:tab w:leader="none" w:pos="1869"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This letter agreement contains the entire agreement between the Parties concerning the subject matter hereof, and no modification of this letter agreement or waiver of the terms and conditions hereof shall be binding unless approved in writing by the Parties.</w:t>
      </w:r>
    </w:p>
    <w:p>
      <w:pPr>
        <w:spacing w:after="0" w:line="186" w:lineRule="exact"/>
        <w:rPr>
          <w:rFonts w:ascii="Arial" w:cs="Arial" w:eastAsia="Arial" w:hAnsi="Arial"/>
          <w:sz w:val="22"/>
          <w:szCs w:val="22"/>
          <w:color w:val="auto"/>
        </w:rPr>
      </w:pPr>
    </w:p>
    <w:p>
      <w:pPr>
        <w:ind w:right="40" w:firstLine="958"/>
        <w:spacing w:after="0"/>
        <w:tabs>
          <w:tab w:leader="none" w:pos="1869"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This letter agreement shall terminate automatically upon the later to occur of (i) December 31, 2014 or (ii) the date upon which no persons affiliated with Red Mountain are serving on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Red Mountain’s obligations under paragraphs 3 and 5 shall terminate as provided for therein and in paragraph 6.</w:t>
      </w:r>
    </w:p>
    <w:p>
      <w:pPr>
        <w:spacing w:after="0" w:line="186" w:lineRule="exact"/>
        <w:rPr>
          <w:rFonts w:ascii="Arial" w:cs="Arial" w:eastAsia="Arial" w:hAnsi="Arial"/>
          <w:sz w:val="22"/>
          <w:szCs w:val="22"/>
          <w:color w:val="auto"/>
        </w:rPr>
      </w:pPr>
    </w:p>
    <w:p>
      <w:pPr>
        <w:ind w:right="740" w:firstLine="958"/>
        <w:spacing w:after="0" w:line="251" w:lineRule="auto"/>
        <w:tabs>
          <w:tab w:leader="none" w:pos="1869"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This letter agreement may be executed in two or more counterparts (including by fax and .pdf), which together shall constitute a single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line="251" w:lineRule="auto"/>
        <w:rPr>
          <w:sz w:val="20"/>
          <w:szCs w:val="20"/>
          <w:color w:val="auto"/>
        </w:rPr>
      </w:pPr>
      <w:r>
        <w:rPr>
          <w:rFonts w:ascii="Arial" w:cs="Arial" w:eastAsia="Arial" w:hAnsi="Arial"/>
          <w:sz w:val="22"/>
          <w:szCs w:val="22"/>
          <w:color w:val="auto"/>
        </w:rPr>
        <w:t>Please confirm your agreement with the foregoing by signing and returning this letter agreement to the undersigned, whereupon this letter agreement shall become a binding agreement.</w:t>
      </w:r>
    </w:p>
    <w:p>
      <w:pPr>
        <w:spacing w:after="0" w:line="1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200" w:lineRule="exact"/>
        <w:rPr>
          <w:sz w:val="20"/>
          <w:szCs w:val="20"/>
          <w:color w:val="auto"/>
        </w:rPr>
      </w:pPr>
    </w:p>
    <w:p>
      <w:pPr>
        <w:spacing w:after="0" w:line="276"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A. Levin___________</w:t>
      </w:r>
    </w:p>
    <w:p>
      <w:pPr>
        <w:ind w:left="7260"/>
        <w:spacing w:after="0" w:line="238" w:lineRule="auto"/>
        <w:rPr>
          <w:sz w:val="20"/>
          <w:szCs w:val="20"/>
          <w:color w:val="auto"/>
        </w:rPr>
      </w:pPr>
      <w:r>
        <w:rPr>
          <w:rFonts w:ascii="Arial" w:cs="Arial" w:eastAsia="Arial" w:hAnsi="Arial"/>
          <w:sz w:val="22"/>
          <w:szCs w:val="22"/>
          <w:color w:val="auto"/>
        </w:rPr>
        <w:t>Name: David A. Levin</w:t>
      </w:r>
    </w:p>
    <w:p>
      <w:pPr>
        <w:ind w:left="7260"/>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RED MOUNTAIN CAPITAL PARTNERS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Willem Mesdag____________</w:t>
      </w:r>
    </w:p>
    <w:p>
      <w:pPr>
        <w:spacing w:after="0" w:line="238" w:lineRule="auto"/>
        <w:tabs>
          <w:tab w:leader="none" w:pos="12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Willem Mesdag</w:t>
      </w:r>
    </w:p>
    <w:p>
      <w:pPr>
        <w:spacing w:after="0"/>
        <w:tabs>
          <w:tab w:leader="none" w:pos="1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Letter Agreement]</w:t>
      </w:r>
    </w:p>
    <w:p>
      <w:pPr>
        <w:sectPr>
          <w:pgSz w:w="11900" w:h="16838" w:orient="portrait"/>
          <w:cols w:equalWidth="0" w:num="1">
            <w:col w:w="11060"/>
          </w:cols>
          <w:pgMar w:left="240" w:top="361" w:right="5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17,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Date:November 17,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28, 2017,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Date:November 17,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October 28, 2017,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Date:November 17,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0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Roman"/>
      <w:start w:val="1"/>
    </w:lvl>
    <w:lvl w:ilvl="1">
      <w:lvlJc w:val="left"/>
      <w:lvlText w:val="%2."/>
      <w:numFmt w:val="decimal"/>
      <w:start w:val="3"/>
    </w:lvl>
  </w:abstractNum>
  <w:abstractNum w:abstractNumId="13">
    <w:nsid w:val="257130A3"/>
    <w:multiLevelType w:val="hybridMultilevel"/>
    <w:lvl w:ilvl="0">
      <w:lvlJc w:val="left"/>
      <w:lvlText w:val="(%1)"/>
      <w:numFmt w:val="lowerRoman"/>
      <w:start w:val="1"/>
    </w:lvl>
    <w:lvl w:ilvl="1">
      <w:lvlJc w:val="left"/>
      <w:lvlText w:val="%2."/>
      <w:numFmt w:val="decimal"/>
      <w:start w:val="4"/>
    </w:lvl>
  </w:abstractNum>
  <w:abstractNum w:abstractNumId="14">
    <w:nsid w:val="62BBD95A"/>
    <w:multiLevelType w:val="hybridMultilevel"/>
    <w:lvl w:ilvl="0">
      <w:lvlJc w:val="left"/>
      <w:lvlText w:val="%1."/>
      <w:numFmt w:val="decimal"/>
      <w:start w:val="5"/>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6"/>
    </w:lvl>
  </w:abstractNum>
  <w:abstractNum w:abstractNumId="17">
    <w:nsid w:val="333AB105"/>
    <w:multiLevelType w:val="hybridMultilevel"/>
    <w:lvl w:ilvl="0">
      <w:lvlJc w:val="left"/>
      <w:lvlText w:val="%1."/>
      <w:numFmt w:val="decimal"/>
      <w:start w:val="6"/>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7"/>
    </w:lvl>
  </w:abstractNum>
  <w:abstractNum w:abstractNumId="20">
    <w:nsid w:val="2D1D5AE9"/>
    <w:multiLevelType w:val="hybridMultilevel"/>
    <w:lvl w:ilvl="0">
      <w:lvlJc w:val="left"/>
      <w:lvlText w:val="%1."/>
      <w:numFmt w:val="decimal"/>
      <w:start w:val="10"/>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2019-12-29T02:51:08Z</dcterms:created>
  <dcterms:modified xsi:type="dcterms:W3CDTF">2019-12-29T02:51:08Z</dcterms:modified>
</cp:coreProperties>
</file>