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68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0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8"/>
              </w:rPr>
              <w:t>01-34219</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68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2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7"/>
        </w:trPr>
        <w:tc>
          <w:tcPr>
            <w:tcW w:w="36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250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90"/>
        </w:trPr>
        <w:tc>
          <w:tcPr>
            <w:tcW w:w="3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0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Credit Facility with Bank of America, N.A.</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October 30, 2014, Destination XL Group, Inc. (the “Company”) amended its credit facility with Bank of America, N.A, effective October 29, 2014, by executing the Second Amendment to the Sixth Amended and Restated Loan and Security Agreement dated as of November 10, 2010, as amended by the First Amendment to Sixth Amended and Restated Loan and Security Agreement, the First Amendment to Amended and Restated Guaranty Agreement, the First Amendment to Amended and Restated Security Agreement, and the Termination Agreement, dated as of June 26, 2013 (collectively, the “Amended Credit Facility”).</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Amended Credit Facility provides for an increase in the maximum committed borrowings from $100 million to $125 million. The Amended Credit Facility continues to include, pursuant to an accordion feature, the ability to increase the Amended Credit Facility by an additional $50 million upon the request of the Company and the agreement of the lender(s) participating in the increase. There were no changes to the sublimit of $20 million for commercial and standby letter of credits or the sublimit of up to $15 million for Swingline Loans. The Company’s ability to borrow under the Amended Credit Facility (the “Loan Cap”) is determined using an availability formula based on eligible assets. The Amended Credit Facility requires the Company to maintain a minimum consolidated fixed charge coverage ratio of 1.0:1.0 if its excess availability under the Amended Credit Facility fails to be equal to or greater than the greater of 10% of the Loan Cap and $7.5 million.</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Borrowings made pursuant to the Amended Credit Facility will bear interest at a rate equal to the base rate (determined as the highest of (a) Bank of America N.A.’s prime rate, (b) the Federal Funds rate plus 0.50%, or (c) the one month ICE LIBOR rate) plus a varying percentage, based on the Company’s borrowing base, of 0.50%-0.75% for prime-based borrowings and 1.50%-1.75% for ICE LIBOR-based borrowings. The Amended Credit Facility will be used for working capital, capital expenditures and other general corporate purposes of the Company.</w:t>
      </w:r>
    </w:p>
    <w:p>
      <w:pPr>
        <w:spacing w:after="0" w:line="18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maturity date of the Amended Credit Facility was extended from June 26, 2018 to October 29, 2019. The Company’s obligations under the Amended Credit Facility are secured by a lien on substantially all of its assets, excluding (i) a first priority lien held by the lenders of the Term Loan Facility on certain equipment of the Company and (ii) intellectual property.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Pursuant to the Term Loan Facility, the Company borrowed an aggregate principal amount equal to $15 million, less closing fees and expenses. The proceeds from the Term Loan Facility will be used to repay borrowings under the Amended Credit Facility.</w:t>
      </w:r>
    </w:p>
    <w:p>
      <w:pPr>
        <w:sectPr>
          <w:pgSz w:w="11900" w:h="16838" w:orient="portrait"/>
          <w:cols w:equalWidth="0" w:num="1">
            <w:col w:w="11380"/>
          </w:cols>
          <w:pgMar w:left="240" w:top="266" w:right="279" w:bottom="1440" w:gutter="0" w:footer="0" w:header="0"/>
        </w:sectPr>
      </w:pPr>
    </w:p>
    <w:bookmarkStart w:id="2" w:name="page3"/>
    <w:bookmarkEnd w:id="2"/>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amounts advanced under the Term Loan Facility bear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Term Loan Facility provides for quarterly amortization payments on the first business day of each calendar quarter, commencing the first business day of January 2015, in an aggregate principal amount equal to $250,000, subject to adjustment, with the balance payable on the termination date.</w:t>
      </w:r>
    </w:p>
    <w:p>
      <w:pPr>
        <w:spacing w:after="0" w:line="16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the first anniversary of the Effective Date;</w:t>
      </w:r>
    </w:p>
    <w:p>
      <w:pPr>
        <w:spacing w:after="0" w:line="2" w:lineRule="exact"/>
        <w:rPr>
          <w:sz w:val="20"/>
          <w:szCs w:val="20"/>
          <w:color w:val="auto"/>
        </w:rPr>
      </w:pPr>
    </w:p>
    <w:p>
      <w:pPr>
        <w:ind w:right="300"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the amount prepaid if the prepayment is after the first anniversary, but prior to the second anniversary, of the Effective Date; and (c) 1% of the amount prepaid if the prepayment is after the second anniversary, but prior to the third anniversary, of the Effective Date. There is no prepayment penalty after the third anniversary of the Effective Date.</w:t>
      </w:r>
    </w:p>
    <w:p>
      <w:pPr>
        <w:spacing w:after="0" w:line="18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under Item 1.01 above is incorporated herein by reference.</w:t>
      </w:r>
    </w:p>
    <w:p>
      <w:pPr>
        <w:sectPr>
          <w:pgSz w:w="11900" w:h="16838" w:orient="portrait"/>
          <w:cols w:equalWidth="0" w:num="1">
            <w:col w:w="11360"/>
          </w:cols>
          <w:pgMar w:left="240" w:top="270" w:right="29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25" w:lineRule="exact"/>
        <w:rPr>
          <w:sz w:val="20"/>
          <w:szCs w:val="20"/>
          <w:color w:val="auto"/>
        </w:rPr>
      </w:pPr>
    </w:p>
    <w:p>
      <w:pPr>
        <w:spacing w:after="0"/>
        <w:tabs>
          <w:tab w:leader="none" w:pos="5880" w:val="left"/>
          <w:tab w:leader="none" w:pos="7860" w:val="left"/>
          <w:tab w:leader="none" w:pos="8200" w:val="left"/>
        </w:tabs>
        <w:rPr>
          <w:sz w:val="20"/>
          <w:szCs w:val="20"/>
          <w:color w:val="auto"/>
        </w:rPr>
      </w:pPr>
      <w:r>
        <w:rPr>
          <w:rFonts w:ascii="Times New Roman" w:cs="Times New Roman" w:eastAsia="Times New Roman" w:hAnsi="Times New Roman"/>
          <w:sz w:val="18"/>
          <w:szCs w:val="18"/>
          <w:color w:val="auto"/>
        </w:rPr>
        <w:t>Date: October 31,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Robert S. Molloy</w:t>
      </w:r>
    </w:p>
    <w:p>
      <w:pPr>
        <w:spacing w:after="0" w:line="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Senior Vice President, General Counsel and Secretary</w:t>
      </w:r>
    </w:p>
    <w:sectPr>
      <w:pgSz w:w="11900" w:h="16838" w:orient="portrait"/>
      <w:cols w:equalWidth="0" w:num="1">
        <w:col w:w="11220"/>
      </w:cols>
      <w:pgMar w:left="2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2019-12-06T00:21:32Z</dcterms:created>
  <dcterms:modified xsi:type="dcterms:W3CDTF">2019-12-06T00:21:32Z</dcterms:modified>
</cp:coreProperties>
</file>