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720" w:right="4700" w:firstLine="262"/>
        <w:spacing w:after="0" w:line="466" w:lineRule="auto"/>
        <w:tabs>
          <w:tab w:leader="none" w:pos="514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2)</w:t>
      </w:r>
      <w:r>
        <w:rPr>
          <w:rFonts w:ascii="Times New Roman" w:cs="Times New Roman" w:eastAsia="Times New Roman" w:hAnsi="Times New Roman"/>
          <w:sz w:val="11"/>
          <w:szCs w:val="11"/>
          <w:color w:val="auto"/>
        </w:rPr>
        <w:t>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Destination XL Group,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Common Stock, par value $0.01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25065K104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Kenneth Mantel, Esq.</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Olshan Frome Wolosky LLP</w:t>
      </w:r>
    </w:p>
    <w:p>
      <w:pPr>
        <w:jc w:val="center"/>
        <w:ind w:right="-19"/>
        <w:spacing w:after="0" w:line="235" w:lineRule="auto"/>
        <w:rPr>
          <w:sz w:val="20"/>
          <w:szCs w:val="20"/>
          <w:color w:val="auto"/>
        </w:rPr>
      </w:pPr>
      <w:r>
        <w:rPr>
          <w:rFonts w:ascii="Times New Roman" w:cs="Times New Roman" w:eastAsia="Times New Roman" w:hAnsi="Times New Roman"/>
          <w:sz w:val="22"/>
          <w:szCs w:val="22"/>
          <w:color w:val="auto"/>
        </w:rPr>
        <w:t>1325 Avenue of the Americas</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New York, New York 10019</w:t>
      </w:r>
    </w:p>
    <w:p>
      <w:pPr>
        <w:jc w:val="center"/>
        <w:ind w:right="-19"/>
        <w:spacing w:after="0" w:line="230" w:lineRule="auto"/>
        <w:rPr>
          <w:sz w:val="20"/>
          <w:szCs w:val="20"/>
          <w:color w:val="auto"/>
        </w:rPr>
      </w:pPr>
      <w:r>
        <w:rPr>
          <w:rFonts w:ascii="Times New Roman" w:cs="Times New Roman" w:eastAsia="Times New Roman" w:hAnsi="Times New Roman"/>
          <w:sz w:val="22"/>
          <w:szCs w:val="22"/>
          <w:u w:val="single" w:color="auto"/>
          <w:color w:val="auto"/>
        </w:rPr>
        <w:t>(212) 451-2300</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August 9, 2024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8"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Fund 1 Investments,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5,732,261</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5,732,261</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5,732,261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 HC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Amendment No. 2 to the Schedule 13D filed by the undersigned (“Amendment No. 2”).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amends the Schedule 13D as specifically set forth herein.</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6 is hereby amended and restated to read as follows: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Reporting Person has entered into certain cash-settled swap agreements with an unaffiliated third-party financial institution (the “Cash-Settled Swaps”). Collectively, the Cash-Settled Swaps held by the Reporting Person represent economic exposure to an aggregate of 5,728,573 notional Shares, representing approximately 9.8% of the outstanding Shares. The Cash-Settled Swaps provide the Reporting Person with economic results that are comparable to the economic results of ownership, but do not provide it with the power to vote or direct the voting, or dispose of or direct the disposition, of the Shares that are subject to the Cash-Settled Swaps.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between the Reporting Person and any other person, with respect to the securities of the Issuer.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25065K104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13, 2024</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FUND 1 INVESTMENTS,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Benjamin C. Cable</w:t>
            </w:r>
          </w:p>
        </w:tc>
      </w:tr>
      <w:tr>
        <w:trPr>
          <w:trHeight w:val="191"/>
        </w:trPr>
        <w:tc>
          <w:tcPr>
            <w:tcW w:w="68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Benjamin C. Cable</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2024-08-13T16:22:40Z</dcterms:created>
  <dcterms:modified xsi:type="dcterms:W3CDTF">2024-08-13T16:22:40Z</dcterms:modified>
</cp:coreProperties>
</file>