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right="5320"/>
        <w:spacing w:after="0" w:line="270"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SECURITIES AND EXCHANGE COMMISSION Washington, D.C. 20549</w:t>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SCHEDULE 13G</w:t>
      </w:r>
    </w:p>
    <w:p>
      <w:pPr>
        <w:spacing w:after="0" w:line="3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75"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to designate the rule pursuant to which this Schedule is filed:</w:t>
      </w:r>
    </w:p>
    <w:p>
      <w:pPr>
        <w:spacing w:after="0" w:line="4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25065K104</w:t>
      </w:r>
    </w:p>
    <w:p>
      <w:pPr>
        <w:spacing w:after="0" w:line="3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2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40" w:hanging="921"/>
        <w:spacing w:after="0"/>
        <w:tabs>
          <w:tab w:leader="none" w:pos="940"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4"/>
          <w:szCs w:val="2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JAPAN</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HC</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(1) Shared voting and dispositive power represents 2,808,157 shares of Common Stock beneficially owned by Nomura Global Financial Products, Inc.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("NGFP"). NGFP is a wholly owned subsidiary of Nomura Holdings, Inc., which accordingly may be deemed to beneficially own the shares of Common Stock beneficially owned by NGFP. (2) The percent of class is calculated based on 54,307,237 shares of Common Stock outstanding as of November 13, 2024, as reported in the Issuer's quarterly report on Form 10-Q for the fiscal quarter ended November 2, 2024 filed with the SEC on November 22, 2024.</w:t>
      </w:r>
    </w:p>
    <w:p>
      <w:pPr>
        <w:sectPr>
          <w:pgSz w:w="11900" w:h="16838" w:orient="portrait"/>
          <w:cols w:equalWidth="0" w:num="1">
            <w:col w:w="11240"/>
          </w:cols>
          <w:pgMar w:left="300" w:top="625" w:right="35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ectPr>
          <w:pgSz w:w="11900" w:h="16838" w:orient="portrait"/>
          <w:cols w:equalWidth="0" w:num="1">
            <w:col w:w="11240"/>
          </w:cols>
          <w:pgMar w:left="300" w:top="625" w:right="359" w:bottom="0" w:gutter="0" w:footer="0" w:header="0"/>
          <w:type w:val="continuous"/>
        </w:sectPr>
      </w:pPr>
    </w:p>
    <w:bookmarkStart w:id="1" w:name="page2"/>
    <w:bookmarkEnd w:id="1"/>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25065K104</w:t>
      </w:r>
    </w:p>
    <w:p>
      <w:pPr>
        <w:spacing w:after="0" w:line="3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40" w:hanging="921"/>
        <w:spacing w:after="0"/>
        <w:tabs>
          <w:tab w:leader="none" w:pos="940" w:val="left"/>
        </w:tabs>
        <w:numPr>
          <w:ilvl w:val="0"/>
          <w:numId w:val="3"/>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40" w:hanging="921"/>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2,808,157.00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BD</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(3) The percent of class is calculated based on 54,307,237 shares of Common Stock outstanding as of November 13, 2024, as reported in the Issuer's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report on Form 10-Q for the fiscal quarter ended November 2, 2024 filed with the SEC on November 22, 2024.</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DESTINATION XL GROUP,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555 Turnpike Street, Canton, Massachusetts, 02021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2.</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person filing:</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 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or principal business office or, if none, residence:</w:t>
      </w:r>
    </w:p>
    <w:p>
      <w:pPr>
        <w:spacing w:after="0" w:line="163" w:lineRule="exact"/>
        <w:rPr>
          <w:sz w:val="20"/>
          <w:szCs w:val="20"/>
          <w:color w:val="auto"/>
        </w:rPr>
      </w:pPr>
    </w:p>
    <w:p>
      <w:pPr>
        <w:ind w:left="940" w:hanging="921"/>
        <w:spacing w:after="0"/>
        <w:tabs>
          <w:tab w:leader="none" w:pos="9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Nomura Holdings, Inc.: 13-1, Nihonbashi 1-chome, Chuo-ku, Tokyo 103-8645, Japan Nomura Global Financial Products, Inc.: Worldwide Plaza 309 West 49th Street New York, NY 10019</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Nomura Holdings, Inc.: Japan Nomura Global Financial Products, Inc.: Delaware</w:t>
            </w:r>
          </w:p>
        </w:tc>
        <w:tc>
          <w:tcPr>
            <w:tcW w:w="0" w:type="dxa"/>
            <w:vAlign w:val="bottom"/>
          </w:tcPr>
          <w:p>
            <w:pPr>
              <w:spacing w:after="0"/>
              <w:rPr>
                <w:sz w:val="1"/>
                <w:szCs w:val="1"/>
                <w:color w:val="auto"/>
              </w:rPr>
            </w:pPr>
          </w:p>
        </w:tc>
      </w:tr>
      <w:tr>
        <w:trPr>
          <w:trHeight w:val="18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Title of class of securities: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CUSIP No.:</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25065K104</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Broker or dealer registered under section 15 of the Act (15 U.S.C. 78o);</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Bank as defined in section 3(a)(6)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Insurance company as defined in section 3(a)(19)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investment adviser in accordance with § 240.13d-1(b)(1)(ii)(E);</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employee benefit plan or endowment fund in accordance with § 240.13d-1(b)(1)(ii)(F);</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parent holding company or control person in accordance with § 240.13d-1(b)(1)(ii)(G);</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church plan that is excluded from the definition of an investment company under section 3(c)(14) of the Investment Company Act of 1940 (15 U.S.C. 80a-3);</w:t>
            </w:r>
          </w:p>
        </w:tc>
        <w:tc>
          <w:tcPr>
            <w:tcW w:w="0" w:type="dxa"/>
            <w:vAlign w:val="bottom"/>
          </w:tcPr>
          <w:p>
            <w:pPr>
              <w:spacing w:after="0"/>
              <w:rPr>
                <w:sz w:val="1"/>
                <w:szCs w:val="1"/>
                <w:color w:val="auto"/>
              </w:rPr>
            </w:pPr>
          </w:p>
        </w:tc>
      </w:tr>
      <w:tr>
        <w:trPr>
          <w:trHeight w:val="18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non-U.S. institution in accordance with § 240.13d-1(b)(1)(ii)(J). If filing as a non-U.S. institution in accordance with § 240.13d-1(b)(1)(ii)(J),</w:t>
            </w:r>
          </w:p>
        </w:tc>
        <w:tc>
          <w:tcPr>
            <w:tcW w:w="0" w:type="dxa"/>
            <w:vAlign w:val="bottom"/>
          </w:tcPr>
          <w:p>
            <w:pPr>
              <w:spacing w:after="0"/>
              <w:rPr>
                <w:sz w:val="1"/>
                <w:szCs w:val="1"/>
                <w:color w:val="auto"/>
              </w:rPr>
            </w:pPr>
          </w:p>
        </w:tc>
      </w:tr>
      <w:tr>
        <w:trPr>
          <w:trHeight w:val="98"/>
        </w:trPr>
        <w:tc>
          <w:tcPr>
            <w:tcW w:w="660" w:type="dxa"/>
            <w:vAlign w:val="bottom"/>
            <w:vMerge w:val="continue"/>
          </w:tcPr>
          <w:p>
            <w:pPr>
              <w:spacing w:after="0"/>
              <w:rPr>
                <w:sz w:val="8"/>
                <w:szCs w:val="8"/>
                <w:color w:val="auto"/>
              </w:rPr>
            </w:pPr>
          </w:p>
        </w:tc>
        <w:tc>
          <w:tcPr>
            <w:tcW w:w="9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please specify the type of institution:</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-1398905</wp:posOffset>
            </wp:positionV>
            <wp:extent cx="8572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-1267460</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-1136015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-1004570</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-873125</wp:posOffset>
            </wp:positionV>
            <wp:extent cx="857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-741680</wp:posOffset>
            </wp:positionV>
            <wp:extent cx="857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-610235</wp:posOffset>
            </wp:positionV>
            <wp:extent cx="857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-478790</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-347345</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-215900</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940" w:hanging="92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
          <w:szCs w:val="1"/>
          <w:color w:val="auto"/>
        </w:rPr>
        <w:drawing>
          <wp:inline distT="0" distB="0" distL="0" distR="0">
            <wp:extent cx="8572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Group, in accordance with Rule 240.13d-1(b)(1)(ii)(K).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Ownership</w:t>
            </w: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 beneficially owned:</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4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w:t>
            </w:r>
          </w:p>
        </w:tc>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Percent of class: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Nomura Holdings, Inc.: 5.2 % Nomura Global Financial Products, Inc.: 5.2 %</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4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72" w:orient="portrait"/>
          <w:cols w:equalWidth="0" w:num="1">
            <w:col w:w="11180"/>
          </w:cols>
          <w:pgMar w:left="300" w:top="173" w:right="419" w:bottom="0" w:gutter="0" w:footer="0" w:header="0"/>
        </w:sectPr>
      </w:pPr>
    </w:p>
    <w:bookmarkStart w:id="2" w:name="page3"/>
    <w:bookmarkEnd w:id="2"/>
    <w:p>
      <w:pPr>
        <w:ind w:left="921" w:hanging="921"/>
        <w:spacing w:after="0"/>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as to which the person has:</w:t>
      </w:r>
    </w:p>
    <w:p>
      <w:pPr>
        <w:spacing w:after="0" w:line="36" w:lineRule="exact"/>
        <w:rPr>
          <w:rFonts w:ascii="Times New Roman" w:cs="Times New Roman" w:eastAsia="Times New Roman" w:hAnsi="Times New Roman"/>
          <w:sz w:val="14"/>
          <w:szCs w:val="14"/>
          <w:color w:val="auto"/>
        </w:rPr>
      </w:pPr>
    </w:p>
    <w:p>
      <w:pPr>
        <w:ind w:left="92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Sole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(ii) Shared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right="6840" w:hanging="3"/>
        <w:spacing w:after="0" w:line="509" w:lineRule="auto"/>
        <w:tabs>
          <w:tab w:leader="none" w:pos="117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dispose or to direct the disposition of: Items 5-11 of the cover pages are incorporated by reference.</w:t>
      </w:r>
    </w:p>
    <w:p>
      <w:pPr>
        <w:spacing w:after="0" w:line="1" w:lineRule="exact"/>
        <w:rPr>
          <w:rFonts w:ascii="Times New Roman" w:cs="Times New Roman" w:eastAsia="Times New Roman" w:hAnsi="Times New Roman"/>
          <w:sz w:val="14"/>
          <w:szCs w:val="14"/>
          <w:color w:val="auto"/>
        </w:rPr>
      </w:pPr>
    </w:p>
    <w:p>
      <w:pPr>
        <w:ind w:left="921" w:right="6840" w:hanging="3"/>
        <w:spacing w:after="0" w:line="509" w:lineRule="auto"/>
        <w:tabs>
          <w:tab w:leader="none" w:pos="116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dispose or to direct the disposition of: Items 5-11 of the cover pages are incorporated by reference.</w:t>
      </w:r>
    </w:p>
    <w:p>
      <w:pPr>
        <w:spacing w:after="0" w:line="1"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color w:val="auto"/>
        </w:rPr>
        <w:t>Ownership of 5 Percent or Less of a Class.</w:t>
      </w:r>
    </w:p>
    <w:p>
      <w:pPr>
        <w:spacing w:after="0" w:line="235"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color w:val="auto"/>
        </w:rPr>
        <w:t>Ownership of more than 5 Percent on Behalf of Another Person.</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jc w:val="both"/>
        <w:ind w:left="921"/>
        <w:spacing w:after="0" w:line="261" w:lineRule="auto"/>
        <w:rPr>
          <w:sz w:val="20"/>
          <w:szCs w:val="20"/>
          <w:color w:val="auto"/>
        </w:rPr>
      </w:pPr>
      <w:r>
        <w:rPr>
          <w:rFonts w:ascii="Times New Roman" w:cs="Times New Roman" w:eastAsia="Times New Roman" w:hAnsi="Times New Roman"/>
          <w:sz w:val="14"/>
          <w:szCs w:val="14"/>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85"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See Exhibit B</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4"/>
          <w:szCs w:val="14"/>
          <w:color w:val="auto"/>
        </w:rPr>
        <w:t>Identification and Classification of Members of the Group.</w:t>
      </w:r>
    </w:p>
    <w:p>
      <w:pPr>
        <w:spacing w:after="0" w:line="37" w:lineRule="exact"/>
        <w:rPr>
          <w:sz w:val="20"/>
          <w:szCs w:val="20"/>
          <w:color w:val="auto"/>
        </w:rPr>
      </w:pPr>
    </w:p>
    <w:p>
      <w:pPr>
        <w:jc w:val="center"/>
        <w:ind w:right="8499"/>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color w:val="auto"/>
        </w:rPr>
        <w:t>Notice of Dissolution of Group.</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color w:val="auto"/>
        </w:rPr>
        <w:t>Certifications:</w:t>
      </w:r>
    </w:p>
    <w:p>
      <w:pPr>
        <w:spacing w:after="0" w:line="37" w:lineRule="exact"/>
        <w:rPr>
          <w:sz w:val="20"/>
          <w:szCs w:val="20"/>
          <w:color w:val="auto"/>
        </w:rPr>
      </w:pPr>
    </w:p>
    <w:p>
      <w:pPr>
        <w:ind w:left="921" w:right="40"/>
        <w:spacing w:after="0" w:line="261" w:lineRule="auto"/>
        <w:rPr>
          <w:sz w:val="20"/>
          <w:szCs w:val="20"/>
          <w:color w:val="auto"/>
        </w:rPr>
      </w:pPr>
      <w:r>
        <w:rPr>
          <w:rFonts w:ascii="Times New Roman" w:cs="Times New Roman" w:eastAsia="Times New Roman" w:hAnsi="Times New Roman"/>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7"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981"/>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1821"/>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Managing Director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02/14/2025</w:t>
      </w:r>
    </w:p>
    <w:p>
      <w:pPr>
        <w:spacing w:after="0" w:line="109" w:lineRule="exact"/>
        <w:rPr>
          <w:sz w:val="20"/>
          <w:szCs w:val="20"/>
          <w:color w:val="auto"/>
        </w:rPr>
      </w:pPr>
    </w:p>
    <w:p>
      <w:pPr>
        <w:ind w:left="3261"/>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Authorized Officer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02/14/2025</w:t>
      </w:r>
    </w:p>
    <w:p>
      <w:pPr>
        <w:spacing w:after="0" w:line="80" w:lineRule="exact"/>
        <w:rPr>
          <w:sz w:val="20"/>
          <w:szCs w:val="20"/>
          <w:color w:val="auto"/>
        </w:rPr>
      </w:pPr>
    </w:p>
    <w:p>
      <w:pPr>
        <w:jc w:val="center"/>
        <w:ind w:right="7819"/>
        <w:spacing w:after="0"/>
        <w:rPr>
          <w:sz w:val="20"/>
          <w:szCs w:val="20"/>
          <w:color w:val="auto"/>
        </w:rPr>
      </w:pPr>
      <w:r>
        <w:rPr>
          <w:rFonts w:ascii="Times New Roman" w:cs="Times New Roman" w:eastAsia="Times New Roman" w:hAnsi="Times New Roman"/>
          <w:sz w:val="14"/>
          <w:szCs w:val="14"/>
          <w:b w:val="1"/>
          <w:bCs w:val="1"/>
          <w:color w:val="auto"/>
        </w:rPr>
        <w:t>Exhibit Information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Exhibit A - Joint Filing Agreement Exhibit B - Subsidiaries</w:t>
      </w:r>
    </w:p>
    <w:p>
      <w:pPr>
        <w:sectPr>
          <w:pgSz w:w="11900" w:h="16838" w:orient="portrait"/>
          <w:cols w:equalWidth="0" w:num="1">
            <w:col w:w="11221"/>
          </w:cols>
          <w:pgMar w:left="319" w:top="121" w:right="3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JOINT FILING AGREEMENT</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February 14,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Holdings,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Authorized Officer</w:t>
      </w:r>
    </w:p>
    <w:p>
      <w:pPr>
        <w:sectPr>
          <w:pgSz w:w="11900" w:h="16838" w:orient="portrait"/>
          <w:cols w:equalWidth="0" w:num="1">
            <w:col w:w="11160"/>
          </w:cols>
          <w:pgMar w:left="300" w:top="125" w:right="439" w:bottom="1440" w:gutter="0" w:footer="0" w:header="0"/>
        </w:sectPr>
      </w:pPr>
    </w:p>
    <w:bookmarkStart w:id="4" w:name="page5"/>
    <w:bookmarkEnd w:id="4"/>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2"/>
          <w:szCs w:val="12"/>
          <w:b w:val="1"/>
          <w:bCs w:val="1"/>
          <w:color w:val="auto"/>
        </w:rPr>
        <w:t>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 is a wholly owned subsidiary of Nomura Holdings, Inc.</w:t>
      </w:r>
    </w:p>
    <w:sectPr>
      <w:pgSz w:w="11900" w:h="16838" w:orient="portrait"/>
      <w:cols w:equalWidth="0" w:num="1">
        <w:col w:w="10159"/>
      </w:cols>
      <w:pgMar w:left="3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2025-02-14T16:20:46Z</dcterms:created>
  <dcterms:modified xsi:type="dcterms:W3CDTF">2025-02-14T16:20:46Z</dcterms:modified>
</cp:coreProperties>
</file>