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172720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4280" w:type="dxa"/>
            <w:vAlign w:val="bottom"/>
          </w:tcPr>
          <w:p>
            <w:pPr>
              <w:jc w:val="center"/>
              <w:ind w:right="1662"/>
              <w:spacing w:after="0"/>
              <w:rPr>
                <w:sz w:val="20"/>
                <w:szCs w:val="20"/>
                <w:color w:val="auto"/>
              </w:rPr>
            </w:pPr>
            <w:r>
              <w:rPr>
                <w:rFonts w:ascii="Arial" w:cs="Arial" w:eastAsia="Arial" w:hAnsi="Arial"/>
                <w:sz w:val="18"/>
                <w:szCs w:val="18"/>
                <w:b w:val="1"/>
                <w:bCs w:val="1"/>
                <w:color w:val="auto"/>
                <w:w w:val="88"/>
              </w:rPr>
              <w:t>Delaware</w:t>
            </w:r>
          </w:p>
        </w:tc>
        <w:tc>
          <w:tcPr>
            <w:tcW w:w="3840" w:type="dxa"/>
            <w:vAlign w:val="bottom"/>
          </w:tcPr>
          <w:p>
            <w:pPr>
              <w:jc w:val="right"/>
              <w:ind w:right="54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4280" w:type="dxa"/>
            <w:vAlign w:val="bottom"/>
          </w:tcPr>
          <w:p>
            <w:pPr>
              <w:jc w:val="center"/>
              <w:ind w:right="1662"/>
              <w:spacing w:after="0"/>
              <w:rPr>
                <w:sz w:val="20"/>
                <w:szCs w:val="20"/>
                <w:color w:val="auto"/>
              </w:rPr>
            </w:pPr>
            <w:r>
              <w:rPr>
                <w:rFonts w:ascii="Arial" w:cs="Arial" w:eastAsia="Arial" w:hAnsi="Arial"/>
                <w:sz w:val="14"/>
                <w:szCs w:val="14"/>
                <w:b w:val="1"/>
                <w:bCs w:val="1"/>
                <w:color w:val="auto"/>
                <w:w w:val="88"/>
              </w:rPr>
              <w:t>(State or incorporation or organization)</w:t>
            </w:r>
          </w:p>
        </w:tc>
        <w:tc>
          <w:tcPr>
            <w:tcW w:w="3840" w:type="dxa"/>
            <w:vAlign w:val="bottom"/>
          </w:tcPr>
          <w:p>
            <w:pPr>
              <w:jc w:val="center"/>
              <w:ind w:left="170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4280" w:type="dxa"/>
            <w:vAlign w:val="bottom"/>
          </w:tcPr>
          <w:p>
            <w:pPr>
              <w:jc w:val="center"/>
              <w:ind w:right="1682"/>
              <w:spacing w:after="0"/>
              <w:rPr>
                <w:sz w:val="20"/>
                <w:szCs w:val="20"/>
                <w:color w:val="auto"/>
              </w:rPr>
            </w:pPr>
            <w:r>
              <w:rPr>
                <w:rFonts w:ascii="Arial" w:cs="Arial" w:eastAsia="Arial" w:hAnsi="Arial"/>
                <w:sz w:val="18"/>
                <w:szCs w:val="18"/>
                <w:b w:val="1"/>
                <w:bCs w:val="1"/>
                <w:color w:val="auto"/>
                <w:w w:val="90"/>
              </w:rPr>
              <w:t>555 Turnpike Street, Canton, MA</w:t>
            </w:r>
          </w:p>
        </w:tc>
        <w:tc>
          <w:tcPr>
            <w:tcW w:w="3840" w:type="dxa"/>
            <w:vAlign w:val="bottom"/>
          </w:tcPr>
          <w:p>
            <w:pPr>
              <w:jc w:val="right"/>
              <w:ind w:right="742"/>
              <w:spacing w:after="0"/>
              <w:rPr>
                <w:sz w:val="20"/>
                <w:szCs w:val="20"/>
                <w:color w:val="auto"/>
              </w:rPr>
            </w:pPr>
            <w:r>
              <w:rPr>
                <w:rFonts w:ascii="Arial" w:cs="Arial" w:eastAsia="Arial" w:hAnsi="Arial"/>
                <w:sz w:val="18"/>
                <w:szCs w:val="18"/>
                <w:b w:val="1"/>
                <w:bCs w:val="1"/>
                <w:color w:val="auto"/>
              </w:rPr>
              <w:t>02021</w:t>
            </w:r>
          </w:p>
        </w:tc>
      </w:tr>
      <w:tr>
        <w:trPr>
          <w:trHeight w:val="174"/>
        </w:trPr>
        <w:tc>
          <w:tcPr>
            <w:tcW w:w="4280" w:type="dxa"/>
            <w:vAlign w:val="bottom"/>
          </w:tcPr>
          <w:p>
            <w:pPr>
              <w:jc w:val="center"/>
              <w:ind w:right="16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840" w:type="dxa"/>
            <w:vAlign w:val="bottom"/>
          </w:tcPr>
          <w:p>
            <w:pPr>
              <w:jc w:val="center"/>
              <w:ind w:left="1702"/>
              <w:spacing w:after="0"/>
              <w:rPr>
                <w:sz w:val="20"/>
                <w:szCs w:val="20"/>
                <w:color w:val="auto"/>
              </w:rPr>
            </w:pPr>
            <w:r>
              <w:rPr>
                <w:rFonts w:ascii="Arial" w:cs="Arial" w:eastAsia="Arial" w:hAnsi="Arial"/>
                <w:sz w:val="14"/>
                <w:szCs w:val="14"/>
                <w:b w:val="1"/>
                <w:bCs w:val="1"/>
                <w:color w:val="auto"/>
                <w:w w:val="89"/>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760"/>
        <w:spacing w:after="0" w:line="232" w:lineRule="exact"/>
        <w:rPr>
          <w:sz w:val="20"/>
          <w:szCs w:val="20"/>
          <w:color w:val="auto"/>
        </w:rPr>
      </w:pPr>
      <w:r>
        <w:rPr>
          <w:rFonts w:ascii="Arial" w:cs="Arial" w:eastAsia="Arial" w:hAnsi="Arial"/>
          <w:sz w:val="18"/>
          <w:szCs w:val="18"/>
          <w:b w:val="1"/>
          <w:bCs w:val="1"/>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highlight w:val="black"/>
        </w:rPr>
        <w:t>☒</w:t>
      </w:r>
    </w:p>
    <w:p>
      <w:pPr>
        <w:spacing w:after="0" w:line="130" w:lineRule="exact"/>
        <w:rPr>
          <w:sz w:val="24"/>
          <w:szCs w:val="24"/>
          <w:color w:val="auto"/>
        </w:rPr>
      </w:pPr>
    </w:p>
    <w:p>
      <w:pPr>
        <w:ind w:right="780"/>
        <w:spacing w:after="0" w:line="232" w:lineRule="exact"/>
        <w:rPr>
          <w:sz w:val="20"/>
          <w:szCs w:val="20"/>
          <w:color w:val="auto"/>
        </w:rPr>
      </w:pPr>
      <w:r>
        <w:rPr>
          <w:rFonts w:ascii="Arial" w:cs="Arial" w:eastAsia="Arial" w:hAnsi="Arial"/>
          <w:sz w:val="18"/>
          <w:szCs w:val="18"/>
          <w:b w:val="1"/>
          <w:bCs w:val="1"/>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8"/>
          <w:szCs w:val="18"/>
          <w:color w:val="auto"/>
          <w:highlight w:val="black"/>
        </w:rPr>
        <w:t>☐</w:t>
      </w:r>
    </w:p>
    <w:p>
      <w:pPr>
        <w:spacing w:after="0" w:line="130" w:lineRule="exact"/>
        <w:rPr>
          <w:sz w:val="24"/>
          <w:szCs w:val="24"/>
          <w:color w:val="auto"/>
        </w:rPr>
      </w:pPr>
    </w:p>
    <w:p>
      <w:pPr>
        <w:ind w:right="4580"/>
        <w:spacing w:after="0" w:line="462" w:lineRule="auto"/>
        <w:rPr>
          <w:sz w:val="20"/>
          <w:szCs w:val="20"/>
          <w:color w:val="auto"/>
        </w:rPr>
      </w:pPr>
      <w:r>
        <w:rPr>
          <w:rFonts w:ascii="Arial" w:cs="Arial" w:eastAsia="Arial" w:hAnsi="Arial"/>
          <w:sz w:val="18"/>
          <w:szCs w:val="18"/>
          <w:b w:val="1"/>
          <w:bCs w:val="1"/>
          <w:color w:val="auto"/>
        </w:rPr>
        <w:t>Securities Act registration statement file number to which this form relates: Not Applicable Securities to be registered pursuant to Section 12(b) of the Act:</w:t>
      </w:r>
    </w:p>
    <w:tbl>
      <w:tblPr>
        <w:tblLayout w:type="fixed"/>
        <w:tblInd w:w="0" w:type="dxa"/>
        <w:tblCellMar>
          <w:top w:w="0" w:type="dxa"/>
          <w:left w:w="0" w:type="dxa"/>
          <w:bottom w:w="0" w:type="dxa"/>
          <w:right w:w="0" w:type="dxa"/>
        </w:tblCellMar>
      </w:tblPr>
      <w:tr>
        <w:trPr>
          <w:trHeight w:val="150"/>
        </w:trPr>
        <w:tc>
          <w:tcPr>
            <w:tcW w:w="5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7"/>
              </w:rPr>
              <w:t>Name of Each Exchange on Which</w:t>
            </w:r>
          </w:p>
        </w:tc>
      </w:tr>
      <w:tr>
        <w:trPr>
          <w:trHeight w:val="174"/>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Title of Each Class to be so Registered</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Each Class is to be Registered</w:t>
            </w:r>
          </w:p>
        </w:tc>
      </w:tr>
      <w:tr>
        <w:trPr>
          <w:trHeight w:val="222"/>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7"/>
              </w:rPr>
              <w:t>Preferred Stock Purchase Rights</w:t>
            </w:r>
          </w:p>
        </w:tc>
        <w:tc>
          <w:tcPr>
            <w:tcW w:w="2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r>
        <w:trPr>
          <w:trHeight w:val="364"/>
        </w:trPr>
        <w:tc>
          <w:tcPr>
            <w:tcW w:w="5720" w:type="dxa"/>
            <w:vAlign w:val="bottom"/>
          </w:tcPr>
          <w:p>
            <w:pPr>
              <w:spacing w:after="0"/>
              <w:rPr>
                <w:sz w:val="20"/>
                <w:szCs w:val="20"/>
                <w:color w:val="auto"/>
              </w:rPr>
            </w:pPr>
            <w:r>
              <w:rPr>
                <w:rFonts w:ascii="Arial" w:cs="Arial" w:eastAsia="Arial" w:hAnsi="Arial"/>
                <w:sz w:val="18"/>
                <w:szCs w:val="18"/>
                <w:b w:val="1"/>
                <w:bCs w:val="1"/>
                <w:color w:val="auto"/>
                <w:w w:val="96"/>
              </w:rPr>
              <w:t>Securities to be registered pursuant to Section 12(g) of the Act: None</w:t>
            </w: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124"/>
        </w:trPr>
        <w:tc>
          <w:tcPr>
            <w:tcW w:w="5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r>
      <w:tr>
        <w:trPr>
          <w:trHeight w:val="21"/>
        </w:trPr>
        <w:tc>
          <w:tcPr>
            <w:tcW w:w="5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 Description of Registrant’s Securities to be Registered.</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Directors of Casual Male Retail Group, Inc. (the “Company”) has approved a Rights Agreement (the “Rights Agreement”) dated as of December 8, 2008. The following description of the terms of the Rights Agreement does not purport to be complete and is qualified in its entirety by reference to the Rights Agreement which is attached hereto as Exhibit 4.1 and is incorporated herein by reference. Capitalized terms used but not otherwise defined herein will have meanings given to such terms in the Rights Agreement.</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Pursuant to the terms of the Rights Agreement, the Board of Directors authorized and declared a dividend of one preferred stock purchase right (a “Right” and collectively, the “Rights”) for each share of the Company’s common stock, par value $0.01 per share (the “Common Stock”), outstanding at the close of business on December 19, 2008 (the “Record Date”). Each Right represents the right to purchase from the Company one one-thousandth of a share of Series A Junior Participating Preferred Stock, par value $0.01 per share (the “Preferred Stock”), at a purchase price of $5.00, subject to adjustments (the “Purchase Price”).</w:t>
      </w:r>
    </w:p>
    <w:p>
      <w:pPr>
        <w:spacing w:after="0" w:line="9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Initially, the Rights will trade with, and will be inseparable from, the Common Stock. The Rights will be evidenced (unless earlier expired, redeemed or terminated) by the certificates for the Common Stock (or, in the case of uncertificated shares of Common Stock, by the book-entry account that evidences record ownership of such shares) and not by separate Right Certificates. The registered holders of the Common Stock will be deemed to be the registered holders of the associated Rights. Rights are issued to all shares of Common Stock outstanding as of the Record Date or issued (on original issuance or out of treasury) after the Record Date but before the earlier of the Distribution Date described below or the Expiration Date. Before the exercise of the Rights, the Rights do not give their holders any rights as stockholders of the Company, including the right to vote or to receive dividends.</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Rights become exercisable and separate from the Common Stock on the Distribution Date. The “Distribution Date” is the earlier of (i) the tenth day after the public announcement by the Company or any person or group of affiliated or associated persons that any person or group of affiliated or associated persons becomes an “Acquiring Person” by obtaining beneficial ownership (including any derivative security that increases in value as the value of Common Stock increases or that provides the holder with an opportunity to profit from any increase in the value of Common Stock, that is disclosed pursuant to a Schedule 13D under the Exchange Act or, if not disclosed on a Schedule 13D, if and only if the Company’s Board of Directors determines that such person is deemed to beneficially own the Common Stock in respect of such derivative security) of 15% or more of the Company’s outstanding Common Stock; or (ii) the tenth business day (or such later date as the Board may designate before a person or group of affiliated of associated persons becomes an Acquiring Person) after the commencement of, or first public announcement of the intent of any person to commence, a tender or exchange offer by any person or group of affiliated or associated persons which would, if consummated, result in such person or group becoming an Acquiring Person; unless the tenth day or tenth business day, as the case may be, referred to above occurs after the date of public announcement of the Rights Agreement and before the Record Date, then the Distribution Date will be at the close of business on the tenth day after the Record Date.</w:t>
      </w:r>
    </w:p>
    <w:p>
      <w:pPr>
        <w:spacing w:after="0" w:line="127"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After the Distribution Date, the Rights Agent will mail separate certificates evidencing the Rights to each record holder of Common Stock (or, if the Common Stock is uncertificated, by appropriate changes to the book-entry account that evidences record ownership of such Common Stock) at the close of business on the Distribution Date. Thereafter, the Rights will be transferable separately from the Common Stock. Any Rights held by an Acquiring Person are null and void and may not be exercised. The Rights will expire at the close of business on December 8, 2009, unless earlier redeemed or exchanged by the Company as discussed below.</w:t>
      </w:r>
    </w:p>
    <w:p>
      <w:pPr>
        <w:spacing w:after="0" w:line="14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Rights will not be exercisable due solely to the ownership of Common Stock by existing stockholders or their affiliates or assigns, who currently own 15% or more of the Company’s outstanding Common Stock as of the date of the Rights Agreement so long as such existing stockholder does not acquire any additional shares of Common Stock of the Company that would cause such existing stockholder’s percentage ownership of shares of Common Stock outstanding to exceed by any amount such existing stockholder’s percentage ownership (rounded up to the next whole percentage point) as of the date of the Rights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Furthermore, the Rights will not has exercisable if the Company’s Board of Directors determines in good faith that a person or group of affiliated or associated persons become an Acquiring Person inadvertently and such person or group reduces its holdings below 15% of the Company’s outstanding Common Stock as promptly as practicable. Finally, the Rights will not be exercisable if the Company repurchases some of its own Common Stock and, as a result, a person’s or group’s holdings constitute 15% or more of the remaining outstanding Common Stock so long as such person or group does not make any further acquisitions of the Common Stock after the repurchase.</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Subject to the exceptions described above, if a person or group of affiliated or associated persons becomes an Acquiring Person, then, after the Distribution Date, each Right will entitle its holder to purchase, at the Right’s then-current Purchase Price, a number of shares of the Common Stock having a market value of twice such price. In addition, if the Company is involved in a merger or other business combination transaction after a person or group of affiliated or associated persons becomes an Acquiring Person, each Right will entitle its holder to purchase, at the Right’s then-current Purchase Price, a number of shares of the other party’s common stock having a market value of twice such price. The Acquiring Person will not be entitled to exercise these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both"/>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on or after the date a person or group of affiliated or associated persons becomes an Acquiring Person, the Board may exchange all or part of the Rights (other than the Rights beneficially owned by the Acquiring Person and certain affiliated persons) for shares of Common Stock at an exchange ratio of one share of Common Stock per Right. However, the Board does not have the power to effect such exchange after any person or group of affiliated or associated persons becomes the owner of 50% or more of the Company’s outstanding Common Stock.</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Board may adjust the Purchase Price of the Preferred Stock, the number and kind of shares of Preferred Stock issuable and the number of outstanding Rights to prevent dilution that may occur from a stock dividend, stock split or reclassification of the Preferred Stock. No adjustments to the Purchase Price of less than 1% will be made.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is not obligated to issue fractional shares of Preferred Stock upon the exercise of any Rights, other than fractions that are multiples of one one-thousandth of a share of the Preferred Stock. If the Company elects not to issue fractional shares, it can make a cash payment instead, as provided in the Rights Agreement.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Board of Directors may redeem all of the Rights at a price of $0.001 per Right at any time before any person or group of affiliated or associated persons becomes an Acquiring Person. If the Board redeems any Rights, it must redeem all of the outstanding Rights. Once the Rights are redeemed, the right to exercise the Rights will terminate and, thereafter, the only right of the Rights holders will be to receive the redemption price of $0.001 per Right. The redemption price may be adjusted to reflect any stock split, stock dividend or similar transaction occurring after the date of the Rights Agreement.</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For so long as the Rights are redeemable, the Rights Agreement may be amended in any respect without the approval of any holders of shares of Common Stock. At any time when the Rights are no longer redeemable, the Company may amend the Rights Agreement without the approval of any holders of Rights;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amendment does not (i) adversely affect the interests of the Rights holders as such (other than any Acquiring Person and certain affiliated persons); (ii) cause the Rights Agreement again to become amendable other than in accordance with the Rights Agreement; or (iii) cause the Rights again to become redeemable.</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While the dividend of the Rights will not be taxable to stockholders or to the Company, stockholders or the Company may, depending upon the circumstances, recognize taxable income if the Rights become exercisable as set forth above.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Certificate of Designation establishing the Preferred Stock, the form of Right Certificate and the Summary of Terms are attached as Exhibits A, B and C, respectively, to the Rights Agreement (which is included as Exhibit 4.1 to this Form 8-A).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10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8920" w:type="dxa"/>
            <w:vAlign w:val="bottom"/>
            <w:gridSpan w:val="3"/>
          </w:tcPr>
          <w:p>
            <w:pPr>
              <w:ind w:left="46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460" w:type="dxa"/>
            <w:vAlign w:val="bottom"/>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Form of Certificate</w:t>
            </w:r>
          </w:p>
        </w:tc>
        <w:tc>
          <w:tcPr>
            <w:tcW w:w="7100" w:type="dxa"/>
            <w:vAlign w:val="bottom"/>
          </w:tcPr>
          <w:p>
            <w:pPr>
              <w:jc w:val="right"/>
              <w:spacing w:after="0" w:line="201" w:lineRule="exact"/>
              <w:rPr>
                <w:sz w:val="20"/>
                <w:szCs w:val="20"/>
                <w:color w:val="auto"/>
              </w:rPr>
            </w:pPr>
            <w:r>
              <w:rPr>
                <w:rFonts w:ascii="Arial" w:cs="Arial" w:eastAsia="Arial" w:hAnsi="Arial"/>
                <w:sz w:val="18"/>
                <w:szCs w:val="18"/>
                <w:color w:val="auto"/>
                <w:w w:val="89"/>
              </w:rPr>
              <w:t>of Designation, Preferences and Rights of Series A Junior Participating Preferred Stock as filed with</w:t>
            </w:r>
          </w:p>
        </w:tc>
      </w:tr>
      <w:tr>
        <w:trPr>
          <w:trHeight w:val="216"/>
        </w:trPr>
        <w:tc>
          <w:tcPr>
            <w:tcW w:w="500" w:type="dxa"/>
            <w:vAlign w:val="bottom"/>
          </w:tcPr>
          <w:p>
            <w:pPr>
              <w:spacing w:after="0"/>
              <w:rPr>
                <w:sz w:val="18"/>
                <w:szCs w:val="18"/>
                <w:color w:val="auto"/>
              </w:rPr>
            </w:pPr>
          </w:p>
        </w:tc>
        <w:tc>
          <w:tcPr>
            <w:tcW w:w="8920" w:type="dxa"/>
            <w:vAlign w:val="bottom"/>
            <w:gridSpan w:val="3"/>
          </w:tcPr>
          <w:p>
            <w:pPr>
              <w:ind w:left="460"/>
              <w:spacing w:after="0"/>
              <w:rPr>
                <w:sz w:val="20"/>
                <w:szCs w:val="20"/>
                <w:color w:val="auto"/>
              </w:rPr>
            </w:pPr>
            <w:r>
              <w:rPr>
                <w:rFonts w:ascii="Arial" w:cs="Arial" w:eastAsia="Arial" w:hAnsi="Arial"/>
                <w:sz w:val="18"/>
                <w:szCs w:val="18"/>
                <w:color w:val="auto"/>
                <w:w w:val="92"/>
              </w:rPr>
              <w:t>the Secretary of the State of Delaware on December 9, 2008 (incorporated herein by reference to Exhibit 3.1 to the</w:t>
            </w:r>
          </w:p>
        </w:tc>
      </w:tr>
      <w:tr>
        <w:trPr>
          <w:trHeight w:val="222"/>
        </w:trPr>
        <w:tc>
          <w:tcPr>
            <w:tcW w:w="500" w:type="dxa"/>
            <w:vAlign w:val="bottom"/>
          </w:tcPr>
          <w:p>
            <w:pPr>
              <w:spacing w:after="0"/>
              <w:rPr>
                <w:sz w:val="19"/>
                <w:szCs w:val="19"/>
                <w:color w:val="auto"/>
              </w:rPr>
            </w:pPr>
          </w:p>
        </w:tc>
        <w:tc>
          <w:tcPr>
            <w:tcW w:w="8920" w:type="dxa"/>
            <w:vAlign w:val="bottom"/>
            <w:gridSpan w:val="3"/>
          </w:tcPr>
          <w:p>
            <w:pPr>
              <w:ind w:left="460"/>
              <w:spacing w:after="0"/>
              <w:rPr>
                <w:sz w:val="20"/>
                <w:szCs w:val="20"/>
                <w:color w:val="auto"/>
              </w:rPr>
            </w:pPr>
            <w:r>
              <w:rPr>
                <w:rFonts w:ascii="Arial" w:cs="Arial" w:eastAsia="Arial" w:hAnsi="Arial"/>
                <w:sz w:val="18"/>
                <w:szCs w:val="18"/>
                <w:color w:val="auto"/>
              </w:rPr>
              <w:t>Company’s Current Report on Form 8-K filed on December 9,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8920" w:type="dxa"/>
            <w:vAlign w:val="bottom"/>
            <w:gridSpan w:val="3"/>
          </w:tcPr>
          <w:p>
            <w:pPr>
              <w:ind w:left="460"/>
              <w:spacing w:after="0"/>
              <w:rPr>
                <w:sz w:val="20"/>
                <w:szCs w:val="20"/>
                <w:color w:val="auto"/>
              </w:rPr>
            </w:pPr>
            <w:r>
              <w:rPr>
                <w:rFonts w:ascii="Arial" w:cs="Arial" w:eastAsia="Arial" w:hAnsi="Arial"/>
                <w:sz w:val="18"/>
                <w:szCs w:val="18"/>
                <w:color w:val="auto"/>
                <w:w w:val="88"/>
              </w:rPr>
              <w:t>Rights Agreement, dated as of December 8, 2008, by and between Casual Male Retail Group, Inc. and American Stock</w:t>
            </w:r>
          </w:p>
        </w:tc>
      </w:tr>
      <w:tr>
        <w:trPr>
          <w:trHeight w:val="216"/>
        </w:trPr>
        <w:tc>
          <w:tcPr>
            <w:tcW w:w="500" w:type="dxa"/>
            <w:vAlign w:val="bottom"/>
          </w:tcPr>
          <w:p>
            <w:pPr>
              <w:spacing w:after="0"/>
              <w:rPr>
                <w:sz w:val="18"/>
                <w:szCs w:val="18"/>
                <w:color w:val="auto"/>
              </w:rPr>
            </w:pPr>
          </w:p>
        </w:tc>
        <w:tc>
          <w:tcPr>
            <w:tcW w:w="8920" w:type="dxa"/>
            <w:vAlign w:val="bottom"/>
            <w:gridSpan w:val="3"/>
          </w:tcPr>
          <w:p>
            <w:pPr>
              <w:ind w:left="460"/>
              <w:spacing w:after="0"/>
              <w:rPr>
                <w:sz w:val="20"/>
                <w:szCs w:val="20"/>
                <w:color w:val="auto"/>
              </w:rPr>
            </w:pPr>
            <w:r>
              <w:rPr>
                <w:rFonts w:ascii="Arial" w:cs="Arial" w:eastAsia="Arial" w:hAnsi="Arial"/>
                <w:sz w:val="18"/>
                <w:szCs w:val="18"/>
                <w:color w:val="auto"/>
                <w:w w:val="96"/>
              </w:rPr>
              <w:t>Transfer &amp; Trust Company, LLC, as Rights Agent, which includes as Exhibits thereto the Form of Certificate of</w:t>
            </w:r>
          </w:p>
        </w:tc>
      </w:tr>
      <w:tr>
        <w:trPr>
          <w:trHeight w:val="216"/>
        </w:trPr>
        <w:tc>
          <w:tcPr>
            <w:tcW w:w="500" w:type="dxa"/>
            <w:vAlign w:val="bottom"/>
          </w:tcPr>
          <w:p>
            <w:pPr>
              <w:spacing w:after="0"/>
              <w:rPr>
                <w:sz w:val="18"/>
                <w:szCs w:val="18"/>
                <w:color w:val="auto"/>
              </w:rPr>
            </w:pPr>
          </w:p>
        </w:tc>
        <w:tc>
          <w:tcPr>
            <w:tcW w:w="8920" w:type="dxa"/>
            <w:vAlign w:val="bottom"/>
            <w:gridSpan w:val="3"/>
          </w:tcPr>
          <w:p>
            <w:pPr>
              <w:ind w:left="460"/>
              <w:spacing w:after="0"/>
              <w:rPr>
                <w:sz w:val="20"/>
                <w:szCs w:val="20"/>
                <w:color w:val="auto"/>
              </w:rPr>
            </w:pPr>
            <w:r>
              <w:rPr>
                <w:rFonts w:ascii="Arial" w:cs="Arial" w:eastAsia="Arial" w:hAnsi="Arial"/>
                <w:sz w:val="18"/>
                <w:szCs w:val="18"/>
                <w:color w:val="auto"/>
                <w:w w:val="96"/>
              </w:rPr>
              <w:t>Designation, the Form of Right Certificate and the Summary of Terms attached thereto as Exhibits A, B and C,</w:t>
            </w:r>
          </w:p>
        </w:tc>
      </w:tr>
      <w:tr>
        <w:trPr>
          <w:trHeight w:val="216"/>
        </w:trPr>
        <w:tc>
          <w:tcPr>
            <w:tcW w:w="500" w:type="dxa"/>
            <w:vAlign w:val="bottom"/>
          </w:tcPr>
          <w:p>
            <w:pPr>
              <w:spacing w:after="0"/>
              <w:rPr>
                <w:sz w:val="18"/>
                <w:szCs w:val="18"/>
                <w:color w:val="auto"/>
              </w:rPr>
            </w:pPr>
          </w:p>
        </w:tc>
        <w:tc>
          <w:tcPr>
            <w:tcW w:w="8920" w:type="dxa"/>
            <w:vAlign w:val="bottom"/>
            <w:gridSpan w:val="3"/>
          </w:tcPr>
          <w:p>
            <w:pPr>
              <w:ind w:left="460"/>
              <w:spacing w:after="0"/>
              <w:rPr>
                <w:sz w:val="20"/>
                <w:szCs w:val="20"/>
                <w:color w:val="auto"/>
              </w:rPr>
            </w:pPr>
            <w:r>
              <w:rPr>
                <w:rFonts w:ascii="Arial" w:cs="Arial" w:eastAsia="Arial" w:hAnsi="Arial"/>
                <w:sz w:val="18"/>
                <w:szCs w:val="18"/>
                <w:color w:val="auto"/>
                <w:w w:val="92"/>
              </w:rPr>
              <w:t>respectively (incorporated herein by reference to Exhibit 4.1 to the Company’s Current Report on Form 8-K filed on</w:t>
            </w:r>
          </w:p>
        </w:tc>
      </w:tr>
      <w:tr>
        <w:trPr>
          <w:trHeight w:val="222"/>
        </w:trPr>
        <w:tc>
          <w:tcPr>
            <w:tcW w:w="500" w:type="dxa"/>
            <w:vAlign w:val="bottom"/>
          </w:tcPr>
          <w:p>
            <w:pPr>
              <w:spacing w:after="0"/>
              <w:rPr>
                <w:sz w:val="19"/>
                <w:szCs w:val="19"/>
                <w:color w:val="auto"/>
              </w:rPr>
            </w:pPr>
          </w:p>
        </w:tc>
        <w:tc>
          <w:tcPr>
            <w:tcW w:w="8920" w:type="dxa"/>
            <w:vAlign w:val="bottom"/>
            <w:gridSpan w:val="3"/>
          </w:tcPr>
          <w:p>
            <w:pPr>
              <w:ind w:left="460"/>
              <w:spacing w:after="0"/>
              <w:rPr>
                <w:sz w:val="20"/>
                <w:szCs w:val="20"/>
                <w:color w:val="auto"/>
              </w:rPr>
            </w:pPr>
            <w:r>
              <w:rPr>
                <w:rFonts w:ascii="Arial" w:cs="Arial" w:eastAsia="Arial" w:hAnsi="Arial"/>
                <w:sz w:val="18"/>
                <w:szCs w:val="18"/>
                <w:color w:val="auto"/>
              </w:rPr>
              <w:t>December 9, 2008).</w:t>
            </w:r>
          </w:p>
        </w:tc>
      </w:tr>
      <w:tr>
        <w:trPr>
          <w:trHeight w:val="365"/>
        </w:trPr>
        <w:tc>
          <w:tcPr>
            <w:tcW w:w="500" w:type="dxa"/>
            <w:vAlign w:val="bottom"/>
          </w:tcPr>
          <w:p>
            <w:pPr>
              <w:spacing w:after="0"/>
              <w:rPr>
                <w:sz w:val="24"/>
                <w:szCs w:val="24"/>
                <w:color w:val="auto"/>
              </w:rPr>
            </w:pPr>
          </w:p>
        </w:tc>
        <w:tc>
          <w:tcPr>
            <w:tcW w:w="8920" w:type="dxa"/>
            <w:vAlign w:val="bottom"/>
            <w:gridSpan w:val="3"/>
          </w:tcPr>
          <w:p>
            <w:pPr>
              <w:jc w:val="right"/>
              <w:ind w:right="449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80"/>
          </w:cols>
          <w:pgMar w:left="240" w:top="280"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Executive Vice President, Chief Operating Officer,</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Treasurer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2008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0" w:type="dxa"/>
            <w:vAlign w:val="bottom"/>
          </w:tcPr>
          <w:p>
            <w:pPr>
              <w:jc w:val="center"/>
              <w:ind w:right="2312"/>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0" w:type="dxa"/>
            <w:vAlign w:val="bottom"/>
          </w:tcPr>
          <w:p>
            <w:pPr>
              <w:spacing w:after="0"/>
              <w:rPr>
                <w:sz w:val="24"/>
                <w:szCs w:val="2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3"/>
          </w:tcPr>
          <w:p>
            <w:pPr>
              <w:ind w:left="56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560" w:type="dxa"/>
            <w:vAlign w:val="bottom"/>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Form of Certificate</w:t>
            </w:r>
          </w:p>
        </w:tc>
        <w:tc>
          <w:tcPr>
            <w:tcW w:w="9000" w:type="dxa"/>
            <w:vAlign w:val="bottom"/>
          </w:tcPr>
          <w:p>
            <w:pPr>
              <w:ind w:left="40"/>
              <w:spacing w:after="0" w:line="201" w:lineRule="exact"/>
              <w:rPr>
                <w:sz w:val="20"/>
                <w:szCs w:val="20"/>
                <w:color w:val="auto"/>
              </w:rPr>
            </w:pPr>
            <w:r>
              <w:rPr>
                <w:rFonts w:ascii="Arial" w:cs="Arial" w:eastAsia="Arial" w:hAnsi="Arial"/>
                <w:sz w:val="18"/>
                <w:szCs w:val="18"/>
                <w:color w:val="auto"/>
                <w:w w:val="88"/>
              </w:rPr>
              <w:t>of Designation, Preferences and Rights of Series A Junior Participating Preferred Stock, as filed with the Secretary of the State</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4"/>
              </w:rPr>
              <w:t>of Delaware on December 9, 2008 (incorporated herein by reference to Exhibit 3.1 to the Company’s Current Report on Form 8-K filed on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December 9,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88"/>
              </w:rPr>
              <w:t>Rights Agreement, dated as of December 8, 2008, by and between Casual Male Retail Group, Inc. and American Stock Transfer &amp; Trust Company,</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1"/>
              </w:rPr>
              <w:t>LLC, as Rights Agent, which includes as Exhibits thereto the Form of Certificate of Designation, the Form of Right Certificate and the Summary</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0"/>
              </w:rPr>
              <w:t>of Terms attached thereto as Exhibits A, B and C, respectively (incorporated herein by reference to Exhibit 4.1 to the Company’s Current Report</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on Form 8-K filed on December 9, 2008).</w:t>
            </w:r>
          </w:p>
        </w:tc>
      </w:tr>
      <w:tr>
        <w:trPr>
          <w:trHeight w:val="365"/>
        </w:trPr>
        <w:tc>
          <w:tcPr>
            <w:tcW w:w="500" w:type="dxa"/>
            <w:vAlign w:val="bottom"/>
          </w:tcPr>
          <w:p>
            <w:pPr>
              <w:spacing w:after="0"/>
              <w:rPr>
                <w:sz w:val="24"/>
                <w:szCs w:val="24"/>
                <w:color w:val="auto"/>
              </w:rPr>
            </w:pPr>
          </w:p>
        </w:tc>
        <w:tc>
          <w:tcPr>
            <w:tcW w:w="10920" w:type="dxa"/>
            <w:vAlign w:val="bottom"/>
            <w:gridSpan w:val="3"/>
          </w:tcPr>
          <w:p>
            <w:pPr>
              <w:jc w:val="right"/>
              <w:ind w:right="5572"/>
              <w:spacing w:after="0"/>
              <w:rPr>
                <w:sz w:val="20"/>
                <w:szCs w:val="20"/>
                <w:color w:val="auto"/>
              </w:rPr>
            </w:pPr>
            <w:r>
              <w:rPr>
                <w:rFonts w:ascii="Arial" w:cs="Arial" w:eastAsia="Arial" w:hAnsi="Arial"/>
                <w:sz w:val="18"/>
                <w:szCs w:val="18"/>
                <w:color w:val="auto"/>
              </w:rPr>
              <w:t>5</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2019-12-20T18:42:05Z</dcterms:created>
  <dcterms:modified xsi:type="dcterms:W3CDTF">2019-12-20T18:42:05Z</dcterms:modified>
</cp:coreProperties>
</file>