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37" w:lineRule="exact"/>
        <w:rPr>
          <w:sz w:val="24"/>
          <w:szCs w:val="24"/>
          <w:color w:val="auto"/>
        </w:rPr>
      </w:pPr>
    </w:p>
    <w:p>
      <w:pPr>
        <w:ind w:left="4580"/>
        <w:spacing w:after="0"/>
        <w:rPr>
          <w:sz w:val="20"/>
          <w:szCs w:val="20"/>
          <w:color w:val="auto"/>
        </w:rPr>
      </w:pPr>
      <w:r>
        <w:rPr>
          <w:rFonts w:ascii="Arial" w:cs="Arial" w:eastAsia="Arial" w:hAnsi="Arial"/>
          <w:sz w:val="24"/>
          <w:szCs w:val="24"/>
          <w:b w:val="1"/>
          <w:bCs w:val="1"/>
          <w:color w:val="auto"/>
        </w:rPr>
        <w:t>CURRENT REPORT</w:t>
      </w:r>
    </w:p>
    <w:p>
      <w:pPr>
        <w:spacing w:after="0" w:line="142" w:lineRule="exact"/>
        <w:rPr>
          <w:sz w:val="24"/>
          <w:szCs w:val="24"/>
          <w:color w:val="auto"/>
        </w:rPr>
      </w:pPr>
    </w:p>
    <w:p>
      <w:pPr>
        <w:ind w:left="3120"/>
        <w:spacing w:after="0"/>
        <w:rPr>
          <w:sz w:val="20"/>
          <w:szCs w:val="20"/>
          <w:color w:val="auto"/>
        </w:rPr>
      </w:pPr>
      <w:r>
        <w:rPr>
          <w:rFonts w:ascii="Arial" w:cs="Arial" w:eastAsia="Arial" w:hAnsi="Arial"/>
          <w:sz w:val="24"/>
          <w:szCs w:val="24"/>
          <w:b w:val="1"/>
          <w:bCs w:val="1"/>
          <w:color w:val="auto"/>
        </w:rPr>
        <w:t>PURSUANT TO SECTION 13 OR 15(d) OF THE</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EXCHANGE ACT OF 1934</w:t>
      </w:r>
    </w:p>
    <w:p>
      <w:pPr>
        <w:spacing w:after="0" w:line="15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March 29, 2007</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355" w:right="639" w:bottom="1440" w:gutter="0" w:footer="0" w:header="0"/>
        </w:sectPr>
      </w:pPr>
    </w:p>
    <w:p>
      <w:pPr>
        <w:spacing w:after="0" w:line="17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2">
            <w:col w:w="7600" w:space="720"/>
            <w:col w:w="2700"/>
          </w:cols>
          <w:pgMar w:left="240" w:top="355" w:right="639" w:bottom="1440" w:gutter="0" w:footer="0" w:header="0"/>
          <w:type w:val="continuous"/>
        </w:sectPr>
      </w:pPr>
    </w:p>
    <w:p>
      <w:pPr>
        <w:spacing w:after="0" w:line="9" w:lineRule="exact"/>
        <w:rPr>
          <w:sz w:val="24"/>
          <w:szCs w:val="24"/>
          <w:color w:val="auto"/>
        </w:rPr>
      </w:pPr>
    </w:p>
    <w:p>
      <w:pPr>
        <w:ind w:left="224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4"/>
          <w:szCs w:val="14"/>
          <w:b w:val="1"/>
          <w:bCs w:val="1"/>
          <w:color w:val="auto"/>
        </w:rPr>
        <w:t>(IRS Employer</w:t>
      </w:r>
    </w:p>
    <w:p>
      <w:pPr>
        <w:jc w:val="center"/>
        <w:ind w:right="162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40" w:space="720"/>
            <w:col w:w="2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March 29, 2007, Casual Male Retail Group, Inc. (the "Company") issued a press release announcing the Company’s results of operations for the fourth quarter and fiscal year 2006. A copy of this press release is attached hereto as Exhibit 99.1.</w:t>
      </w:r>
    </w:p>
    <w:p>
      <w:pPr>
        <w:spacing w:after="0" w:line="1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15"/>
                <w:szCs w:val="15"/>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announcing results of operations for the fourth quarter and fiscal year 2006 for Casual Male Retail Group, Inc.</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2007</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14605</wp:posOffset>
            </wp:positionV>
            <wp:extent cx="2470150"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561-514-0115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RESULTS FOR FOURTH QUARTER AND FISCAL 2006</w:t>
      </w:r>
    </w:p>
    <w:p>
      <w:pPr>
        <w:spacing w:after="0" w:line="159"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b w:val="1"/>
          <w:bCs w:val="1"/>
          <w:color w:val="auto"/>
        </w:rPr>
        <w:t>CANTON, MA, (March 29, 2007) — Casual Male Retail Group, Inc. (NASDAQ/NMS: “CMRG”)</w:t>
      </w:r>
      <w:r>
        <w:rPr>
          <w:rFonts w:ascii="Arial" w:cs="Arial" w:eastAsia="Arial" w:hAnsi="Arial"/>
          <w:sz w:val="18"/>
          <w:szCs w:val="18"/>
          <w:color w:val="auto"/>
        </w:rPr>
        <w:t>, retail brand operator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Casual Male XL, Rochester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Big &amp; Tall</w:t>
      </w:r>
      <w:r>
        <w:rPr>
          <w:rFonts w:ascii="Arial" w:cs="Arial" w:eastAsia="Arial" w:hAnsi="Arial"/>
          <w:sz w:val="18"/>
          <w:szCs w:val="18"/>
          <w:color w:val="auto"/>
        </w:rPr>
        <w:t>,</w:t>
      </w:r>
      <w:r>
        <w:rPr>
          <w:rFonts w:ascii="Arial" w:cs="Arial" w:eastAsia="Arial" w:hAnsi="Arial"/>
          <w:sz w:val="18"/>
          <w:szCs w:val="18"/>
          <w:i w:val="1"/>
          <w:iCs w:val="1"/>
          <w:color w:val="auto"/>
        </w:rPr>
        <w:t xml:space="preserve"> B&amp;T Factory Direct</w:t>
      </w:r>
      <w:r>
        <w:rPr>
          <w:rFonts w:ascii="Arial" w:cs="Arial" w:eastAsia="Arial" w:hAnsi="Arial"/>
          <w:sz w:val="18"/>
          <w:szCs w:val="18"/>
          <w:color w:val="auto"/>
        </w:rPr>
        <w:t>,</w:t>
      </w:r>
      <w:r>
        <w:rPr>
          <w:rFonts w:ascii="Arial" w:cs="Arial" w:eastAsia="Arial" w:hAnsi="Arial"/>
          <w:sz w:val="18"/>
          <w:szCs w:val="18"/>
          <w:i w:val="1"/>
          <w:iCs w:val="1"/>
          <w:color w:val="auto"/>
        </w:rPr>
        <w:t xml:space="preserve"> LivingXL </w:t>
      </w:r>
      <w:r>
        <w:rPr>
          <w:rFonts w:ascii="Arial" w:cs="Arial" w:eastAsia="Arial" w:hAnsi="Arial"/>
          <w:sz w:val="18"/>
          <w:szCs w:val="18"/>
          <w:color w:val="auto"/>
        </w:rPr>
        <w:t>and</w:t>
      </w:r>
      <w:r>
        <w:rPr>
          <w:rFonts w:ascii="Arial" w:cs="Arial" w:eastAsia="Arial" w:hAnsi="Arial"/>
          <w:sz w:val="18"/>
          <w:szCs w:val="18"/>
          <w:i w:val="1"/>
          <w:iCs w:val="1"/>
          <w:color w:val="auto"/>
        </w:rPr>
        <w:t xml:space="preserve"> Jared M.</w:t>
      </w:r>
      <w:r>
        <w:rPr>
          <w:rFonts w:ascii="Arial" w:cs="Arial" w:eastAsia="Arial" w:hAnsi="Arial"/>
          <w:sz w:val="18"/>
          <w:szCs w:val="18"/>
          <w:color w:val="auto"/>
        </w:rPr>
        <w:t>, announced today its operating results for the fourth quarter and fiscal year ended February 3, 2007</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2006”).</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fourth quarter (14 weeks) of fiscal 2006, net income was $38.7 million, or $0.83 per diluted share, compared to net income of $13.5 million, or $0.33 per diluted share, for the fourth quarter (13 weeks) of fiscal 2005. Results for the fourth quarter of fiscal 2006 include a tax benefit of $29.9 million, primarily related to the reversal of the Company’s valuation allowance for deferred tax assets. Similarly, results for the fourth quarter of fiscal 2005 include a tax benefit of $3.0 million related to a partial reversal of the deferred tax valuation allowance. After excluding the effect of these tax benefits for both periods and assuming a normalized tax rate of 39.5% for fiscal 2005, earnings per diluted share for the fourth quarter of fiscal 2006 was $0.20 versus $0.17 per diluted share for the fourth quarter of fiscal 2005.</w:t>
      </w:r>
    </w:p>
    <w:p>
      <w:pPr>
        <w:spacing w:after="0" w:line="144"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For fiscal 2006, the Company reported net income of $42.6 million, or $0.98 per diluted share, as compared to net income of $10.8 million, or $0.30 per diluted share, in fiscal 2005. After excluding the effect of these tax benefits for both periods and assuming a normalized tax rate of 39.5% for fiscal 2005, earnings per share for the fiscal year 2006 was $0.33 per diluted share compared to $0.14 per diluted share for fiscal year 2005.</w:t>
      </w:r>
    </w:p>
    <w:p>
      <w:pPr>
        <w:spacing w:after="0" w:line="107"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David Levin, CEO and President, stated, “The fourth quarter of fiscal 2006 marked our thirteenth consecutive quarter of positive comparable sales after posting a 7.5% comp increase in the fourth quarter of this year against a strong fourth quarter comp increase last year of 7.9%, finishing the year with a comp increase of</w:t>
      </w:r>
    </w:p>
    <w:p>
      <w:pPr>
        <w:jc w:val="both"/>
        <w:ind w:right="420"/>
        <w:spacing w:after="0" w:line="255" w:lineRule="auto"/>
        <w:rPr>
          <w:sz w:val="20"/>
          <w:szCs w:val="20"/>
          <w:color w:val="auto"/>
        </w:rPr>
      </w:pPr>
      <w:r>
        <w:rPr>
          <w:rFonts w:ascii="Arial" w:cs="Arial" w:eastAsia="Arial" w:hAnsi="Arial"/>
          <w:sz w:val="18"/>
          <w:szCs w:val="18"/>
          <w:color w:val="auto"/>
        </w:rPr>
        <w:t>9.0%. Further illustrating that the Company’s strategies for growing market share and raising operating margins are working, we generated a 230 basis point improvement in our gross margin rate over fiscal 2005 as a result of our direct sourcing initiatives and continued improvement in overall merchandising and inventory management.”</w:t>
      </w:r>
    </w:p>
    <w:p>
      <w:pPr>
        <w:spacing w:after="0" w:line="14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Dennis Hernreich, Executive Vice President, COO and CFO, added, “Meanwhile, increases in our SG&amp;A expenses, for both the fourth quarter and fiscal year 2006, were directly attributable to our</w:t>
      </w:r>
    </w:p>
    <w:p>
      <w:pPr>
        <w:sectPr>
          <w:pgSz w:w="11900" w:h="16838" w:orient="portrait"/>
          <w:cols w:equalWidth="0" w:num="1">
            <w:col w:w="11420"/>
          </w:cols>
          <w:pgMar w:left="240" w:top="125" w:right="239" w:bottom="1440" w:gutter="0" w:footer="0" w:header="0"/>
        </w:sectPr>
      </w:pPr>
    </w:p>
    <w:bookmarkStart w:id="4" w:name="page5"/>
    <w:bookmarkEnd w:id="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 sale volumes and profitability, as well as incremental expenses associated with the initial start-up of several new businesses and product extensions as part of our strategy to sustain long term market share growth.”</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Investors are invited to listen to a broadcast of the Company’s conference call to discuss its fiscal 2006 earnings results. The conference call will broadcast live today, Thursday, March 29, 2007 at 11:00 a.m. Eastern Time at www.casualmale.com/investor.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i w:val="1"/>
          <w:iCs w:val="1"/>
          <w:color w:val="auto"/>
        </w:rPr>
        <w:t>In addition to the financial measures prepared in accordance with generally accepted accounting principles (GAAP), our above discussion refers to earnings of $0.20 and $0.17 per diluted share for the fourth quarter of fiscal 2006 and fiscal 2005, respectively, and $0.33 and $0.14 per diluted share for fiscal 2006 and fiscal 2005, respectively. These results exclude the tax benefits of our valuation allowance reversals and assume a normalized tax rate of 39.5% for fiscal 2005. These adjustments are non-GAAP measures. The Company believes that the inclusion of this non-GAAP measure helps investors to gain a better understanding of the Company’s performance, especially when comparing such results to previous periods or forecasts. However, these non-GAAP financial measures included in this press release are not meant to be considered superior to or as a substitute for results of operations prepared in accordance with GAAP. The following table shows the reconciliation of net income, on a GAAP basis, for the fourth quarter and fiscal year of 2006 and 2005 to the non-GAAP measures referred to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i w:val="1"/>
                <w:iCs w:val="1"/>
                <w:color w:val="auto"/>
                <w:w w:val="84"/>
              </w:rPr>
              <w:t>For the fiscal year ended: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 except for earnings per share (EPS) amounts)</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rPr>
              <w:t>2/3/2007</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252"/>
              <w:spacing w:after="0" w:line="142" w:lineRule="exact"/>
              <w:rPr>
                <w:sz w:val="20"/>
                <w:szCs w:val="20"/>
                <w:color w:val="auto"/>
              </w:rPr>
            </w:pPr>
            <w:r>
              <w:rPr>
                <w:rFonts w:ascii="Arial" w:cs="Arial" w:eastAsia="Arial" w:hAnsi="Arial"/>
                <w:sz w:val="14"/>
                <w:szCs w:val="14"/>
                <w:b w:val="1"/>
                <w:bCs w:val="1"/>
                <w:i w:val="1"/>
                <w:iCs w:val="1"/>
                <w:color w:val="auto"/>
              </w:rPr>
              <w:t>1/28/2006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rPr>
              <w:t>2/3/2007</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i w:val="1"/>
                <w:iCs w:val="1"/>
                <w:color w:val="auto"/>
              </w:rPr>
              <w:t>1/28/2006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52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5"/>
          </w:tcPr>
          <w:p>
            <w:pPr>
              <w:ind w:left="140"/>
              <w:spacing w:after="0"/>
              <w:rPr>
                <w:sz w:val="20"/>
                <w:szCs w:val="20"/>
                <w:color w:val="auto"/>
              </w:rPr>
            </w:pPr>
            <w:r>
              <w:rPr>
                <w:rFonts w:ascii="Arial" w:cs="Arial" w:eastAsia="Arial" w:hAnsi="Arial"/>
                <w:sz w:val="18"/>
                <w:szCs w:val="18"/>
                <w:i w:val="1"/>
                <w:iCs w:val="1"/>
                <w:color w:val="auto"/>
                <w:w w:val="85"/>
              </w:rPr>
              <w:t>Diluted EPS</w:t>
            </w:r>
            <w:r>
              <w:rPr>
                <w:rFonts w:ascii="Arial" w:cs="Arial" w:eastAsia="Arial" w:hAnsi="Arial"/>
                <w:sz w:val="22"/>
                <w:szCs w:val="22"/>
                <w:i w:val="1"/>
                <w:iCs w:val="1"/>
                <w:color w:val="auto"/>
                <w:w w:val="85"/>
                <w:vertAlign w:val="superscript"/>
              </w:rPr>
              <w:t>(3)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center"/>
              <w:ind w:left="35"/>
              <w:spacing w:after="0"/>
              <w:rPr>
                <w:sz w:val="20"/>
                <w:szCs w:val="20"/>
                <w:color w:val="auto"/>
              </w:rPr>
            </w:pPr>
            <w:r>
              <w:rPr>
                <w:rFonts w:ascii="Arial" w:cs="Arial" w:eastAsia="Arial" w:hAnsi="Arial"/>
                <w:sz w:val="18"/>
                <w:szCs w:val="18"/>
                <w:i w:val="1"/>
                <w:iCs w:val="1"/>
                <w:color w:val="auto"/>
                <w:w w:val="86"/>
              </w:rPr>
              <w:t>Diluted EPS</w:t>
            </w:r>
            <w:r>
              <w:rPr>
                <w:rFonts w:ascii="Arial" w:cs="Arial" w:eastAsia="Arial" w:hAnsi="Arial"/>
                <w:sz w:val="22"/>
                <w:szCs w:val="22"/>
                <w:i w:val="1"/>
                <w:iCs w:val="1"/>
                <w:color w:val="auto"/>
                <w:w w:val="86"/>
                <w:vertAlign w:val="superscript"/>
              </w:rPr>
              <w:t>(3)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i w:val="1"/>
                <w:iCs w:val="1"/>
                <w:color w:val="auto"/>
                <w:w w:val="99"/>
              </w:rPr>
              <w:t>Diluted EPS</w:t>
            </w:r>
            <w:r>
              <w:rPr>
                <w:rFonts w:ascii="Arial" w:cs="Arial" w:eastAsia="Arial" w:hAnsi="Arial"/>
                <w:sz w:val="22"/>
                <w:szCs w:val="22"/>
                <w:i w:val="1"/>
                <w:iCs w:val="1"/>
                <w:color w:val="auto"/>
                <w:w w:val="99"/>
                <w:vertAlign w:val="superscript"/>
              </w:rPr>
              <w:t>(3)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i w:val="1"/>
                <w:iCs w:val="1"/>
                <w:color w:val="auto"/>
              </w:rPr>
              <w:t>Diluted EPS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as reported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38.7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w w:val="85"/>
              </w:rPr>
              <w:t>13.5</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42.6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w w:val="71"/>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w w:val="79"/>
              </w:rPr>
              <w:t>10.8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i w:val="1"/>
                <w:iCs w:val="1"/>
                <w:color w:val="auto"/>
                <w:w w:val="98"/>
              </w:rPr>
              <w:t>-Deduct net income tax benefit, primarily related to the valuation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tcPr>
          <w:p>
            <w:pPr>
              <w:ind w:left="420"/>
              <w:spacing w:after="0" w:line="224" w:lineRule="exact"/>
              <w:rPr>
                <w:sz w:val="20"/>
                <w:szCs w:val="20"/>
                <w:color w:val="auto"/>
              </w:rPr>
            </w:pPr>
            <w:r>
              <w:rPr>
                <w:rFonts w:ascii="Arial" w:cs="Arial" w:eastAsia="Arial" w:hAnsi="Arial"/>
                <w:sz w:val="18"/>
                <w:szCs w:val="18"/>
                <w:i w:val="1"/>
                <w:iCs w:val="1"/>
                <w:color w:val="auto"/>
              </w:rPr>
              <w:t>allowance reversals</w:t>
            </w:r>
            <w:r>
              <w:rPr>
                <w:rFonts w:ascii="Arial" w:cs="Arial" w:eastAsia="Arial" w:hAnsi="Arial"/>
                <w:sz w:val="22"/>
                <w:szCs w:val="22"/>
                <w:i w:val="1"/>
                <w:iCs w:val="1"/>
                <w:color w:val="auto"/>
                <w:vertAlign w:val="superscript"/>
              </w:rPr>
              <w:t>(1)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89"/>
              </w:rPr>
              <w:t>(29.9)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w w:val="89"/>
              </w:rPr>
              <w:t>(0.63)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w w:val="97"/>
              </w:rPr>
              <w:t>(2.7)</w:t>
            </w:r>
          </w:p>
        </w:tc>
        <w:tc>
          <w:tcPr>
            <w:tcW w:w="1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7"/>
              </w:rPr>
              <w:t>(0.06)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3"/>
              </w:rPr>
              <w:t>(29.9)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w w:val="89"/>
              </w:rPr>
              <w:t>(0.65)</w:t>
            </w: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w w:val="91"/>
              </w:rPr>
              <w:t>(2.7)</w:t>
            </w: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-Adjust for a normalized tax rate of 39.5% for fiscal 2005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w w:val="97"/>
              </w:rPr>
              <w:t>(4.3)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w w:val="97"/>
              </w:rPr>
              <w:t>(0.10)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w w:val="91"/>
              </w:rPr>
              <w:t>(3.2)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(0.09)</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net income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2"/>
            <w:vMerge w:val="continue"/>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i w:val="1"/>
                <w:iCs w:val="1"/>
                <w:color w:val="auto"/>
              </w:rPr>
              <w:t>8.8</w:t>
            </w:r>
          </w:p>
        </w:tc>
        <w:tc>
          <w:tcPr>
            <w:tcW w:w="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0.20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6.5</w:t>
            </w:r>
          </w:p>
        </w:tc>
        <w:tc>
          <w:tcPr>
            <w:tcW w:w="14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0.17</w:t>
            </w:r>
          </w:p>
        </w:tc>
        <w:tc>
          <w:tcPr>
            <w:tcW w:w="18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0.33</w:t>
            </w:r>
          </w:p>
        </w:tc>
        <w:tc>
          <w:tcPr>
            <w:tcW w:w="100" w:type="dxa"/>
            <w:vAlign w:val="bottom"/>
          </w:tcPr>
          <w:p>
            <w:pPr>
              <w:jc w:val="right"/>
              <w:spacing w:after="0"/>
              <w:rPr>
                <w:sz w:val="20"/>
                <w:szCs w:val="20"/>
                <w:color w:val="auto"/>
              </w:rPr>
            </w:pPr>
            <w:r>
              <w:rPr>
                <w:rFonts w:ascii="Arial" w:cs="Arial" w:eastAsia="Arial" w:hAnsi="Arial"/>
                <w:sz w:val="15"/>
                <w:szCs w:val="15"/>
                <w:i w:val="1"/>
                <w:iCs w:val="1"/>
                <w:color w:val="auto"/>
                <w:w w:val="71"/>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4.9</w:t>
            </w: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w w:val="91"/>
              </w:rPr>
              <w:t>$ 0.14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line="211" w:lineRule="exact"/>
              <w:rPr>
                <w:sz w:val="20"/>
                <w:szCs w:val="20"/>
                <w:color w:val="auto"/>
              </w:rPr>
            </w:pPr>
            <w:r>
              <w:rPr>
                <w:rFonts w:ascii="Arial" w:cs="Arial" w:eastAsia="Arial" w:hAnsi="Arial"/>
                <w:sz w:val="18"/>
                <w:szCs w:val="18"/>
                <w:i w:val="1"/>
                <w:iCs w:val="1"/>
                <w:color w:val="auto"/>
              </w:rPr>
              <w:t>Weighted average shares outstanding –diluted</w:t>
            </w:r>
            <w:r>
              <w:rPr>
                <w:rFonts w:ascii="Arial" w:cs="Arial" w:eastAsia="Arial" w:hAnsi="Arial"/>
                <w:sz w:val="22"/>
                <w:szCs w:val="22"/>
                <w:i w:val="1"/>
                <w:iCs w:val="1"/>
                <w:color w:val="auto"/>
                <w:vertAlign w:val="superscript"/>
              </w:rPr>
              <w:t>(2)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w w:val="85"/>
              </w:rPr>
              <w:t>45.1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w w:val="79"/>
              </w:rPr>
              <w:t>35.9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160" w:hanging="452"/>
        <w:spacing w:after="0" w:line="253"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net income tax benefits, as reported, for the fourth quarter and fiscal year 2006 include a valuation allowance reversal of $30.5 million offset by $0.6 million of one-time provision charges related to deferred tax assets and includes for the fourth quarter and fiscal year 2005 an income tax benefit of $3.0 million for the reversal of the valuation allowance.</w:t>
      </w:r>
    </w:p>
    <w:p>
      <w:pPr>
        <w:ind w:left="460" w:right="360" w:hanging="452"/>
        <w:spacing w:after="0" w:line="250"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diluted weighted average shares outstanding for fiscal year 2005 exclude the effect of the Company’s convertible notes, which were anti-dilutive to earnings for that period, using the if-converted method.</w:t>
      </w:r>
    </w:p>
    <w:p>
      <w:pPr>
        <w:ind w:left="460" w:right="400" w:hanging="452"/>
        <w:spacing w:after="0" w:line="255"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of earnings per share, on a dilutive basis, include the add-back of the related interest costs, on an after tax basis, where applicable, associated with the convertible notes of $0.6 million and $2.8 million for the fourth quarter and fiscal year 2006, respectively, and $1.3 million for the fourth quarter of fiscal 2005.</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475 Casual Male XL</w:t>
      </w:r>
    </w:p>
    <w:p>
      <w:pPr>
        <w:sectPr>
          <w:pgSz w:w="11900" w:h="16838" w:orient="portrait"/>
          <w:cols w:equalWidth="0" w:num="1">
            <w:col w:w="11420"/>
          </w:cols>
          <w:pgMar w:left="240" w:top="280"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retail and outlet stores, 25 Rochester Big &amp; Tall stores, 12 Casual Male at Sears-Canada stores, and direct to consumer businesses which includes several catalogs and e-commerce sites. The Company is headquartered in Canton, Massachusetts, and its common stock is listed on the NASDAQ Global Market under the symbol “CMRG.”</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380"/>
          </w:cols>
          <w:pgMar w:left="240" w:top="28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6"/>
              </w:rPr>
              <w:t>For the three months ended</w:t>
            </w:r>
          </w:p>
        </w:tc>
        <w:tc>
          <w:tcPr>
            <w:tcW w:w="120" w:type="dxa"/>
            <w:vAlign w:val="bottom"/>
          </w:tcPr>
          <w:p>
            <w:pPr>
              <w:spacing w:after="0"/>
              <w:rPr>
                <w:sz w:val="14"/>
                <w:szCs w:val="14"/>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5"/>
              </w:rPr>
              <w:t>For the twelve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February 3,</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January 28,</w:t>
            </w:r>
          </w:p>
        </w:tc>
        <w:tc>
          <w:tcPr>
            <w:tcW w:w="400" w:type="dxa"/>
            <w:vAlign w:val="bottom"/>
          </w:tcPr>
          <w:p>
            <w:pPr>
              <w:spacing w:after="0"/>
              <w:rPr>
                <w:sz w:val="11"/>
                <w:szCs w:val="11"/>
                <w:color w:val="auto"/>
              </w:rPr>
            </w:pPr>
          </w:p>
        </w:tc>
        <w:tc>
          <w:tcPr>
            <w:tcW w:w="1140" w:type="dxa"/>
            <w:vAlign w:val="bottom"/>
            <w:tcBorders>
              <w:top w:val="single" w:sz="8" w:color="auto"/>
            </w:tcBorders>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2"/>
              </w:rPr>
              <w:t>February 3,</w:t>
            </w: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January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145,995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129,695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467,512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70,012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254,938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239,203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59,683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212,574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Expenses: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41,948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170,896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Provision for employment contract termination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45,579</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187,180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164,627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14,104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1,112</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10,727</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21,040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38,688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13,456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42,632</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0.98</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36,977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34,360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35,276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45,106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2007 and January 28,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January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5,325</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(land and building)</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114,535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319,711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283,831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80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66,018</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61,850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217,321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319,711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2019-12-20T18:05:58Z</dcterms:created>
  <dcterms:modified xsi:type="dcterms:W3CDTF">2019-12-20T18:05:58Z</dcterms:modified>
</cp:coreProperties>
</file>