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1770380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1277620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to be held on August 7,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(the “Annual Meeting”) of Destination XL Group, Inc. (the “Company”) will be held at the corporate offices of the Company, 555 Turnpike Street, Canton, Massachusetts 02021, at 11:30 A.M. local time on Thursday, August 7, 2025 for the following purposes:</w:t>
      </w:r>
    </w:p>
    <w:p>
      <w:pPr>
        <w:spacing w:after="0" w:line="68" w:lineRule="exact"/>
        <w:rPr>
          <w:sz w:val="20"/>
          <w:szCs w:val="20"/>
          <w:color w:val="auto"/>
        </w:rPr>
      </w:pPr>
    </w:p>
    <w:p>
      <w:pPr>
        <w:ind w:left="760" w:right="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until the next Annual Meeting of Stockholders and until their respective successors have been duly elected and qualified.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named executive officer compensation.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January 31,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 or postponement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proposals are more fully described in the Proxy Statement following this Notice.</w:t>
      </w:r>
    </w:p>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Board of Directors recommends that you vote (i) “FOR” the election of all seven nominees to serve as directors of the Company, (ii) “FOR” the approval, on an advisory basis, of named executive officer compensation, and (iii) “FOR” the ratification of the appointment of KPMG LLP as our independent registered public accounting firm for the fiscal year ending January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Along with the attached Proxy Statement, we are sending you a copy of our Annual Report on Form 10-K for the fiscal year ended February 1, 2025.</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June 13, 2025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13, 2025 will be available for inspection by any of our stockholders for any purpose germane to the Annual Meeting during normal business hours at our principal executive offices, 555 Turnpike Street, Canton, Massachusetts 02021, beginning on July 23, 2025 and at the Annual Meeting.</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ROBERT S. MOLLOY</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15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August 7, 2025: The Proxy Statement and 2025 Annual Report to Stockholders are available at: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TABLE OF CONTENTS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 w:type="dxa"/>
            <w:vAlign w:val="bottom"/>
          </w:tcPr>
          <w:p>
            <w:pPr>
              <w:spacing w:after="0"/>
              <w:rPr>
                <w:sz w:val="24"/>
                <w:szCs w:val="24"/>
                <w:color w:val="auto"/>
              </w:rPr>
            </w:pPr>
          </w:p>
        </w:tc>
        <w:tc>
          <w:tcPr>
            <w:tcW w:w="37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Information About the Annual Meeting and Voting</w:t>
            </w:r>
          </w:p>
        </w:tc>
        <w:tc>
          <w:tcPr>
            <w:tcW w:w="7040" w:type="dxa"/>
            <w:vAlign w:val="bottom"/>
            <w:gridSpan w:val="4"/>
            <w:vMerge w:val="restart"/>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700" w:type="dxa"/>
            <w:vAlign w:val="bottom"/>
            <w:tcBorders>
              <w:bottom w:val="single" w:sz="8" w:color="0000EE"/>
            </w:tcBorders>
            <w:gridSpan w:val="13"/>
            <w:vMerge w:val="continue"/>
          </w:tcPr>
          <w:p>
            <w:pPr>
              <w:spacing w:after="0"/>
              <w:rPr>
                <w:sz w:val="14"/>
                <w:szCs w:val="14"/>
                <w:color w:val="auto"/>
              </w:rPr>
            </w:pPr>
          </w:p>
        </w:tc>
        <w:tc>
          <w:tcPr>
            <w:tcW w:w="7040" w:type="dxa"/>
            <w:vAlign w:val="bottom"/>
            <w:gridSpan w:val="4"/>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1: Election of Directors</w:t>
            </w:r>
          </w:p>
        </w:tc>
        <w:tc>
          <w:tcPr>
            <w:tcW w:w="836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 Compensation</w:t>
            </w:r>
          </w:p>
        </w:tc>
        <w:tc>
          <w:tcPr>
            <w:tcW w:w="90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78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600" w:type="dxa"/>
            <w:vAlign w:val="bottom"/>
            <w:tcBorders>
              <w:top w:val="single" w:sz="8" w:color="0000EE"/>
            </w:tcBorders>
            <w:gridSpan w:val="3"/>
          </w:tcPr>
          <w:p>
            <w:pPr>
              <w:spacing w:after="0"/>
              <w:rPr>
                <w:sz w:val="17"/>
                <w:szCs w:val="17"/>
                <w:color w:val="auto"/>
              </w:rPr>
            </w:pPr>
          </w:p>
        </w:tc>
        <w:tc>
          <w:tcPr>
            <w:tcW w:w="83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2: Advisory Vote to Approve Named Executive Officer Compensation</w:t>
            </w:r>
          </w:p>
        </w:tc>
        <w:tc>
          <w:tcPr>
            <w:tcW w:w="49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0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Proposal 3: Ratification of Appointment of Independent Registered Public Accounting Firm</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26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the Audit Committee</w:t>
            </w:r>
          </w:p>
        </w:tc>
        <w:tc>
          <w:tcPr>
            <w:tcW w:w="8480" w:type="dxa"/>
            <w:vAlign w:val="bottom"/>
            <w:gridSpan w:val="11"/>
          </w:tcPr>
          <w:p>
            <w:pPr>
              <w:spacing w:after="0"/>
              <w:rPr>
                <w:sz w:val="16"/>
                <w:szCs w:val="16"/>
                <w:color w:val="auto"/>
              </w:rPr>
            </w:pPr>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Management</w:t>
            </w:r>
          </w:p>
        </w:tc>
        <w:tc>
          <w:tcPr>
            <w:tcW w:w="71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78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Solicitation</w:t>
            </w:r>
          </w:p>
        </w:tc>
        <w:tc>
          <w:tcPr>
            <w:tcW w:w="990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Delivery of Documents to Stockholders Sharing an Address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32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Stockholder Proposals</w:t>
            </w:r>
          </w:p>
        </w:tc>
        <w:tc>
          <w:tcPr>
            <w:tcW w:w="642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Stockholder Communications with the Board of Directors</w:t>
            </w:r>
          </w:p>
        </w:tc>
        <w:tc>
          <w:tcPr>
            <w:tcW w:w="656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Matters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7"/>
        </w:trPr>
        <w:tc>
          <w:tcPr>
            <w:tcW w:w="60" w:type="dxa"/>
            <w:vAlign w:val="bottom"/>
            <w:tcBorders>
              <w:bottom w:val="single" w:sz="8" w:color="9A9A9A"/>
            </w:tcBorders>
          </w:tcPr>
          <w:p>
            <w:pPr>
              <w:spacing w:after="0"/>
              <w:rPr>
                <w:sz w:val="24"/>
                <w:szCs w:val="24"/>
                <w:color w:val="auto"/>
              </w:rPr>
            </w:pPr>
          </w:p>
        </w:tc>
        <w:tc>
          <w:tcPr>
            <w:tcW w:w="8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7, 2025</w:t>
      </w:r>
    </w:p>
    <w:p>
      <w:pPr>
        <w:spacing w:after="0" w:line="20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Distribution of Proxy Materials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Proxy Statement and the enclosed form of proxy are being mailed to our stockholders on or about June 30, 2025, in connection with the solicitation by the Board of Directors (the “Board”) of Destination XL Group, Inc. (the “Company”) of proxies to be used at the 2025 Annual Meeting of Stockholders (the “Annual Meeting”) to be held at the Company’s corporate headquarters located at 555 Turnpike Street, Canton, Massachusetts 02021 at 11:30 A.M. local time on Thursday, August 7, 2025 and any adjournment or postponement thereof. This Proxy Statement describes the matters to be voted on at the Annual Meeting and contains other required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Entitled to Vote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Only holders of record of our common stock, par value $0.01 per share, at the close of business on June 13, 2025, the record date for the Annual Meeting, will be entitled to notice of, and to vote at, the Annual Meeting. On that date, there were 53,815,004 shares of common stock issued and outstanding. Each share is entitled to one vote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Instructions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Stockholders are encouraged to vote on the matters to be considered. If no instructions have been specified by a stockholder, however, the shares covered by an executed proxy will be voted (i) “FOR” the election of all seven nominees to serve as directors of the Company, (ii) “FOR” the approval, on an advisory basis, of named executive officer compensation, (iii) “FOR” the ratification of the appointment of KPMG LLP as our independent registered public accounting firm for the fiscal year ending January 31, 2026 and (iv) in the discretion of the proxies named in the proxy card with respect to any other matters properly brought before the Annual Meeting. We are not aware of any other matter that may be properly presented at the Annual Meeting.</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3 to ratify the appointment of our independent registered public accounting firm,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83" w:lineRule="exact"/>
        <w:rPr>
          <w:sz w:val="20"/>
          <w:szCs w:val="20"/>
          <w:color w:val="auto"/>
        </w:rPr>
      </w:pPr>
    </w:p>
    <w:p>
      <w:pPr>
        <w:jc w:val="center"/>
        <w:ind w:right="120"/>
        <w:spacing w:after="0" w:line="407" w:lineRule="auto"/>
        <w:rPr>
          <w:sz w:val="20"/>
          <w:szCs w:val="20"/>
          <w:color w:val="auto"/>
        </w:rPr>
      </w:pPr>
      <w:r>
        <w:rPr>
          <w:rFonts w:ascii="Times New Roman" w:cs="Times New Roman" w:eastAsia="Times New Roman" w:hAnsi="Times New Roman"/>
          <w:sz w:val="18"/>
          <w:szCs w:val="18"/>
          <w:color w:val="auto"/>
        </w:rPr>
        <w:t>As a result, if you are not the record holder of your shares, it is critical that you provide instructions to your broker or bank if you want your vote to count.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Revoking Your Proxy or Changing Your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it has been exercised as follows:</w:t>
      </w:r>
    </w:p>
    <w:p>
      <w:pPr>
        <w:spacing w:after="0" w:line="11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in person; or</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a Proposal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majority of the votes properly cast “FOR” a matter is required for all proposals. In addition, as described in more detail in Proposal 2 below, Proposal 2 is an advisory vote and is non-binding.</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Votes cast means the votes actually cast “FOR” or “AGAINST” a particular proposal, whether in person or by proxy. With respect to all matters presented at the Annual Meeting, abstentions and non-votes will not be deemed to be votes “cast” with respect to such matters and will not count as votes “FOR” or “AGAINST” such matter. Votes will be tabulated by our transfer agent subject to the supervision of the person designated by the Board as an inspector.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in accordance with our Fourth Amended and Restated By-Laws (the “By-Laws”), has set the number of members at seven directors.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At the Annual Meeting, seven nominees will be elected to serve on the Board until the 2026 Annual Meeting of Stockholders and until their respective successors have been duly elected and qualified. Accordingly, the Nominating and Corporate Governance Committee has recommended, and our Board has nominated, Lionel F. Conacher, Harvey S. Kanter, Carmen R. Bauza, Jack Boyle, Willem Mesdag, Ivy Ross and Elaine K. Rubin as nominees, all of whom currently serve as members of our Board.</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Unless a proxy shall specify that it is not to be voted for a nominee, it is intended that the shares represented by each duly executed and returned proxy will be voted in favor of the election as directors of Lionel F. Conacher, Harvey S. Kanter, Carmen R. Bauza, Jack Boyle, Willem Mesdag, Ivy Ross and Elaine K. Rubin. Although management expects all nominees to serve if elected, proxies will be voted for a substitute if a nominee is unable to accept nomination or election. Cumulative voting is not permitted.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election of each of the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the seven individuals named above as directors of our Company.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as of June 13, 2025, and certain other information for each of our current directors, all terms expiring at the Annual Meeting.</w:t>
      </w:r>
    </w:p>
    <w:tbl>
      <w:tblPr>
        <w:tblLayout w:type="fixed"/>
        <w:tblInd w:w="0" w:type="dxa"/>
        <w:tblCellMar>
          <w:top w:w="0" w:type="dxa"/>
          <w:left w:w="0" w:type="dxa"/>
          <w:bottom w:w="0" w:type="dxa"/>
          <w:right w:w="0" w:type="dxa"/>
        </w:tblCellMar>
      </w:tblPr>
      <w:tr>
        <w:trPr>
          <w:trHeight w:val="132"/>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Nominating and</w:t>
            </w:r>
          </w:p>
        </w:tc>
        <w:tc>
          <w:tcPr>
            <w:tcW w:w="100" w:type="dxa"/>
            <w:vAlign w:val="bottom"/>
          </w:tcPr>
          <w:p>
            <w:pPr>
              <w:spacing w:after="0"/>
              <w:rPr>
                <w:sz w:val="11"/>
                <w:szCs w:val="11"/>
                <w:color w:val="auto"/>
              </w:rPr>
            </w:pPr>
          </w:p>
        </w:tc>
        <w:tc>
          <w:tcPr>
            <w:tcW w:w="10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Cybersecurity</w:t>
            </w:r>
          </w:p>
        </w:tc>
      </w:tr>
      <w:tr>
        <w:trPr>
          <w:trHeight w:val="14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2"/>
                <w:szCs w:val="12"/>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and</w:t>
            </w:r>
          </w:p>
        </w:tc>
      </w:tr>
      <w:tr>
        <w:trPr>
          <w:trHeight w:val="165"/>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Age</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Governance</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Data Privacy</w:t>
            </w: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Lionel F. Conacher, Chairman of the Board and Director</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Harvey S. Kanter, President and Chief Executive Officer and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Carmen R. Bauza, Director</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Jack Boyle, Director</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Willem Mesdag, Director</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Ivy Ross, Director</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Elaine K. Rubin, Director</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Nominees</w:t>
      </w:r>
    </w:p>
    <w:p>
      <w:pPr>
        <w:spacing w:after="0" w:line="1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1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Lionel F. Conacher </w:t>
      </w:r>
      <w:r>
        <w:rPr>
          <w:rFonts w:ascii="Times New Roman" w:cs="Times New Roman" w:eastAsia="Times New Roman" w:hAnsi="Times New Roman"/>
          <w:sz w:val="17"/>
          <w:szCs w:val="17"/>
          <w:color w:val="auto"/>
        </w:rPr>
        <w:t>has been a director of the Company since June 2018 and Chairman of the Board since August 12, 2020. Since September 2021,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Conacher has served as a member of the board of directors for SRx Health Solutions, Inc. (formerly Better Choice Company Inc.), a publicly traded company and currently serves as a member of its audit and compensation committees. From September 2022 until May 2023, he served as its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our Board.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Harvey S. Kanter </w:t>
      </w:r>
      <w:r>
        <w:rPr>
          <w:rFonts w:ascii="Times New Roman" w:cs="Times New Roman" w:eastAsia="Times New Roman" w:hAnsi="Times New Roman"/>
          <w:sz w:val="18"/>
          <w:szCs w:val="18"/>
          <w:color w:val="auto"/>
        </w:rPr>
        <w:t>is the President and Chief Executive Officer and a director of the Company. Mr. Kanter joined the Company in February 2019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role as Advisor to the Acting CEO and assumed the role of President and Chief Executive Officer and a director of the Company in April 2019. Mr. Kanter served as a non-executive co-chair at Seattle University Center for Leadership Formation, Albers School of Business and Economics from February 2021 until February 2024. Mr. Kanter served as a director and a member of the compensation committee of Potbelly Corporation, a publicly traded company, from August 2015 until May 2019. Mr. Kanter has over 35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 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extensive knowledge of integrated-commerce retailing, with strong strategic and operational expertise.</w:t>
      </w:r>
    </w:p>
    <w:p>
      <w:pPr>
        <w:spacing w:after="0" w:line="1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Carmen R. Bauza </w:t>
      </w:r>
      <w:r>
        <w:rPr>
          <w:rFonts w:ascii="Times New Roman" w:cs="Times New Roman" w:eastAsia="Times New Roman" w:hAnsi="Times New Roman"/>
          <w:sz w:val="18"/>
          <w:szCs w:val="18"/>
          <w:color w:val="auto"/>
        </w:rPr>
        <w:t>has been a director of the Company since December 2021. In March 2023, Ms. Bauza joined the board of directors of OneWater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 publicly traded company, and serves as a member of its audit and compensation committees. Since May 2022, Ms. Bauza has also served on the board of directors of Zumiez, Inc., a publicly traded company, and serves as a member of its audit and governance and nominating committees. Ms. Bauza serves as a member of the board of managers of Claire’s Holdings LLC, which she joined in October 2018. Most recently, Ms. Bauza was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 2007 to October 2016. 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June 2025, Mr. Boyle has been the managing partner of Fam Bam Sports. Mr. Boyle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buying and North America for Fanatics, Inc., a market leader for officially licensed sports merchandise from January 2024 until his retirement in June 2025.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Mr. Mesdag is the managing partner of Red Mountain Capital Partners LLC, an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He also currently serves on the board of Heidrick &amp; Struggles International, Inc., a publicly traded company, for which he chairs the audit and finance committee and serves on the human resources and compensation committee. He previously served on the boards of 3i Group plc, Cost Plus, Inc., Encore Capital Group, Inc., Nature’s Sunshine Products, Inc., Skandia AB and Yuma Energy, Inc., all of which are or were publicly-traded companies. Having had an extensive career in international investment banking and finance and having served on domestic and international public company boards, Mr. Mesdag brings to the Board significant knowledge and experience related to business and financial issues and corporate governance as well as an investor's perspective.</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Ivy Ross </w:t>
      </w:r>
      <w:r>
        <w:rPr>
          <w:rFonts w:ascii="Times New Roman" w:cs="Times New Roman" w:eastAsia="Times New Roman" w:hAnsi="Times New Roman"/>
          <w:sz w:val="18"/>
          <w:szCs w:val="18"/>
          <w:color w:val="auto"/>
        </w:rPr>
        <w:t>has been a director since January 2013. In May 2014, Ms. Ross joined Google as head of glass and is currently a vice president of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at Google. From July 2011 until April 2014, Ms. Ross was the chief marketing officer of Art.com where she oversaw the company's marketing, branding, merchandising and user-experience functions. Prior to Art.com, from June 2008 to June 2011, Ms. Ross was executive vice president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Elaine K. Rubin </w:t>
      </w:r>
      <w:r>
        <w:rPr>
          <w:rFonts w:ascii="Times New Roman" w:cs="Times New Roman" w:eastAsia="Times New Roman" w:hAnsi="Times New Roman"/>
          <w:sz w:val="18"/>
          <w:szCs w:val="18"/>
          <w:color w:val="auto"/>
        </w:rPr>
        <w:t>has been a director since April 2021. Since January 2010, Ms. Rubin has been the founder and president of Digital Prophets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 consulting, advisory and placement firm with a network of digital commerce experts that supports the growth of retail and direct-to-consumer businesses. Since January 2024, Ms. Rubin has served as a strategic advisor to Cordial, a marketing platform designed to power data-driven, high conversion messages at scale. From November 2023, Ms. Rubin has served as a board member for Women and Climate, a non-profit organization. From October 2013 to November 2023, she has also served as an advisor to Hint, Inc., which produces fruit-infused water. Prior to that, Ms. Rubin held leadership positions at 1800flowers.com, iVillage.com and amazon.com. She previously served on the boards of Smart &amp; Final Stores, Inc. and Blue Nile, Inc., both of which were formerly publicly traded companies. Ms. Rubin co-founded shop.org in February 1996 and served as its elected chair of the board of directors from February 1996 to October 2007 and served on the board of the National Retail Federation from 2001 until 2010. Ms. Rubin brings extensive knowledge and experience of digital commerce business and provides valuable insights to the Board as we continue to grow our direct business.</w:t>
      </w:r>
    </w:p>
    <w:p>
      <w:pPr>
        <w:spacing w:after="0" w:line="1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comprised of seven members and there are no vacancies.</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Board met 12 times during our fiscal year ended February 1, 2025 (“fiscal 2024”). All directors attended at least 75% of the Board meetings and meetings of the committees of the Board on which each director served. We believe that it is important for the members of the Board to attend our annual stockholder meetings. All members of the Board attended our 2024 Annual Meeting of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value of diversity at the Board level and believe that our Board currently comprises an appropriate mix of background, diversity and expertise. Although we do not have a formal separate written policy, our Nominating and Corporate Governance Committee is required under its charter to recommend nominees that ensure sufficient diversity of backgrounds on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Diversity Matrix below presents the composition of our Board by gender identity and demographic background: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June 13,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120" w:type="dxa"/>
            <w:vAlign w:val="bottom"/>
          </w:tcPr>
          <w:p>
            <w:pPr>
              <w:spacing w:after="0"/>
              <w:rPr>
                <w:sz w:val="12"/>
                <w:szCs w:val="12"/>
                <w:color w:val="auto"/>
              </w:rPr>
            </w:pP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Male</w:t>
            </w:r>
          </w:p>
        </w:tc>
        <w:tc>
          <w:tcPr>
            <w:tcW w:w="120" w:type="dxa"/>
            <w:vAlign w:val="bottom"/>
          </w:tcPr>
          <w:p>
            <w:pPr>
              <w:spacing w:after="0"/>
              <w:rPr>
                <w:sz w:val="12"/>
                <w:szCs w:val="1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Non-Binary</w:t>
            </w:r>
          </w:p>
        </w:tc>
        <w:tc>
          <w:tcPr>
            <w:tcW w:w="100" w:type="dxa"/>
            <w:vAlign w:val="bottom"/>
          </w:tcPr>
          <w:p>
            <w:pPr>
              <w:spacing w:after="0"/>
              <w:rPr>
                <w:sz w:val="12"/>
                <w:szCs w:val="12"/>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Did Not Disclose Gender</w:t>
            </w:r>
          </w:p>
        </w:tc>
      </w:tr>
      <w:tr>
        <w:trPr>
          <w:trHeight w:val="209"/>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number of directors: 7</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Part I: Gender Identity</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5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Part II: Demographic Background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5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5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5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5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5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comply with the corporate governance requirements imposed by the Sarbanes-Oxley Act of 2002 (the “Sarbanes-Oxley Act”), the Securities and Exchange Commission (the “SEC”) and The Nasdaq Stock Market LLC ("Nasdaq"). To assist the Board in fulfilling its responsibilities, we have adopted certain Corporate Governance Guidelines. Many features of our corporate governance principles are discussed in other sections of this Proxy Statement, but some of the highlights are:</w:t>
      </w:r>
    </w:p>
    <w:p>
      <w:pPr>
        <w:spacing w:after="0" w:line="68" w:lineRule="exact"/>
        <w:rPr>
          <w:sz w:val="20"/>
          <w:szCs w:val="20"/>
          <w:color w:val="auto"/>
        </w:rPr>
      </w:pPr>
    </w:p>
    <w:p>
      <w:pPr>
        <w:ind w:left="760" w:right="420" w:hanging="378"/>
        <w:spacing w:after="0" w:line="28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Election of Directors. </w:t>
      </w:r>
      <w:r>
        <w:rPr>
          <w:rFonts w:ascii="Times New Roman" w:cs="Times New Roman" w:eastAsia="Times New Roman" w:hAnsi="Times New Roman"/>
          <w:sz w:val="18"/>
          <w:szCs w:val="18"/>
          <w:color w:val="auto"/>
        </w:rPr>
        <w:t>Our directors are elected annually for a term of office to expire at the next Annual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election and qualification of their successors).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Size</w:t>
      </w:r>
      <w:r>
        <w:rPr>
          <w:rFonts w:ascii="Times New Roman" w:cs="Times New Roman" w:eastAsia="Times New Roman" w:hAnsi="Times New Roman"/>
          <w:sz w:val="18"/>
          <w:szCs w:val="18"/>
          <w:color w:val="auto"/>
        </w:rPr>
        <w:t>. The size of the Board is seven members.</w:t>
      </w:r>
    </w:p>
    <w:p>
      <w:pPr>
        <w:spacing w:after="0" w:line="117" w:lineRule="exact"/>
        <w:rPr>
          <w:rFonts w:ascii="Times New Roman" w:cs="Times New Roman" w:eastAsia="Times New Roman" w:hAnsi="Times New Roman"/>
          <w:sz w:val="18"/>
          <w:szCs w:val="18"/>
          <w:color w:val="auto"/>
        </w:rPr>
      </w:pPr>
    </w:p>
    <w:p>
      <w:pPr>
        <w:ind w:left="760" w:right="16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Majority Vote for Uncontested Director Elections. </w:t>
      </w:r>
      <w:r>
        <w:rPr>
          <w:rFonts w:ascii="Times New Roman" w:cs="Times New Roman" w:eastAsia="Times New Roman" w:hAnsi="Times New Roman"/>
          <w:sz w:val="18"/>
          <w:szCs w:val="18"/>
          <w:color w:val="auto"/>
        </w:rPr>
        <w:t>Under our By-Laws, in an uncontested election, a majority of the votes properly cast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71"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Board and Committees. </w:t>
      </w:r>
      <w:r>
        <w:rPr>
          <w:rFonts w:ascii="Times New Roman" w:cs="Times New Roman" w:eastAsia="Times New Roman" w:hAnsi="Times New Roman"/>
          <w:sz w:val="18"/>
          <w:szCs w:val="18"/>
          <w:color w:val="auto"/>
        </w:rPr>
        <w:t>With the exception of Mr. Kanter, all members of our Board are independent directors. All members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Board’s Audit, Compensation and Nominating and Corporate Governance Committees are independent directors, and no members receive compensation from us other than for service on our Board or its committees.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760" w:right="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Chairperson/Independent Lead Director. </w:t>
      </w:r>
      <w:r>
        <w:rPr>
          <w:rFonts w:ascii="Times New Roman" w:cs="Times New Roman" w:eastAsia="Times New Roman" w:hAnsi="Times New Roman"/>
          <w:sz w:val="18"/>
          <w:szCs w:val="18"/>
          <w:color w:val="auto"/>
        </w:rPr>
        <w:t>We have had an independent Non-Executive Chairman of the Board since January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Our Corporate Governance Guidelines provide that, if the Chairman is not independent, the Board will appoint an independent Lead Director.</w:t>
      </w:r>
    </w:p>
    <w:p>
      <w:pPr>
        <w:spacing w:after="0" w:line="62" w:lineRule="exact"/>
        <w:rPr>
          <w:rFonts w:ascii="Times New Roman" w:cs="Times New Roman" w:eastAsia="Times New Roman" w:hAnsi="Times New Roman"/>
          <w:sz w:val="18"/>
          <w:szCs w:val="18"/>
          <w:color w:val="auto"/>
        </w:rPr>
      </w:pPr>
    </w:p>
    <w:p>
      <w:pPr>
        <w:ind w:left="760" w:right="6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Executive Sessions. </w:t>
      </w:r>
      <w:r>
        <w:rPr>
          <w:rFonts w:ascii="Times New Roman" w:cs="Times New Roman" w:eastAsia="Times New Roman" w:hAnsi="Times New Roman"/>
          <w:sz w:val="18"/>
          <w:szCs w:val="18"/>
          <w:color w:val="auto"/>
        </w:rPr>
        <w:t>Our Board holds independent executive sessions on at least a semi-annual basis, where independent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w:t>
      </w:r>
    </w:p>
    <w:p>
      <w:pPr>
        <w:spacing w:after="0" w:line="46" w:lineRule="exact"/>
        <w:rPr>
          <w:rFonts w:ascii="Times New Roman" w:cs="Times New Roman" w:eastAsia="Times New Roman" w:hAnsi="Times New Roman"/>
          <w:sz w:val="18"/>
          <w:szCs w:val="18"/>
          <w:color w:val="auto"/>
        </w:rPr>
      </w:pPr>
    </w:p>
    <w:p>
      <w:pPr>
        <w:ind w:left="760" w:right="200" w:hanging="378"/>
        <w:spacing w:after="0" w:line="257"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Our Non-Employee Director Compensation Plan, as amended to date (the “Director Plan”), requires that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receive 60% of his or her annual retainer in shares of common stock until the value of his or her equity ownership is equal to at least three times the annual retainer. A director may not sell any required equity received under the Director Plan while each director is still serving on the Board without the approval of the Board. We encourage our senior management to have meaningful ownership in our Company and, through our long-term incentive program, provide our senior management team an opportunity to acquire such stock ownership. However, we do not currently have any stock ownership guidelines in place for members of senior management.</w:t>
      </w:r>
    </w:p>
    <w:p>
      <w:pPr>
        <w:spacing w:after="0" w:line="74" w:lineRule="exact"/>
        <w:rPr>
          <w:rFonts w:ascii="Times New Roman" w:cs="Times New Roman" w:eastAsia="Times New Roman" w:hAnsi="Times New Roman"/>
          <w:sz w:val="18"/>
          <w:szCs w:val="18"/>
          <w:color w:val="auto"/>
        </w:rPr>
      </w:pPr>
    </w:p>
    <w:p>
      <w:pPr>
        <w:ind w:left="760" w:right="42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and No Pledging of Company Securities. </w:t>
      </w:r>
      <w:r>
        <w:rPr>
          <w:rFonts w:ascii="Times New Roman" w:cs="Times New Roman" w:eastAsia="Times New Roman" w:hAnsi="Times New Roman"/>
          <w:sz w:val="18"/>
          <w:szCs w:val="18"/>
          <w:color w:val="auto"/>
        </w:rPr>
        <w:t>Our Insider Trading Policy prohibits our directors, officers and employees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engaging in various hedging and pledging activities with Company securities, including short sales and any transaction involving a publicly traded option, such as a put, call or other derivative security.</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Stockholder Rights Plan. </w:t>
      </w:r>
      <w:r>
        <w:rPr>
          <w:rFonts w:ascii="Times New Roman" w:cs="Times New Roman" w:eastAsia="Times New Roman" w:hAnsi="Times New Roman"/>
          <w:sz w:val="18"/>
          <w:szCs w:val="18"/>
          <w:color w:val="auto"/>
        </w:rPr>
        <w:t>We do not currently have a stockholder rights plan in effect and are not currently considering adopting one.</w:t>
      </w:r>
    </w:p>
    <w:p>
      <w:pPr>
        <w:spacing w:after="0" w:line="117" w:lineRule="exact"/>
        <w:rPr>
          <w:rFonts w:ascii="Times New Roman" w:cs="Times New Roman" w:eastAsia="Times New Roman" w:hAnsi="Times New Roman"/>
          <w:sz w:val="18"/>
          <w:szCs w:val="18"/>
          <w:color w:val="auto"/>
        </w:rPr>
      </w:pPr>
    </w:p>
    <w:p>
      <w:pPr>
        <w:ind w:left="760" w:right="6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Required for Merger or Business Combination</w:t>
      </w:r>
      <w:r>
        <w:rPr>
          <w:rFonts w:ascii="Times New Roman" w:cs="Times New Roman" w:eastAsia="Times New Roman" w:hAnsi="Times New Roman"/>
          <w:sz w:val="18"/>
          <w:szCs w:val="18"/>
          <w:color w:val="auto"/>
        </w:rPr>
        <w:t>. A majority vote of the outstanding shares entitled to vote is needed for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approve a merger or business combination.</w:t>
      </w:r>
    </w:p>
    <w:p>
      <w:pPr>
        <w:spacing w:after="0" w:line="46" w:lineRule="exact"/>
        <w:rPr>
          <w:rFonts w:ascii="Times New Roman" w:cs="Times New Roman" w:eastAsia="Times New Roman" w:hAnsi="Times New Roman"/>
          <w:sz w:val="18"/>
          <w:szCs w:val="18"/>
          <w:color w:val="auto"/>
        </w:rPr>
      </w:pPr>
    </w:p>
    <w:p>
      <w:pPr>
        <w:ind w:left="760" w:hanging="378"/>
        <w:spacing w:after="0" w:line="278" w:lineRule="auto"/>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Clawback Policies. </w:t>
      </w:r>
      <w:r>
        <w:rPr>
          <w:rFonts w:ascii="Times New Roman" w:cs="Times New Roman" w:eastAsia="Times New Roman" w:hAnsi="Times New Roman"/>
          <w:sz w:val="17"/>
          <w:szCs w:val="17"/>
          <w:color w:val="212121"/>
        </w:rPr>
        <w:t>The Board adopted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52525"/>
        </w:rPr>
        <w:t>clawback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12121"/>
        </w:rPr>
        <w:t>policy (the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52525"/>
        </w:rPr>
        <w:t>Clawback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12121"/>
        </w:rPr>
        <w:t>Policy”) that complies with the final SEC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mandated by the Dodd-Frank Wall Street Reform and Consumer Protection Act of 2010 (the “Dodd-Frank Act”) and Nasdaq listing requirements. The Executive Clawback Policy provides for repayment of incentive-based compensation in the event of an accounting restatement resulting from noncompliance with financial reporting requirements under federal securities laws. The Executive Clawback Policy is in addition to the clawback provisions in our employment agreements with members of our senior management and in our long-term incentive plans.</w:t>
      </w:r>
    </w:p>
    <w:p>
      <w:pPr>
        <w:spacing w:after="0" w:line="55" w:lineRule="exact"/>
        <w:rPr>
          <w:rFonts w:ascii="Times New Roman" w:cs="Times New Roman" w:eastAsia="Times New Roman" w:hAnsi="Times New Roman"/>
          <w:sz w:val="17"/>
          <w:szCs w:val="17"/>
          <w:color w:val="auto"/>
        </w:rPr>
      </w:pPr>
    </w:p>
    <w:p>
      <w:pPr>
        <w:ind w:left="760" w:right="52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Overboarding Policy. </w:t>
      </w:r>
      <w:r>
        <w:rPr>
          <w:rFonts w:ascii="Times New Roman" w:cs="Times New Roman" w:eastAsia="Times New Roman" w:hAnsi="Times New Roman"/>
          <w:sz w:val="18"/>
          <w:szCs w:val="18"/>
          <w:color w:val="auto"/>
        </w:rPr>
        <w:t>No director can serve on more than five public company boards. In addition, no director who is a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can serve on more than one public company board besides that of our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Members of our Board and senior management regularly engage with our stockholders throughout the year and welcome their feedback on our practices and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majority of the members of the Board are “independent” under the rules of Nasdaq. The Board has determined that the following current directors are independent: Mses. Bauza, Ross and Rubin and Messrs. Boyle, Conacher and Mesdag.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Board has four standing committees: the Nominating and Corporate Governance Committee, the Audit Committee, the Compensation Committee and the Cybersecurity and Data Privacy Committee. Each committee is comprised of directors who are “independent.”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(the “Nominating Committee”) has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also has responsibility for overseeing the Company’s policies, practices and disclosures with respect to sustainability and environmental, social and governance (“ESG”) factors, including overseeing the assessment of climate risks. The Nominating Committee has the authority to retain independent advisors, with all fees and expenses to be paid by the Company. The current members of the Nominating Committee are Mr. Boyle and Mses. Bauza and Rubin, each of whom is “independent” under the rules of Nasdaq. The Nominating Committee met three times during fiscal 2024.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54"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reputation for integrity, honesty and adherence to high ethical standards.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commitment to understand our Company and our industry and to regularly attend and participate in meetings of the Board and its committees.</w:t>
      </w:r>
    </w:p>
    <w:p>
      <w:pPr>
        <w:spacing w:after="0" w:line="53"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6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current procedures to be followed by stockholders in submitting recommendations for director candidates can be found in Section 4.15 of our By-Laws.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Securities Exchange Act of 1934, as amended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qualifies as an audit committee financial expert under the rules of the SEC.</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 w:name="page12"/>
    <w:bookmarkEnd w:id="11"/>
    <w:p>
      <w:pPr>
        <w:ind w:right="100"/>
        <w:spacing w:after="0" w:line="254" w:lineRule="auto"/>
        <w:rPr>
          <w:sz w:val="20"/>
          <w:szCs w:val="20"/>
          <w:color w:val="auto"/>
        </w:rPr>
      </w:pPr>
      <w:r>
        <w:rPr>
          <w:rFonts w:ascii="Times New Roman" w:cs="Times New Roman" w:eastAsia="Times New Roman" w:hAnsi="Times New Roman"/>
          <w:sz w:val="18"/>
          <w:szCs w:val="18"/>
          <w:color w:val="auto"/>
        </w:rPr>
        <w:t>The purpose of the Audit Committee is to (i) assist the Board in fulfilling its oversight responsibilities to the stockholders, potential stockholders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to perform its responsibilities. During fiscal 2024, the Audit Committee met six times.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Audit Committee, see the “</w:t>
      </w:r>
      <w:r>
        <w:rPr>
          <w:rFonts w:ascii="Times New Roman" w:cs="Times New Roman" w:eastAsia="Times New Roman" w:hAnsi="Times New Roman"/>
          <w:sz w:val="18"/>
          <w:szCs w:val="18"/>
          <w:i w:val="1"/>
          <w:iCs w:val="1"/>
          <w:color w:val="auto"/>
        </w:rPr>
        <w:t>Report of the Audit Committee</w:t>
      </w:r>
      <w:r>
        <w:rPr>
          <w:rFonts w:ascii="Times New Roman" w:cs="Times New Roman" w:eastAsia="Times New Roman" w:hAnsi="Times New Roman"/>
          <w:sz w:val="18"/>
          <w:szCs w:val="18"/>
          <w:color w:val="auto"/>
        </w:rPr>
        <w:t>” included elsewhere in this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three times during fiscal 2024. The current members of the Compensation Committee are Messrs. Mesdag, Boyle and Conacher, each of whom is “independent” under the rules of Nasdaq.</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Compensation Committee operates under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and Data Privacy Committee</w:t>
      </w:r>
    </w:p>
    <w:p>
      <w:pPr>
        <w:spacing w:after="0" w:line="11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Mses. Bauza, Ross and Rubin. The Cybersecurity Committee met four times during fiscal 2024.</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its charter, our Cybersecurity Committee (i) assists our Board in fulfilling its risk oversight responsibilities with respect to the protection of the Company’s assets, including confidential, proprietary and personal information, reputation and goodwill in all forms; (ii) supervises and monitors the soundness of our cybersecurity and data protection strategies and practices; (iii) oversees and monitors our material compliance with applicable information security, privacy and data protection laws, industry standards and contractual requirements; (iv) promotes and furthers the integrity, adoption and coordination of our data security processes across the Company to help ensure that data and system security is a Company-wide business objective and priority; and (v) oversees our cybersecurity and data protection performance and the overall implementation of our cybersecurity and data protection strategy.</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The Cybersecurity Committee operates under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believes that the Company and its stockholders are best served by maintaining flexibility to have any director serve as Chairperson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Corporate Governance Guidelines, if the Chairperson is not independent, the Board appoints an independent Lead Director.</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human capital and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overall governance structure, director succession planning and our environmental, sustainability and social programs. Our Board committees report their findings to the full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Governance</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We recognize the importance of addressing and prioritizing ESG issues throughout our business, including recognizing and addressing specific climate-related risks. During fiscal 2021, we formed the Sustainability and Governance Committee, consisting of a cross-disciplinary team from corporate management and engaged with a third-party firm to assist us in the development of the Company's initial ESG strategy and initiatives. The Sustainability and Governance Committee reports to the senior management team of the Company and to the Nominating Committee of our Board, which is responsible for the oversight of our initiatives. We are working to develop short-term and long-term ESG goals, as well as an action plan. Information regarding our current efforts, and our ongoing ESG initiatives can be found under “ESG”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The information included in, referenced to, or otherwise accessible through our website, is not incorporated by reference in, or considered to be part of, this document or any document unless expressly incorporated by reference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has adopted Corporate Governance Guidelines that set forth our governance principles relating to, among other things, director independence, director qualifications and responsibilities, board structure and meetings, and management succession.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A copy of the Corporate Governance Guidelines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adopted a Securities Trading Policy, which is our insider trading policy governing the purchase, sale, and/or other disposition of our securities by our directors, officers, and employees. We believe that our Securities Trading Policy is reasonably designed to promote compliance with insider trading laws, rules, and regulations and the exchange listing standards applicable to us. A copy of our Securities Trading Policy is filed as Exhibit 19.1 to our Annual Report on Form 10-K for the fiscal year ended February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Each of Willem Mesdag, Jack Boyle and Lionel F. Conacher served as a member of the Compensation Committee during fiscal 2024, none of whom was, at any time during fiscal 2024 or at any other time, an officer or employee of our Company. During fiscal 2024, none of our executive officers served as a member of the board of directors or compensation committee of any other entity that had one or more executive officers serving as a member of our Board or Compensation Committee.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Director Plan sets forth the compensation to be paid to our non-employee directors, including in the form of equity. The Director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Second Amended and Restated 2016 Incentive Compensation Plan (the “2016 Plan”). The Director Plan also permits the Company’s non-employee directors to acquire shares of the Company’s common stock at fair market value by voluntarily electing to receive shares of common stock in lieu of cash fees for service as a director. In November 2023, the Director Plan was amended to permit directors the ability to select shares of deferred stock beginning in fiscal 2024. Any shares of deferred stock are issued from the 2016 Plan.</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Director Plan is a stand-alone plan and is not a sub-plan under the 2016 Plan. Accordingly, shares issued under the Director Plan for voluntary elections to receive shares of common stock in lieu of cash fees do not reduce the shares available for issuance under the 2016 Plan. The maximum number of shares that can be issued in any quarter pursuant to the Director Plan is limited to 250,000 shares in the aggregate, with the shortfall paid in cash.</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our Director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Director Plan as follows in fiscal 2024:</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$33,750;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$10,000;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$5,000;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$2,500.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2024. Mr. Kanter is not included in the following table as he is a Named Executive Officer and, accordingly, received no compensation for his services as a director. Compensation earned by Mr. Kanter is included below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 in Cash</w:t>
            </w:r>
          </w:p>
        </w:tc>
        <w:tc>
          <w:tcPr>
            <w:tcW w:w="18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($)(2)</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195,000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195,000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Carmen R. Bauza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54,000</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80,991</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134,991</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Jack Boyle</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72,500</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72,492</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Willem Mesdag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144,991</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144,991</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Ivy Ross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77,500</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67,495</w:t>
            </w: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144,995</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Elaine K. Rubin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54,000</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80,991</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134,991</w:t>
            </w:r>
          </w:p>
        </w:tc>
      </w:tr>
    </w:tbl>
    <w:p>
      <w:pPr>
        <w:spacing w:after="0" w:line="247" w:lineRule="exact"/>
        <w:rPr>
          <w:sz w:val="20"/>
          <w:szCs w:val="20"/>
          <w:color w:val="auto"/>
        </w:rPr>
      </w:pPr>
    </w:p>
    <w:p>
      <w:pPr>
        <w:ind w:left="1140" w:hanging="383"/>
        <w:spacing w:after="0" w:line="25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Mr. Mesdag elected to receive all compensation in shares of deferred common stock. Mr. Conacher elected to receive 100% of his compensation in cash. Mr. Boyle elected to receive 50% of his compensation in unrestricted shares of common stock and 50% in cash. Ms. Ross elected to receive 50% of her retainer in cash and 50% in unrestricted shares of common stock, with any chairperson fees in cash. Until Mses. Bauza and Rubin reach the required minimum ownership threshold, each was required to elect 60% of their respective retainer in unrestricted shares of common stock with the remainder elected in cash. The number of shares issued as payment for an earned director fee is determined by taking the director fee earned and dividing by the consolidated closing price of our common stock on the grant date, based on the closing price on the last trading day of the immediately prior fiscal quarter. Payments are made at the beginning of each quarter, with the grant date being the first business day of each respective quarter.</w:t>
      </w:r>
    </w:p>
    <w:p>
      <w:pPr>
        <w:spacing w:after="0" w:line="16" w:lineRule="exact"/>
        <w:rPr>
          <w:rFonts w:ascii="Times New Roman" w:cs="Times New Roman" w:eastAsia="Times New Roman" w:hAnsi="Times New Roman"/>
          <w:sz w:val="18"/>
          <w:szCs w:val="18"/>
          <w:color w:val="auto"/>
        </w:rPr>
      </w:pPr>
    </w:p>
    <w:p>
      <w:pPr>
        <w:ind w:left="1140" w:right="320" w:hanging="383"/>
        <w:spacing w:after="0" w:line="261"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 The fractional share value is forfeited.</w:t>
      </w:r>
    </w:p>
    <w:p>
      <w:pPr>
        <w:ind w:left="1140" w:right="580" w:hanging="383"/>
        <w:spacing w:after="0" w:line="260"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2024. At February 1, 2025, Messrs. Boyle and Conacher each had outstanding stock options to purchase 15,000 shares of common stock.</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2024 (collectively, our “Named Executive Officers” or “NEOs”).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2024 were:</w:t>
      </w:r>
    </w:p>
    <w:p>
      <w:pPr>
        <w:spacing w:after="0" w:line="225" w:lineRule="exact"/>
        <w:rPr>
          <w:sz w:val="20"/>
          <w:szCs w:val="20"/>
          <w:color w:val="auto"/>
        </w:rPr>
      </w:pPr>
    </w:p>
    <w:p>
      <w:pPr>
        <w:ind w:left="1140" w:hanging="383"/>
        <w:spacing w:after="0"/>
        <w:tabs>
          <w:tab w:leader="none" w:pos="114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Harvey S. Kanter, President, CEO and Director</w:t>
      </w:r>
    </w:p>
    <w:p>
      <w:pPr>
        <w:spacing w:after="0" w:line="2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Peter H. Stratton, Jr., Executive Vice President, CFO and Treasurer</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Anthony J. Gaeta, Chief Stores and Real Estate Officer</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Robert S. Molloy, General Counsel and Secretary</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James F. Reath, Chief Marketing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Financial and Executive Compensation Highlights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Financial results for fiscal 2024 were below expectations given a difficult men’s apparel sector that negatively impacted traffic levels to our stores and conversion online. When we approved the plan for fiscal 2024, we expected that there would be a slow and steady improvement in consumer retail spending from fiscal 2023. However, we believe that our customers pulled back from shopping for apparel and, when they did shop during fiscal 2024, they were very price conscious and gravitated toward more moderate and entry-level price points. Comparable sales for fiscal 2024 decreased 10.6%. Even with the disappointing sales performance, management maintained its disciplined operating regimen and improved our merchandise margin, enabling the Company to maintain profitability and positive free cash flow. Despite management's diligence to manage operating expenses, certain elements of the Company's cost structure, including occupancy expense, were deleveraged by the sales shortfall.</w:t>
      </w:r>
    </w:p>
    <w:p>
      <w:pPr>
        <w:spacing w:after="0" w:line="18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Company maintained a strong balance sheet with cash and investments of $48.4 million, no debt and a healthy inventory position, which was down 6.8% to fiscal 2023. The Company generated cash flow from operations of $29.6 million and utilized $27.7 million for capital expenditures, resulting in free cash flow for fiscal 2024 of $1.9 million. Approximately $13.7 million of the $27.7 million in capital expenditures was spent on store development with the balance used primarily for technology projects.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believe that the compensation earned by our Named Executive Officers in fiscal 2024, which reflected a decrease in performance-based compensation, was properly aligned with our operating performance. The following table shows total compensation earned and total realized pay for each of the Named Executive Officers in fiscal 2024 as compared to fiscal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 w:type="dxa"/>
            <w:vAlign w:val="bottom"/>
            <w:vMerge w:val="restart"/>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w w:val="98"/>
              </w:rPr>
              <w:t>Total Compensation</w:t>
            </w:r>
            <w:r>
              <w:rPr>
                <w:rFonts w:ascii="Times New Roman" w:cs="Times New Roman" w:eastAsia="Times New Roman" w:hAnsi="Times New Roman"/>
                <w:sz w:val="24"/>
                <w:szCs w:val="24"/>
                <w:b w:val="1"/>
                <w:bCs w:val="1"/>
                <w:color w:val="auto"/>
                <w:w w:val="98"/>
                <w:vertAlign w:val="superscript"/>
              </w:rPr>
              <w:t>(1)</w:t>
            </w:r>
          </w:p>
        </w:tc>
        <w:tc>
          <w:tcPr>
            <w:tcW w:w="12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w w:val="97"/>
              </w:rPr>
              <w:t xml:space="preserve">Total Realized Pay </w:t>
            </w:r>
            <w:r>
              <w:rPr>
                <w:rFonts w:ascii="Times New Roman" w:cs="Times New Roman" w:eastAsia="Times New Roman" w:hAnsi="Times New Roman"/>
                <w:sz w:val="24"/>
                <w:szCs w:val="24"/>
                <w:b w:val="1"/>
                <w:bCs w:val="1"/>
                <w:color w:val="auto"/>
                <w:w w:val="97"/>
                <w:vertAlign w:val="superscript"/>
              </w:rPr>
              <w:t>(2)</w:t>
            </w:r>
          </w:p>
        </w:tc>
        <w:tc>
          <w:tcPr>
            <w:tcW w:w="9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18"/>
                <w:szCs w:val="18"/>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2,894,568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5,959,023</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2,302,870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4,269,385</w:t>
            </w: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931,911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1,048,280</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781,920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1,124,903</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779,463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872,760</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673,185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993,374</w:t>
            </w: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799,065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948,334</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1,320,125</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780,651</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709,507</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140" w:right="60" w:hanging="383"/>
        <w:spacing w:after="0" w:line="273" w:lineRule="auto"/>
        <w:tabs>
          <w:tab w:leader="none" w:pos="11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primary driver of the decrease in total compensation in fiscal 2024 for all of our Named Executive Officers reflects a decrease in the performance payout of the annual incentive plan as well as a decrease in the performance under our 2022-2024 LTIP as compared to fiscal 2023.In addition, the compensation for Mr. Kanter in fiscal 2023 included the grant date fair value of $2.4 million for the grant of 573,000 performance stock units that were granted to Mr. Kanter in connection with the extension of his employment agreement in August 2023. As of the end of fiscal 2024, no performance stock units have vested.</w:t>
      </w:r>
    </w:p>
    <w:p>
      <w:pPr>
        <w:spacing w:after="0" w:line="74" w:lineRule="exact"/>
        <w:rPr>
          <w:rFonts w:ascii="Times New Roman" w:cs="Times New Roman" w:eastAsia="Times New Roman" w:hAnsi="Times New Roman"/>
          <w:sz w:val="16"/>
          <w:szCs w:val="16"/>
          <w:color w:val="auto"/>
        </w:rPr>
      </w:pPr>
    </w:p>
    <w:p>
      <w:pPr>
        <w:ind w:left="1140" w:right="60" w:hanging="383"/>
        <w:spacing w:after="0" w:line="276" w:lineRule="auto"/>
        <w:tabs>
          <w:tab w:leader="none" w:pos="11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 Similar to total compensation, the decrease in realized pay for all Named Executive Officers in fiscal 2024 as compared to fiscal 2023 was due to a decrease in performance compensation.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aligned with the interests of the Company’s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17" w:lineRule="exact"/>
        <w:rPr>
          <w:rFonts w:ascii="Times New Roman" w:cs="Times New Roman" w:eastAsia="Times New Roman" w:hAnsi="Times New Roman"/>
          <w:sz w:val="18"/>
          <w:szCs w:val="18"/>
          <w:color w:val="auto"/>
        </w:rPr>
      </w:pPr>
    </w:p>
    <w:p>
      <w:pPr>
        <w:ind w:left="780" w:right="440" w:hanging="263"/>
        <w:spacing w:after="0" w:line="282"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which consists of total cash compensation (base salary and annual performance-based cash incentive awards) plus long-term incentive awards. Every year, the Compensation Committee assesses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6020" w:type="dxa"/>
            <w:vAlign w:val="bottom"/>
            <w:gridSpan w:val="3"/>
          </w:tcPr>
          <w:p>
            <w:pPr>
              <w:ind w:left="252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1"/>
        </w:trPr>
        <w:tc>
          <w:tcPr>
            <w:tcW w:w="2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24"/>
        </w:trPr>
        <w:tc>
          <w:tcPr>
            <w:tcW w:w="522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Focus on performance-based pay</w:t>
            </w:r>
          </w:p>
        </w:tc>
        <w:tc>
          <w:tcPr>
            <w:tcW w:w="6020" w:type="dxa"/>
            <w:vAlign w:val="bottom"/>
            <w:gridSpan w:val="3"/>
            <w:shd w:val="clear" w:color="auto" w:fill="CFF0FC"/>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re-pricing of underwater options</w:t>
            </w:r>
          </w:p>
        </w:tc>
      </w:tr>
      <w:tr>
        <w:trPr>
          <w:trHeight w:val="324"/>
        </w:trPr>
        <w:tc>
          <w:tcPr>
            <w:tcW w:w="522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Balance short-term and long-term incentives</w:t>
            </w:r>
          </w:p>
        </w:tc>
        <w:tc>
          <w:tcPr>
            <w:tcW w:w="6020" w:type="dxa"/>
            <w:vAlign w:val="bottom"/>
            <w:gridSpan w:val="3"/>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hedging or pledging of Company stock</w:t>
            </w:r>
          </w:p>
        </w:tc>
      </w:tr>
      <w:tr>
        <w:trPr>
          <w:trHeight w:val="324"/>
        </w:trPr>
        <w:tc>
          <w:tcPr>
            <w:tcW w:w="522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Use multiple targets for performance awards</w:t>
            </w:r>
          </w:p>
        </w:tc>
        <w:tc>
          <w:tcPr>
            <w:tcW w:w="6020" w:type="dxa"/>
            <w:vAlign w:val="bottom"/>
            <w:gridSpan w:val="3"/>
            <w:shd w:val="clear" w:color="auto" w:fill="CFF0FC"/>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tax gross-up on severance payments</w:t>
            </w:r>
          </w:p>
        </w:tc>
      </w:tr>
      <w:tr>
        <w:trPr>
          <w:trHeight w:val="324"/>
        </w:trPr>
        <w:tc>
          <w:tcPr>
            <w:tcW w:w="522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Provide executives with very limited perquisites</w:t>
            </w:r>
          </w:p>
        </w:tc>
        <w:tc>
          <w:tcPr>
            <w:tcW w:w="6020" w:type="dxa"/>
            <w:vAlign w:val="bottom"/>
            <w:gridSpan w:val="3"/>
          </w:tcPr>
          <w:p>
            <w:pPr>
              <w:ind w:left="62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No supplemental executive retirement plan</w:t>
            </w:r>
          </w:p>
        </w:tc>
      </w:tr>
      <w:tr>
        <w:trPr>
          <w:trHeight w:val="324"/>
        </w:trPr>
        <w:tc>
          <w:tcPr>
            <w:tcW w:w="522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Require “double-trigger” change-in-control provisions</w:t>
            </w:r>
          </w:p>
        </w:tc>
        <w:tc>
          <w:tcPr>
            <w:tcW w:w="252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06"/>
        </w:trPr>
        <w:tc>
          <w:tcPr>
            <w:tcW w:w="522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Maintain a “clawback” policy covering incentive cash and</w:t>
            </w:r>
          </w:p>
        </w:tc>
        <w:tc>
          <w:tcPr>
            <w:tcW w:w="2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52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equity programs</w:t>
            </w:r>
          </w:p>
        </w:tc>
        <w:tc>
          <w:tcPr>
            <w:tcW w:w="2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24"/>
        </w:trPr>
        <w:tc>
          <w:tcPr>
            <w:tcW w:w="5220" w:type="dxa"/>
            <w:vAlign w:val="bottom"/>
            <w:gridSpan w:val="3"/>
            <w:shd w:val="clear" w:color="auto" w:fill="CFF0FC"/>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Seek to mitigate undue risk in compensation plans</w:t>
            </w:r>
          </w:p>
        </w:tc>
        <w:tc>
          <w:tcPr>
            <w:tcW w:w="252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r>
      <w:tr>
        <w:trPr>
          <w:trHeight w:val="324"/>
        </w:trPr>
        <w:tc>
          <w:tcPr>
            <w:tcW w:w="5220" w:type="dxa"/>
            <w:vAlign w:val="bottom"/>
            <w:gridSpan w:val="3"/>
          </w:tcPr>
          <w:p>
            <w:pPr>
              <w:ind w:left="100"/>
              <w:spacing w:after="0"/>
              <w:rPr>
                <w:sz w:val="20"/>
                <w:szCs w:val="20"/>
                <w:color w:val="auto"/>
              </w:rPr>
            </w:pP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Utilize an independent compensation consultant</w:t>
            </w:r>
          </w:p>
        </w:tc>
        <w:tc>
          <w:tcPr>
            <w:tcW w:w="2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to retain any compensation consultant, legal counsel and/or other adviser to assist in carrying out its duties, including the review of compensation of our Named Executive Officers. The Compensation Committee may accept, reject or modify any recommendations by compensation consultants or other outside advisors.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Compensation Committee most recently engaged Segal to review Mr. Kanter’s compensation in August 2023 in connection with the extension of his “initial term” under his employment agreement from April 1, 2025 to August 11, 2026. At that time, Segal reviewed Mr. Kanter’s base salary and total direct compensation as well as provided guidance on the terms, conditions and value of a performance award that served as a retention award to extend his employment to August 2026. Based on market insights from Segal, including information derived from published surveys on CEO compensation in retail companies with annual revenues of $500 million to $1.0 billion and trends in CEO compensation, there were no other changes to Mr. Kanter’s compensation.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Target Compensation</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As discussed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working with Segal, most recently reviewed Mr. Kanter’s compensation in August 2023. With respect to setting 2024 target compensation, the Compensation Committee compared each element of the CEO’s Direct Compensation to published survey data and data from the Company’s peer group and concluded that no changes needed to be made to Mr. Kanter’s compensation. The Compensation Committee’s objective was that total target compensation should approximate the median target compensation of the Company’s peer group.</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makes recommendations regarding the compensation paid to our other Named Executive Officers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for its review and approval. Our Named Executive Officers other than the CEO are provided with a competitive base salary and an opportunity to earn performance awards each year, which are driven by our overall financial targets, and an opportunity to participate in our equity incentive plans.</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2022, Korn Ferry, an independent global organizational consulting firm, completed a study that evaluated all positions at our corporate office, ranging from entry level to the CEO, and using their job leveling methodology, created a career framework of job levels based on scope, complexity, and responsibilities of each role. The CEO, together with the Chief Human Resources Officer, uses this framework and the respective job levels when evaluating the annual compensation paid to the other Named Executive Officers. The Compensation Committee has assessed Korn Ferry’s independence and has concluded that no conflict of interest exists with respect to the services that it performs.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 Group</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Compensation Committee engaged Korn Ferry to review its peer group for fiscal 2024. The companies in the fiscal 2024 peer group were:</w:t>
      </w:r>
    </w:p>
    <w:p>
      <w:pPr>
        <w:spacing w:after="0" w:line="28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Big 5 Sporting Goods</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J.Jill, Inc.</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Vera Bradley</w:t>
            </w: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Build-A-Bear Workshop,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Kirkland’s, Inc.</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Vince Holding Corp.</w:t>
            </w: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Cato Group</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Movado Group</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Zumiez, Inc.</w:t>
            </w: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 Trends</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Rocky Brands</w:t>
            </w: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Delta Apparel,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Shoe Carnival</w:t>
            </w: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Duluth Holding, Inc.</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Tilly’s Inc.</w:t>
            </w: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3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develop an appropriate peer group, we considered domestic, publicly-traded companies with a range of revenues and market capitalizations that may differ from those included by independent analysts, such as Institutional Shareholder Services.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which, consequently, may have nothing in common with our Company. For example, a company that owns automotive dealerships is within the same GICS code as our Company, but clearly has a distinctly different business model and is not affected by the same trends that affect specialty apparel retail. As compared to our fiscal 2024 peers, we fell just below the median for revenues and slightly above the median for market capitalization.</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utilizing the study that Korn Ferry prepared for fiscal 2024, referenced above, updated its peer group for fiscal 2025 to remove Delta Apparel, Inc., which filed for bankruptcy during 2024, and added Allbirds, Inc.</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our 2023 Annual Meeting of Stockholders, stockholders voted on a non-binding advisory proposal as to the frequency with which we should conduct an advisory vote on executive compensation (a “say-on-pay” proposal). At that meeting, and in accordance with the recommendation of our Board, 97.2% of votes cast voted for the “one-year” frequency for advisory votes on executive compensation. Therefore, we intend to hold an advisory “say-on-pay” vote every year until the next “say-on-pay” frequency vote by our stockholders, which will be at our 2029 Annual Meeting of Stockholders.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our 2024 Annual Meeting, stockholders voted on a non-binding advisory vote on executive compensation as disclosed in the 2024 Proxy Statement. Of the votes cast at the 2024 Annual Meeting on the “say-on-pay” proposal, 89.4% voted in favor of the proposal. The Compensation Committee considered the results of the 2024 advisory vote and believes that it affirms our stockholders' support for our approach to executive compensation, namely, to align short-term and long-term incentives with the Company’s financial performance. We will continue to consider the outcome of subsequent say-on-pay votes when making future compensation decisions for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risk-taking by our employees. Our emphasis on performance-based annual and long-term incentive awards is designed to align executives with preserving and enhancing stockholder value. In addition, we use multiple objectives for our annual incentive plan (“AIP”), which limits the potential benefit from any single event of excessive risk-taking, and a cap on total payouts, as well as management processes for establishing key performance targets and monitoring our metrics. In addition, we have clawback policies in place relating to recoupment of compensation in the event of accounting restatements and misconduct of our executives, as described below under “Clawback Policies.” Based on these considerations, among others, we do not believe that our compensation policies and practices create risks that are likely to have a material adverse effect on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2024 Compensation Decisions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 2024 included base salary (“fixed compensation”), annual performance-based cash incentives under our AIP and long-term cash and/or equity incentives under our Long-Term Incentive Plan (“LTIP”)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6009005" cy="1551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900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15" w:lineRule="exact"/>
        <w:rPr>
          <w:sz w:val="20"/>
          <w:szCs w:val="20"/>
          <w:color w:val="auto"/>
        </w:rPr>
      </w:pPr>
    </w:p>
    <w:p>
      <w:pPr>
        <w:ind w:left="780" w:hanging="26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19" w:lineRule="exact"/>
        <w:rPr>
          <w:rFonts w:ascii="Times New Roman" w:cs="Times New Roman" w:eastAsia="Times New Roman" w:hAnsi="Times New Roman"/>
          <w:sz w:val="18"/>
          <w:szCs w:val="18"/>
          <w:color w:val="auto"/>
        </w:rPr>
      </w:pPr>
    </w:p>
    <w:p>
      <w:pPr>
        <w:ind w:left="7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3" w:lineRule="exact"/>
        <w:rPr>
          <w:rFonts w:ascii="Times New Roman" w:cs="Times New Roman" w:eastAsia="Times New Roman" w:hAnsi="Times New Roman"/>
          <w:sz w:val="18"/>
          <w:szCs w:val="18"/>
          <w:color w:val="auto"/>
        </w:rPr>
      </w:pPr>
    </w:p>
    <w:p>
      <w:pPr>
        <w:ind w:left="7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be considered with respect to an individual’s promotion that may occur during the fiscal year and any modifications in the individual’s level of responsibility.</w:t>
      </w:r>
    </w:p>
    <w:p>
      <w:pPr>
        <w:spacing w:after="0" w:line="71" w:lineRule="exact"/>
        <w:rPr>
          <w:rFonts w:ascii="Times New Roman" w:cs="Times New Roman" w:eastAsia="Times New Roman" w:hAnsi="Times New Roman"/>
          <w:sz w:val="18"/>
          <w:szCs w:val="18"/>
          <w:color w:val="auto"/>
        </w:rPr>
      </w:pPr>
    </w:p>
    <w:p>
      <w:pPr>
        <w:jc w:val="both"/>
        <w:ind w:left="7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approximate 25%-33% of his target Direct Compensation. The base salary of our other Named Executive Officers is recommended by our CEO to the Compensation Committee for its review and approval and targets the median of the peer group and published industry compensation surveys.</w:t>
      </w:r>
    </w:p>
    <w:p>
      <w:pPr>
        <w:spacing w:after="0" w:line="17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 (AIP)</w:t>
      </w:r>
    </w:p>
    <w:p>
      <w:pPr>
        <w:spacing w:after="0" w:line="227" w:lineRule="exact"/>
        <w:rPr>
          <w:rFonts w:ascii="Times New Roman" w:cs="Times New Roman" w:eastAsia="Times New Roman" w:hAnsi="Times New Roman"/>
          <w:sz w:val="18"/>
          <w:szCs w:val="18"/>
          <w:color w:val="auto"/>
        </w:rPr>
      </w:pPr>
    </w:p>
    <w:p>
      <w:pPr>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The Company’s AIP is an annual performance-based incentive plan that provides a cash award to participants based on achievement of specified corporate, departmental and individual targets.</w:t>
      </w:r>
    </w:p>
    <w:p>
      <w:pPr>
        <w:spacing w:after="0" w:line="17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2024 AIP Awards</w:t>
      </w:r>
    </w:p>
    <w:p>
      <w:pPr>
        <w:spacing w:after="0" w:line="117" w:lineRule="exact"/>
        <w:rPr>
          <w:rFonts w:ascii="Times New Roman" w:cs="Times New Roman" w:eastAsia="Times New Roman" w:hAnsi="Times New Roman"/>
          <w:sz w:val="18"/>
          <w:szCs w:val="18"/>
          <w:color w:val="auto"/>
        </w:rPr>
      </w:pPr>
    </w:p>
    <w:p>
      <w:pPr>
        <w:ind w:left="7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2024, the Compensation Committee established the financial, operating and performance metrics for the 2024 AIP. Traditionally, the metrics for the AIP have been focused on the financial and operating performance of the Company in relation to our Board-approved budget. However, given the continued significant uncertainty surrounding the U.S. economy and the retail industry in particular, in order to keep employees engaged and motivated to achieve our strategic objectives should the macroeconomic situation deteriorate in 2024, the Compensation Committee once again added a second tier to the 2024 AIP program that was a relative measure, comparing the Company’s financial performance in fiscal 2024 against the financial performance of its 2024 peer group, as listed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760" w:right="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two-tier structure, the payout related to corporate or departmental targets accounted for 80% of the potential award and was determined based on the higher achievement of either TIER I (based on the Company’s approved financial plan) or TIER II (based on the relative financial performance of the Company to its 2024 peers).</w:t>
      </w:r>
    </w:p>
    <w:p>
      <w:pPr>
        <w:spacing w:after="0" w:line="67" w:lineRule="exact"/>
        <w:rPr>
          <w:rFonts w:ascii="Times New Roman" w:cs="Times New Roman" w:eastAsia="Times New Roman" w:hAnsi="Times New Roman"/>
          <w:sz w:val="18"/>
          <w:szCs w:val="18"/>
          <w:color w:val="auto"/>
        </w:rPr>
      </w:pPr>
    </w:p>
    <w:p>
      <w:pPr>
        <w:jc w:val="both"/>
        <w:ind w:left="760" w:right="2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TIER I Company performance metrics consisted of corporate targets for Sales and Adjusted EBITDA and departmental targets, if applicable, for Store Operations, Marketing &amp; Digital, and Merchandise/Planning and Allocation. Under TIER I, the Company’s financial performance metrics accounted for 80% of the potential award for Messrs. Kanter, Stratton and Molloy and 40% of the potential award for Messrs. Gaeta and Reath.</w:t>
      </w:r>
    </w:p>
    <w:p>
      <w:pPr>
        <w:spacing w:after="0" w:line="1" w:lineRule="exact"/>
        <w:rPr>
          <w:rFonts w:ascii="Times New Roman" w:cs="Times New Roman" w:eastAsia="Times New Roman" w:hAnsi="Times New Roman"/>
          <w:sz w:val="18"/>
          <w:szCs w:val="18"/>
          <w:color w:val="auto"/>
        </w:rPr>
      </w:pPr>
    </w:p>
    <w:p>
      <w:pPr>
        <w:ind w:left="7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Gaeta’s performance metrics included specific store operation targets, and Mr. Reath’s performance metrics included specific marketing and digital targets, which accounted for 40% of their respective potential award. The performance metrics were derived from the Company’s annual operating plan for fiscal 2024. The Compensation Committee believed that sales and adjusted EBITDA continued to be the two most significant financial metrics for the 2024 AIP.</w:t>
      </w:r>
    </w:p>
    <w:p>
      <w:pPr>
        <w:spacing w:after="0" w:line="80" w:lineRule="exact"/>
        <w:rPr>
          <w:rFonts w:ascii="Times New Roman" w:cs="Times New Roman" w:eastAsia="Times New Roman" w:hAnsi="Times New Roman"/>
          <w:sz w:val="18"/>
          <w:szCs w:val="18"/>
          <w:color w:val="auto"/>
        </w:rPr>
      </w:pPr>
    </w:p>
    <w:p>
      <w:pPr>
        <w:ind w:left="7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Company performance metrics consisted of corporate targets for Comparable Sales and Adjusted EBITDA Margin, each accounting for 40% of the potential award for each participant. Our Comparable Sales and Adjusted EBITDA Margin results for fiscal 2024 were compared to our 2024 peer group on a quartile ranking. For each metric, if the Company ranked in (i) the top quartile, the payout would be 100%; (ii) the second quartile, the payout would be 75%; and (iii) the third quartile, the payout would be 50%. No payout would be earned if the Company finished in the fourth quartile.</w:t>
      </w:r>
    </w:p>
    <w:p>
      <w:pPr>
        <w:spacing w:after="0" w:line="75"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metrics consisted of discretionary personal goals that accounted for the remaining 20% of the potential award for each of the Named Executive Officers under either TIER I or TIER II. See footnote 6 to the table below for a discussion of these individual targets.</w:t>
      </w:r>
    </w:p>
    <w:p>
      <w:pPr>
        <w:spacing w:after="0" w:line="53" w:lineRule="exact"/>
        <w:rPr>
          <w:rFonts w:ascii="Times New Roman" w:cs="Times New Roman" w:eastAsia="Times New Roman" w:hAnsi="Times New Roman"/>
          <w:sz w:val="18"/>
          <w:szCs w:val="18"/>
          <w:color w:val="auto"/>
        </w:rPr>
      </w:pPr>
    </w:p>
    <w:p>
      <w:pPr>
        <w:ind w:left="7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2024, Mr. Kanter’s target participation in the AIP was at 100% of his earned salary with the potential to earn up to 200% of the TIER I corporate targets and 100% of the TIER II corporate targets, Mr. Stratton’s target participation was 60% of his earned salary with the potential to earn up to 150% of the TIER I corporate targets and 100% of the TIER II corporate targets, and the target participation for Messrs. Gaeta, Molloy and Reath was 50% of their respective earned salaries with the potential to earn up to 150% of the TIER I corporate and departmental targets and 100% of the TIER II corporate targets.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ind w:left="20"/>
        <w:spacing w:after="0" w:line="282" w:lineRule="auto"/>
        <w:rPr>
          <w:sz w:val="20"/>
          <w:szCs w:val="20"/>
          <w:color w:val="auto"/>
        </w:rPr>
      </w:pPr>
      <w:r>
        <w:rPr>
          <w:rFonts w:ascii="Times New Roman" w:cs="Times New Roman" w:eastAsia="Times New Roman" w:hAnsi="Times New Roman"/>
          <w:sz w:val="18"/>
          <w:szCs w:val="18"/>
          <w:color w:val="auto"/>
        </w:rPr>
        <w:t>The 2024 AIP metrics were intended to be achievable, with an approximate 50% probability of achievement. The 2024 AIP performance metrics and actual results against these metrics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Weight for</w:t>
            </w:r>
          </w:p>
        </w:tc>
        <w:tc>
          <w:tcPr>
            <w:tcW w:w="7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Award</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Metric,</w:t>
            </w:r>
          </w:p>
        </w:tc>
        <w:tc>
          <w:tcPr>
            <w:tcW w:w="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146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Weight Award %</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Messrs.</w:t>
            </w:r>
          </w:p>
        </w:tc>
        <w:tc>
          <w:tcPr>
            <w:tcW w:w="146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for Metric Weight for</w:t>
            </w:r>
          </w:p>
        </w:tc>
        <w:tc>
          <w:tcPr>
            <w:tcW w:w="23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360" w:type="dxa"/>
            <w:vAlign w:val="bottom"/>
            <w:vMerge w:val="restart"/>
          </w:tcPr>
          <w:p>
            <w:pPr>
              <w:spacing w:after="0"/>
              <w:rPr>
                <w:sz w:val="12"/>
                <w:szCs w:val="12"/>
                <w:color w:val="auto"/>
              </w:rPr>
            </w:pPr>
          </w:p>
        </w:tc>
        <w:tc>
          <w:tcPr>
            <w:tcW w:w="8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Gaeta and</w:t>
            </w:r>
          </w:p>
        </w:tc>
        <w:tc>
          <w:tcPr>
            <w:tcW w:w="7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Metric for</w:t>
            </w:r>
          </w:p>
        </w:tc>
        <w:tc>
          <w:tcPr>
            <w:tcW w:w="230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Reath</w:t>
            </w:r>
          </w:p>
        </w:tc>
        <w:tc>
          <w:tcPr>
            <w:tcW w:w="240" w:type="dxa"/>
            <w:vAlign w:val="bottom"/>
          </w:tcPr>
          <w:p>
            <w:pPr>
              <w:spacing w:after="0"/>
              <w:rPr>
                <w:sz w:val="13"/>
                <w:szCs w:val="13"/>
                <w:color w:val="auto"/>
              </w:rPr>
            </w:pPr>
          </w:p>
        </w:tc>
        <w:tc>
          <w:tcPr>
            <w:tcW w:w="1460" w:type="dxa"/>
            <w:vAlign w:val="bottom"/>
            <w:gridSpan w:val="5"/>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Mr. Gaeta Mr. Reath</w:t>
            </w:r>
          </w:p>
        </w:tc>
        <w:tc>
          <w:tcPr>
            <w:tcW w:w="540" w:type="dxa"/>
            <w:vAlign w:val="bottom"/>
          </w:tcPr>
          <w:p>
            <w:pPr>
              <w:spacing w:after="0"/>
              <w:rPr>
                <w:sz w:val="13"/>
                <w:szCs w:val="13"/>
                <w:color w:val="auto"/>
              </w:rPr>
            </w:pPr>
          </w:p>
        </w:tc>
        <w:tc>
          <w:tcPr>
            <w:tcW w:w="176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820" w:type="dxa"/>
            <w:vAlign w:val="bottom"/>
            <w:gridSpan w:val="3"/>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3"/>
                <w:szCs w:val="13"/>
                <w:color w:val="auto"/>
              </w:rPr>
            </w:pPr>
          </w:p>
        </w:tc>
        <w:tc>
          <w:tcPr>
            <w:tcW w:w="5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Actual</w:t>
            </w:r>
          </w:p>
        </w:tc>
        <w:tc>
          <w:tcPr>
            <w:tcW w:w="84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600" w:type="dxa"/>
            <w:vAlign w:val="bottom"/>
            <w:gridSpan w:val="8"/>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 (1)</w:t>
            </w: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38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36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54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4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60" w:type="dxa"/>
            <w:vAlign w:val="bottom"/>
            <w:gridSpan w:val="3"/>
            <w:shd w:val="clear" w:color="auto" w:fill="CFF0FC"/>
          </w:tcPr>
          <w:p>
            <w:pPr>
              <w:ind w:left="50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860" w:type="dxa"/>
            <w:vAlign w:val="bottom"/>
            <w:gridSpan w:val="4"/>
            <w:shd w:val="clear" w:color="auto" w:fill="CFF0FC"/>
          </w:tcPr>
          <w:p>
            <w:pPr>
              <w:jc w:val="center"/>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740" w:type="dxa"/>
            <w:vAlign w:val="bottom"/>
            <w:gridSpan w:val="2"/>
            <w:shd w:val="clear" w:color="auto" w:fill="CFF0FC"/>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700" w:type="dxa"/>
            <w:vAlign w:val="bottom"/>
            <w:gridSpan w:val="2"/>
            <w:shd w:val="clear" w:color="auto" w:fill="CFF0FC"/>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20" w:type="dxa"/>
            <w:vAlign w:val="bottom"/>
            <w:shd w:val="clear" w:color="auto" w:fill="CFF0FC"/>
          </w:tcPr>
          <w:p>
            <w:pPr>
              <w:spacing w:after="0"/>
              <w:rPr>
                <w:sz w:val="10"/>
                <w:szCs w:val="10"/>
                <w:color w:val="auto"/>
              </w:rPr>
            </w:pPr>
          </w:p>
        </w:tc>
        <w:tc>
          <w:tcPr>
            <w:tcW w:w="2300" w:type="dxa"/>
            <w:vAlign w:val="bottom"/>
            <w:gridSpan w:val="3"/>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20" w:type="dxa"/>
            <w:vAlign w:val="bottom"/>
            <w:gridSpan w:val="2"/>
            <w:shd w:val="clear" w:color="auto" w:fill="CFF0FC"/>
          </w:tcPr>
          <w:p>
            <w:pPr>
              <w:ind w:left="220"/>
              <w:spacing w:after="0" w:line="124" w:lineRule="exact"/>
              <w:rPr>
                <w:sz w:val="20"/>
                <w:szCs w:val="20"/>
                <w:color w:val="auto"/>
              </w:rPr>
            </w:pPr>
            <w:r>
              <w:rPr>
                <w:rFonts w:ascii="Times New Roman" w:cs="Times New Roman" w:eastAsia="Times New Roman" w:hAnsi="Times New Roman"/>
                <w:sz w:val="14"/>
                <w:szCs w:val="14"/>
                <w:color w:val="auto"/>
                <w:w w:val="98"/>
              </w:rPr>
              <w:t>$535.2</w:t>
            </w:r>
          </w:p>
        </w:tc>
        <w:tc>
          <w:tcPr>
            <w:tcW w:w="2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ind w:left="200"/>
              <w:spacing w:after="0" w:line="124" w:lineRule="exact"/>
              <w:rPr>
                <w:sz w:val="20"/>
                <w:szCs w:val="20"/>
                <w:color w:val="auto"/>
              </w:rPr>
            </w:pPr>
            <w:r>
              <w:rPr>
                <w:rFonts w:ascii="Times New Roman" w:cs="Times New Roman" w:eastAsia="Times New Roman" w:hAnsi="Times New Roman"/>
                <w:sz w:val="14"/>
                <w:szCs w:val="14"/>
                <w:color w:val="auto"/>
              </w:rPr>
              <w:t>$467.0</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7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300" w:type="dxa"/>
            <w:vAlign w:val="bottom"/>
            <w:gridSpan w:val="3"/>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payout at 97.2% of target and 150%</w:t>
            </w:r>
          </w:p>
        </w:tc>
        <w:tc>
          <w:tcPr>
            <w:tcW w:w="820" w:type="dxa"/>
            <w:vAlign w:val="bottom"/>
            <w:gridSpan w:val="3"/>
            <w:shd w:val="clear" w:color="auto" w:fill="CFF0FC"/>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40" w:type="dxa"/>
            <w:vAlign w:val="bottom"/>
            <w:gridSpan w:val="3"/>
            <w:shd w:val="clear" w:color="auto" w:fill="CFF0FC"/>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payout at 101.8% of target, with the</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exception of Mr. Kanter who is</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30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w:t>
            </w: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200% at 101.8% of target.</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1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560" w:type="dxa"/>
            <w:vAlign w:val="bottom"/>
            <w:gridSpan w:val="3"/>
          </w:tcPr>
          <w:p>
            <w:pPr>
              <w:ind w:left="50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86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740" w:type="dxa"/>
            <w:vAlign w:val="bottom"/>
            <w:gridSpan w:val="2"/>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7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20" w:type="dxa"/>
            <w:vAlign w:val="bottom"/>
          </w:tcPr>
          <w:p>
            <w:pPr>
              <w:spacing w:after="0"/>
              <w:rPr>
                <w:sz w:val="10"/>
                <w:szCs w:val="10"/>
                <w:color w:val="auto"/>
              </w:rPr>
            </w:pPr>
          </w:p>
        </w:tc>
        <w:tc>
          <w:tcPr>
            <w:tcW w:w="230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4"/>
                <w:szCs w:val="14"/>
                <w:color w:val="auto"/>
              </w:rPr>
              <w:t>$39.0</w:t>
            </w:r>
          </w:p>
        </w:tc>
        <w:tc>
          <w:tcPr>
            <w:tcW w:w="200" w:type="dxa"/>
            <w:vAlign w:val="bottom"/>
          </w:tcPr>
          <w:p>
            <w:pPr>
              <w:spacing w:after="0"/>
              <w:rPr>
                <w:sz w:val="10"/>
                <w:szCs w:val="10"/>
                <w:color w:val="auto"/>
              </w:rPr>
            </w:pPr>
          </w:p>
        </w:tc>
        <w:tc>
          <w:tcPr>
            <w:tcW w:w="620" w:type="dxa"/>
            <w:vAlign w:val="bottom"/>
            <w:gridSpan w:val="2"/>
          </w:tcPr>
          <w:p>
            <w:pPr>
              <w:ind w:left="260"/>
              <w:spacing w:after="0" w:line="124"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0"/>
                <w:szCs w:val="10"/>
                <w:color w:val="auto"/>
              </w:rPr>
            </w:pPr>
          </w:p>
        </w:tc>
        <w:tc>
          <w:tcPr>
            <w:tcW w:w="640" w:type="dxa"/>
            <w:vAlign w:val="bottom"/>
            <w:gridSpan w:val="2"/>
          </w:tcPr>
          <w:p>
            <w:pPr>
              <w:jc w:val="center"/>
              <w:ind w:left="108"/>
              <w:spacing w:after="0" w:line="124" w:lineRule="exact"/>
              <w:rPr>
                <w:sz w:val="20"/>
                <w:szCs w:val="20"/>
                <w:color w:val="auto"/>
              </w:rPr>
            </w:pPr>
            <w:r>
              <w:rPr>
                <w:rFonts w:ascii="Times New Roman" w:cs="Times New Roman" w:eastAsia="Times New Roman" w:hAnsi="Times New Roman"/>
                <w:sz w:val="14"/>
                <w:szCs w:val="14"/>
                <w:color w:val="auto"/>
              </w:rPr>
              <w:t>0.0%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2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560" w:type="dxa"/>
            <w:vAlign w:val="bottom"/>
            <w:gridSpan w:val="3"/>
          </w:tcPr>
          <w:p>
            <w:pPr>
              <w:ind w:left="500"/>
              <w:spacing w:after="0" w:line="151" w:lineRule="exact"/>
              <w:rPr>
                <w:sz w:val="20"/>
                <w:szCs w:val="20"/>
                <w:color w:val="auto"/>
              </w:rPr>
            </w:pPr>
            <w:r>
              <w:rPr>
                <w:rFonts w:ascii="Times New Roman" w:cs="Times New Roman" w:eastAsia="Times New Roman" w:hAnsi="Times New Roman"/>
                <w:sz w:val="14"/>
                <w:szCs w:val="14"/>
                <w:color w:val="auto"/>
              </w:rPr>
              <w:t>EBITDA Margin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payout at 86.5% of target and 150%</w:t>
            </w:r>
          </w:p>
        </w:tc>
        <w:tc>
          <w:tcPr>
            <w:tcW w:w="82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740" w:type="dxa"/>
            <w:vAlign w:val="bottom"/>
            <w:gridSpan w:val="3"/>
          </w:tcPr>
          <w:p>
            <w:pPr>
              <w:ind w:left="220"/>
              <w:spacing w:after="0" w:line="151" w:lineRule="exact"/>
              <w:rPr>
                <w:sz w:val="20"/>
                <w:szCs w:val="20"/>
                <w:color w:val="auto"/>
              </w:rPr>
            </w:pPr>
            <w:r>
              <w:rPr>
                <w:rFonts w:ascii="Times New Roman" w:cs="Times New Roman" w:eastAsia="Times New Roman" w:hAnsi="Times New Roman"/>
                <w:sz w:val="14"/>
                <w:szCs w:val="14"/>
                <w:color w:val="auto"/>
              </w:rPr>
              <w:t>million</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108.1% of target, with the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exception of Mr. Kanter who is</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200% at 108.1% of target.</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0440"/>
          </w:cols>
          <w:pgMar w:left="1060" w:top="1093" w:right="399" w:bottom="1440" w:gutter="0" w:footer="0" w:header="0"/>
        </w:sectPr>
      </w:pPr>
    </w:p>
    <w:p>
      <w:pPr>
        <w:spacing w:after="0" w:line="11" w:lineRule="exact"/>
        <w:rPr>
          <w:sz w:val="20"/>
          <w:szCs w:val="20"/>
          <w:color w:val="auto"/>
        </w:rPr>
      </w:pPr>
    </w:p>
    <w:p>
      <w:pPr>
        <w:spacing w:after="0"/>
        <w:tabs>
          <w:tab w:leader="none" w:pos="1680" w:val="left"/>
          <w:tab w:leader="none" w:pos="3140" w:val="left"/>
          <w:tab w:leader="none" w:pos="3840" w:val="left"/>
          <w:tab w:leader="none" w:pos="4700" w:val="left"/>
        </w:tabs>
        <w:rPr>
          <w:sz w:val="20"/>
          <w:szCs w:val="20"/>
          <w:color w:val="auto"/>
        </w:rPr>
      </w:pPr>
      <w:r>
        <w:rPr>
          <w:rFonts w:ascii="Times New Roman" w:cs="Times New Roman" w:eastAsia="Times New Roman" w:hAnsi="Times New Roman"/>
          <w:sz w:val="14"/>
          <w:szCs w:val="14"/>
          <w:b w:val="1"/>
          <w:bCs w:val="1"/>
          <w:color w:val="auto"/>
        </w:rPr>
        <w:t>Departmental Goals, if</w:t>
      </w:r>
      <w:r>
        <w:rPr>
          <w:sz w:val="20"/>
          <w:szCs w:val="20"/>
          <w:color w:val="auto"/>
        </w:rPr>
        <w:tab/>
      </w:r>
      <w:r>
        <w:rPr>
          <w:rFonts w:ascii="Times New Roman" w:cs="Times New Roman" w:eastAsia="Times New Roman" w:hAnsi="Times New Roman"/>
          <w:sz w:val="14"/>
          <w:szCs w:val="14"/>
          <w:color w:val="auto"/>
        </w:rPr>
        <w:t>Store Operations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40.0%</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619760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applicable</w:t>
      </w:r>
    </w:p>
    <w:p>
      <w:pPr>
        <w:spacing w:after="0" w:line="269" w:lineRule="exact"/>
        <w:rPr>
          <w:sz w:val="20"/>
          <w:szCs w:val="20"/>
          <w:color w:val="auto"/>
        </w:rPr>
      </w:pPr>
    </w:p>
    <w:p>
      <w:pPr>
        <w:jc w:val="right"/>
        <w:spacing w:after="0"/>
        <w:tabs>
          <w:tab w:leader="none" w:pos="1740" w:val="left"/>
          <w:tab w:leader="none" w:pos="880" w:val="left"/>
          <w:tab w:leader="none" w:pos="340" w:val="left"/>
        </w:tabs>
        <w:rPr>
          <w:sz w:val="20"/>
          <w:szCs w:val="20"/>
          <w:color w:val="auto"/>
        </w:rPr>
      </w:pPr>
      <w:r>
        <w:rPr>
          <w:rFonts w:ascii="Times New Roman" w:cs="Times New Roman" w:eastAsia="Times New Roman" w:hAnsi="Times New Roman"/>
          <w:sz w:val="14"/>
          <w:szCs w:val="14"/>
          <w:color w:val="auto"/>
        </w:rPr>
        <w:t>Marketing &amp;</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40.0%</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Digital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Includes payroll as a percentage of</w:t>
            </w:r>
          </w:p>
        </w:tc>
        <w:tc>
          <w:tcPr>
            <w:tcW w:w="8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sales target, store net promoter</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score target and store conversion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target.</w:t>
            </w:r>
          </w:p>
        </w:tc>
        <w:tc>
          <w:tcPr>
            <w:tcW w:w="8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(3)</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Includes ad-to-sales ratio target,</w:t>
            </w: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count target, number of</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store visits target, and a digital</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transaction target.</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2">
            <w:col w:w="4920" w:space="160"/>
            <w:col w:w="5360"/>
          </w:cols>
          <w:pgMar w:left="1060" w:top="1093"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TIER II - Company’s Financial Performance Measured Against the Company's 2024 Peers (1)</w:t>
      </w:r>
    </w:p>
    <w:p>
      <w:pPr>
        <w:sectPr>
          <w:pgSz w:w="11900" w:h="16838" w:orient="portrait"/>
          <w:cols w:equalWidth="0" w:num="1">
            <w:col w:w="10440"/>
          </w:cols>
          <w:pgMar w:left="1060" w:top="1093" w:right="399" w:bottom="1440" w:gutter="0" w:footer="0" w:header="0"/>
          <w:type w:val="continuous"/>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1</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8"/>
        </w:trPr>
        <w:tc>
          <w:tcPr>
            <w:tcW w:w="148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(4)</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 Target 2</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w:t>
            </w: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48"/>
        </w:trPr>
        <w:tc>
          <w:tcPr>
            <w:tcW w:w="1480" w:type="dxa"/>
            <w:vAlign w:val="bottom"/>
          </w:tcPr>
          <w:p>
            <w:pPr>
              <w:spacing w:after="0"/>
              <w:rPr>
                <w:sz w:val="12"/>
                <w:szCs w:val="12"/>
                <w:color w:val="auto"/>
              </w:rPr>
            </w:pPr>
          </w:p>
        </w:tc>
        <w:tc>
          <w:tcPr>
            <w:tcW w:w="1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EBITDA Margin</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88"/>
        </w:trPr>
        <w:tc>
          <w:tcPr>
            <w:tcW w:w="148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-575945</wp:posOffset>
            </wp:positionV>
            <wp:extent cx="6197600"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9760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Top Quartile 100%; 2nd Quartile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Top</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4th</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 Quartile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 payout.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2nd</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Top Quartile 100%; 2nd Quartile</w:t>
            </w: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3rd Quartile 50%; 4th Quartile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8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Quartile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no payout.</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2">
            <w:col w:w="4920" w:space="160"/>
            <w:col w:w="5360"/>
          </w:cols>
          <w:pgMar w:left="1060" w:top="1093" w:right="39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vMerge w:val="restart"/>
          </w:tcPr>
          <w:p>
            <w:pPr>
              <w:spacing w:after="0"/>
              <w:rPr>
                <w:sz w:val="12"/>
                <w:szCs w:val="12"/>
                <w:color w:val="auto"/>
              </w:rPr>
            </w:pPr>
          </w:p>
        </w:tc>
        <w:tc>
          <w:tcPr>
            <w:tcW w:w="2240" w:type="dxa"/>
            <w:vAlign w:val="bottom"/>
            <w:gridSpan w:val="2"/>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9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INDIVIDUAL PERFORMANCE (6)</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9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40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Individual Targets</w:t>
            </w:r>
          </w:p>
        </w:tc>
        <w:tc>
          <w:tcPr>
            <w:tcW w:w="136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4"/>
                <w:szCs w:val="14"/>
                <w:color w:val="auto"/>
              </w:rPr>
              <w:t>Discretionary-</w:t>
            </w:r>
          </w:p>
        </w:tc>
        <w:tc>
          <w:tcPr>
            <w:tcW w:w="84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right"/>
              <w:ind w:right="8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2980" w:type="dxa"/>
            <w:vAlign w:val="bottom"/>
          </w:tcPr>
          <w:p>
            <w:pPr>
              <w:jc w:val="center"/>
              <w:ind w:right="28"/>
              <w:spacing w:after="0" w:line="126" w:lineRule="exact"/>
              <w:rPr>
                <w:sz w:val="20"/>
                <w:szCs w:val="20"/>
                <w:color w:val="auto"/>
              </w:rPr>
            </w:pPr>
            <w:r>
              <w:rPr>
                <w:rFonts w:ascii="Times New Roman" w:cs="Times New Roman" w:eastAsia="Times New Roman" w:hAnsi="Times New Roman"/>
                <w:sz w:val="14"/>
                <w:szCs w:val="14"/>
                <w:color w:val="auto"/>
              </w:rPr>
              <w:t>20.0%  Discretionary, at target, based upon</w:t>
            </w:r>
          </w:p>
        </w:tc>
        <w:tc>
          <w:tcPr>
            <w:tcW w:w="740" w:type="dxa"/>
            <w:vAlign w:val="bottom"/>
          </w:tcPr>
          <w:p>
            <w:pPr>
              <w:jc w:val="right"/>
              <w:ind w:right="128"/>
              <w:spacing w:after="0" w:line="126" w:lineRule="exact"/>
              <w:rPr>
                <w:sz w:val="20"/>
                <w:szCs w:val="20"/>
                <w:color w:val="auto"/>
              </w:rPr>
            </w:pPr>
            <w:r>
              <w:rPr>
                <w:rFonts w:ascii="Times New Roman" w:cs="Times New Roman" w:eastAsia="Times New Roman" w:hAnsi="Times New Roman"/>
                <w:sz w:val="14"/>
                <w:szCs w:val="14"/>
                <w:color w:val="auto"/>
              </w:rPr>
              <w:t>20%</w:t>
            </w:r>
          </w:p>
        </w:tc>
        <w:tc>
          <w:tcPr>
            <w:tcW w:w="900" w:type="dxa"/>
            <w:vAlign w:val="bottom"/>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Varied by</w:t>
            </w:r>
          </w:p>
        </w:tc>
        <w:tc>
          <w:tcPr>
            <w:tcW w:w="76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Personal Goals</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individual performance, as</w:t>
            </w:r>
          </w:p>
        </w:tc>
        <w:tc>
          <w:tcPr>
            <w:tcW w:w="74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NEO</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-278130</wp:posOffset>
            </wp:positionV>
            <wp:extent cx="6197600" cy="1320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7600" cy="1320165"/>
                    </a:xfrm>
                    <a:prstGeom prst="rect">
                      <a:avLst/>
                    </a:prstGeom>
                    <a:noFill/>
                  </pic:spPr>
                </pic:pic>
              </a:graphicData>
            </a:graphic>
          </wp:anchor>
        </w:drawing>
      </w:r>
    </w:p>
    <w:p>
      <w:pPr>
        <w:ind w:left="5080"/>
        <w:spacing w:after="0" w:line="221" w:lineRule="auto"/>
        <w:rPr>
          <w:sz w:val="20"/>
          <w:szCs w:val="20"/>
          <w:color w:val="auto"/>
        </w:rPr>
      </w:pPr>
      <w:r>
        <w:rPr>
          <w:rFonts w:ascii="Times New Roman" w:cs="Times New Roman" w:eastAsia="Times New Roman" w:hAnsi="Times New Roman"/>
          <w:sz w:val="14"/>
          <w:szCs w:val="14"/>
          <w:color w:val="auto"/>
        </w:rPr>
        <w:t>evaluated by the CEO (except with</w:t>
      </w:r>
    </w:p>
    <w:p>
      <w:pPr>
        <w:ind w:left="5080"/>
        <w:spacing w:after="0" w:line="221" w:lineRule="auto"/>
        <w:rPr>
          <w:sz w:val="20"/>
          <w:szCs w:val="20"/>
          <w:color w:val="auto"/>
        </w:rPr>
      </w:pPr>
      <w:r>
        <w:rPr>
          <w:rFonts w:ascii="Times New Roman" w:cs="Times New Roman" w:eastAsia="Times New Roman" w:hAnsi="Times New Roman"/>
          <w:sz w:val="14"/>
          <w:szCs w:val="14"/>
          <w:color w:val="auto"/>
        </w:rPr>
        <w:t>respect to the CEO, whose</w:t>
      </w:r>
    </w:p>
    <w:p>
      <w:pPr>
        <w:ind w:left="5080"/>
        <w:spacing w:after="0" w:line="222" w:lineRule="auto"/>
        <w:rPr>
          <w:sz w:val="20"/>
          <w:szCs w:val="20"/>
          <w:color w:val="auto"/>
        </w:rPr>
      </w:pPr>
      <w:r>
        <w:rPr>
          <w:rFonts w:ascii="Times New Roman" w:cs="Times New Roman" w:eastAsia="Times New Roman" w:hAnsi="Times New Roman"/>
          <w:sz w:val="14"/>
          <w:szCs w:val="14"/>
          <w:color w:val="auto"/>
        </w:rPr>
        <w:t>individual performance was</w:t>
      </w:r>
    </w:p>
    <w:p>
      <w:pPr>
        <w:ind w:left="5080"/>
        <w:spacing w:after="0" w:line="221" w:lineRule="auto"/>
        <w:rPr>
          <w:sz w:val="20"/>
          <w:szCs w:val="20"/>
          <w:color w:val="auto"/>
        </w:rPr>
      </w:pPr>
      <w:r>
        <w:rPr>
          <w:rFonts w:ascii="Times New Roman" w:cs="Times New Roman" w:eastAsia="Times New Roman" w:hAnsi="Times New Roman"/>
          <w:sz w:val="14"/>
          <w:szCs w:val="14"/>
          <w:color w:val="auto"/>
        </w:rPr>
        <w:t>evaluated by the Compensation</w:t>
      </w:r>
    </w:p>
    <w:p>
      <w:pPr>
        <w:ind w:left="5080"/>
        <w:spacing w:after="0" w:line="221" w:lineRule="auto"/>
        <w:rPr>
          <w:sz w:val="20"/>
          <w:szCs w:val="20"/>
          <w:color w:val="auto"/>
        </w:rPr>
      </w:pPr>
      <w:r>
        <w:rPr>
          <w:rFonts w:ascii="Times New Roman" w:cs="Times New Roman" w:eastAsia="Times New Roman" w:hAnsi="Times New Roman"/>
          <w:sz w:val="14"/>
          <w:szCs w:val="14"/>
          <w:color w:val="auto"/>
        </w:rPr>
        <w:t>Committee). Participants were</w:t>
      </w:r>
    </w:p>
    <w:p>
      <w:pPr>
        <w:ind w:left="5080"/>
        <w:spacing w:after="0" w:line="222"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080"/>
        <w:spacing w:after="0" w:line="221" w:lineRule="auto"/>
        <w:rPr>
          <w:sz w:val="20"/>
          <w:szCs w:val="20"/>
          <w:color w:val="auto"/>
        </w:rPr>
      </w:pPr>
      <w:r>
        <w:rPr>
          <w:rFonts w:ascii="Times New Roman" w:cs="Times New Roman" w:eastAsia="Times New Roman" w:hAnsi="Times New Roman"/>
          <w:sz w:val="14"/>
          <w:szCs w:val="14"/>
          <w:color w:val="auto"/>
        </w:rPr>
        <w:t>award up to 30%, with the</w:t>
      </w:r>
    </w:p>
    <w:p>
      <w:pPr>
        <w:ind w:left="5080"/>
        <w:spacing w:after="0" w:line="222" w:lineRule="auto"/>
        <w:rPr>
          <w:sz w:val="20"/>
          <w:szCs w:val="20"/>
          <w:color w:val="auto"/>
        </w:rPr>
      </w:pPr>
      <w:r>
        <w:rPr>
          <w:rFonts w:ascii="Times New Roman" w:cs="Times New Roman" w:eastAsia="Times New Roman" w:hAnsi="Times New Roman"/>
          <w:sz w:val="14"/>
          <w:szCs w:val="14"/>
          <w:color w:val="auto"/>
        </w:rPr>
        <w:t>exception of Mr. Kanter who was</w:t>
      </w:r>
    </w:p>
    <w:p>
      <w:pPr>
        <w:ind w:left="50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w:t>
      </w:r>
    </w:p>
    <w:p>
      <w:pPr>
        <w:ind w:left="5080"/>
        <w:spacing w:after="0"/>
        <w:rPr>
          <w:sz w:val="20"/>
          <w:szCs w:val="20"/>
          <w:color w:val="auto"/>
        </w:rPr>
      </w:pPr>
      <w:r>
        <w:rPr>
          <w:rFonts w:ascii="Times New Roman" w:cs="Times New Roman" w:eastAsia="Times New Roman" w:hAnsi="Times New Roman"/>
          <w:sz w:val="14"/>
          <w:szCs w:val="14"/>
          <w:color w:val="auto"/>
        </w:rPr>
        <w:t>award up to 40%.</w:t>
      </w:r>
    </w:p>
    <w:p>
      <w:pPr>
        <w:spacing w:after="0" w:line="200" w:lineRule="exact"/>
        <w:rPr>
          <w:sz w:val="20"/>
          <w:szCs w:val="20"/>
          <w:color w:val="auto"/>
        </w:rPr>
      </w:pPr>
    </w:p>
    <w:p>
      <w:pPr>
        <w:spacing w:after="0" w:line="39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60" w:top="1093" w:right="399" w:bottom="1440" w:gutter="0" w:footer="0" w:header="0"/>
          <w:type w:val="continuous"/>
        </w:sectPr>
      </w:pPr>
    </w:p>
    <w:bookmarkStart w:id="20" w:name="page21"/>
    <w:bookmarkEnd w:id="20"/>
    <w:p>
      <w:pPr>
        <w:ind w:left="1780" w:hanging="368"/>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achieve the Corporate Metrics under TIER I, but did achieve one Corporate Metric under TIER II.</w:t>
      </w:r>
    </w:p>
    <w:p>
      <w:pPr>
        <w:spacing w:after="0" w:line="203" w:lineRule="exact"/>
        <w:rPr>
          <w:rFonts w:ascii="Times New Roman" w:cs="Times New Roman" w:eastAsia="Times New Roman" w:hAnsi="Times New Roman"/>
          <w:sz w:val="14"/>
          <w:szCs w:val="14"/>
          <w:color w:val="auto"/>
        </w:rPr>
      </w:pPr>
    </w:p>
    <w:p>
      <w:pPr>
        <w:ind w:left="1780" w:right="400" w:hanging="368"/>
        <w:spacing w:after="0" w:line="261"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as earnings before interest, taxes, depreciation and amortization and before any impairment (gain) of assets and accrual for estimated non-recurring legal settlement costs. Adjusted EBITDA Margin was then calculated by dividing Adjusted EBITDA by total sales as reported.</w:t>
      </w:r>
    </w:p>
    <w:p>
      <w:pPr>
        <w:spacing w:after="0" w:line="162" w:lineRule="exact"/>
        <w:rPr>
          <w:rFonts w:ascii="Times New Roman" w:cs="Times New Roman" w:eastAsia="Times New Roman" w:hAnsi="Times New Roman"/>
          <w:sz w:val="14"/>
          <w:szCs w:val="14"/>
          <w:color w:val="auto"/>
        </w:rPr>
      </w:pPr>
    </w:p>
    <w:p>
      <w:pPr>
        <w:ind w:left="1780" w:right="20" w:hanging="368"/>
        <w:spacing w:after="0" w:line="245"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for store net promoter score for fiscal 2024 was 79 and the actual net promoter score achieved was 80 for fiscal 2024, or 150% of target. The target for ad-to-sales ratio for fiscal 2024 was 7.1% and the actual ad-to-sales ratio was 6.8%, or 150% of target. The Company does not publicly disclose its store conversion rates, payroll as a percentage of sales, customer count, store visits, or number of digital transactions. Any discussion of metrics is limited to the percentage and/or dollar increase or decrease over a comparable period. Store conversion achieved 77% of target. If there had not been an award under TIER II, Messrs. Gaeta and Reath would have been entitled to an award payout under certain of these TIER I metrics. The Company failed to meet the minimum threshold for store payroll as a percentage of sales, customer count, store visits and number of digital transactions.</w:t>
      </w:r>
    </w:p>
    <w:p>
      <w:pPr>
        <w:spacing w:after="0" w:line="188" w:lineRule="exact"/>
        <w:rPr>
          <w:rFonts w:ascii="Times New Roman" w:cs="Times New Roman" w:eastAsia="Times New Roman" w:hAnsi="Times New Roman"/>
          <w:sz w:val="14"/>
          <w:szCs w:val="14"/>
          <w:color w:val="auto"/>
        </w:rPr>
      </w:pPr>
    </w:p>
    <w:p>
      <w:pPr>
        <w:ind w:left="1780" w:right="40" w:hanging="368"/>
        <w:spacing w:after="0" w:line="241"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peer has its own calculation for comparable sales as it relates to treatment of new stores, remodeled stores or closed stores. For purposes of this metric, however, the Company relied on each peer's reported comparable sales results. For the few peers that do not report comparable sales, the Company used total sales and considered store openings/closings.</w:t>
      </w:r>
    </w:p>
    <w:p>
      <w:pPr>
        <w:spacing w:after="0" w:line="176" w:lineRule="exact"/>
        <w:rPr>
          <w:rFonts w:ascii="Times New Roman" w:cs="Times New Roman" w:eastAsia="Times New Roman" w:hAnsi="Times New Roman"/>
          <w:sz w:val="14"/>
          <w:szCs w:val="14"/>
          <w:color w:val="auto"/>
        </w:rPr>
      </w:pPr>
    </w:p>
    <w:p>
      <w:pPr>
        <w:ind w:left="1780" w:right="160" w:hanging="368"/>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was calculated for all peers on a basis consistent with how the Company defines Adjusted EBITDA Margin, which is earnings before interest, taxes, depreciation and amortization and adjusted for any impairment (gain) of assets, restructuring and severance charges and other non-recurring items, such as the Company's accrual for estimated non-recurring legal costs. Adjusted EBITDA Margin was then calculated by dividing Adjusted EBITDA by total sales as reported.</w:t>
      </w:r>
    </w:p>
    <w:p>
      <w:pPr>
        <w:spacing w:after="0" w:line="327" w:lineRule="exact"/>
        <w:rPr>
          <w:rFonts w:ascii="Times New Roman" w:cs="Times New Roman" w:eastAsia="Times New Roman" w:hAnsi="Times New Roman"/>
          <w:sz w:val="14"/>
          <w:szCs w:val="14"/>
          <w:color w:val="auto"/>
        </w:rPr>
      </w:pPr>
    </w:p>
    <w:p>
      <w:pPr>
        <w:ind w:left="1780" w:right="20" w:hanging="368"/>
        <w:spacing w:after="0" w:line="228"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Gaeta, Molloy and Reath, which are approved by the CEO, consisted of a combination of quantifiable goals specific to their respective corporate function. Mr. Gaeta’s personal goals were directly tied to the Company's stores achieving their metrics, as well as team development. Mr. Molloy’s personal goals were tied to ensuring strong corporate governance, legal and ethical compliance, and legal support and guidance throughout the organization. Mr. Reath's personal goals were strategic and tied to brand development, performance of marketing programs and team development. The personal goals for our CFO were quantifiable and were tied directly to the Company's performance, as well as team development and professional development of staff. Our CEO’s personal goals were tied to the Company's current performance and strategic initiatives under the Company’s long-term strategic plan.</w:t>
      </w:r>
    </w:p>
    <w:p>
      <w:pPr>
        <w:spacing w:after="0" w:line="18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As a result of achieving the performance targets under TIER II for fiscal 2024 pursuant to the 2024 AIP, as shown above, in April 2025, the</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Compensation Committee approved cash bonus payouts to our NEOs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2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80" w:type="dxa"/>
            <w:vAlign w:val="bottom"/>
            <w:vMerge w:val="restart"/>
          </w:tcPr>
          <w:p>
            <w:pPr>
              <w:spacing w:after="0"/>
              <w:rPr>
                <w:sz w:val="11"/>
                <w:szCs w:val="11"/>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w:t>
            </w:r>
          </w:p>
        </w:tc>
        <w:tc>
          <w:tcPr>
            <w:tcW w:w="3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2120" w:type="dxa"/>
            <w:vAlign w:val="bottom"/>
            <w:tcBorders>
              <w:bottom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850,000</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249,554</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124,777</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204,385</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197,231</w:t>
            </w: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98,616</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204,385</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2025 AIP</w:t>
      </w:r>
    </w:p>
    <w:p>
      <w:pPr>
        <w:spacing w:after="0" w:line="117" w:lineRule="exact"/>
        <w:rPr>
          <w:sz w:val="20"/>
          <w:szCs w:val="20"/>
          <w:color w:val="auto"/>
        </w:rPr>
      </w:pPr>
    </w:p>
    <w:p>
      <w:pPr>
        <w:ind w:left="760" w:right="40"/>
        <w:spacing w:after="0" w:line="256" w:lineRule="auto"/>
        <w:rPr>
          <w:sz w:val="20"/>
          <w:szCs w:val="20"/>
          <w:color w:val="auto"/>
        </w:rPr>
      </w:pPr>
      <w:r>
        <w:rPr>
          <w:rFonts w:ascii="Times New Roman" w:cs="Times New Roman" w:eastAsia="Times New Roman" w:hAnsi="Times New Roman"/>
          <w:sz w:val="18"/>
          <w:szCs w:val="18"/>
          <w:color w:val="auto"/>
        </w:rPr>
        <w:t>On March 28, 2025, the Compensation Committee established the financial, operating and performance metrics for the 2025 AIP. Given the continued uncertainty surrounding the U.S. economy and reduced consumer discretionary spending, the Compensation Committee believed that the two-tier approach used in the prior two years provided the appropriate balance to keep employees engaged and motivated to achieve our strategic objectives. Similar to the 2024 AIP, the Compensation Committee added a second tier to the 2025 AIP program that would be a relative measure, comparing the Company's financial performance in fiscal 2025 against the financial performance of its 2025 peer group, as discussed above under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760" w:right="20"/>
        <w:spacing w:after="0" w:line="261" w:lineRule="auto"/>
        <w:rPr>
          <w:sz w:val="20"/>
          <w:szCs w:val="20"/>
          <w:color w:val="auto"/>
        </w:rPr>
      </w:pPr>
      <w:r>
        <w:rPr>
          <w:rFonts w:ascii="Times New Roman" w:cs="Times New Roman" w:eastAsia="Times New Roman" w:hAnsi="Times New Roman"/>
          <w:sz w:val="18"/>
          <w:szCs w:val="18"/>
          <w:color w:val="auto"/>
        </w:rPr>
        <w:t>Under this two-tier structure, the payout related to corporate or departmental targets, if any, will be determined based on the higher achievement of either TIER I (based on the Company’s approved financial plan) or TIER II (based on the relative financial performance of the Company to its 2024 peers). The maximum payout under TIER I remains 150% (200% for Mr. Kanter); however, the maximum payout under TIER II is capped at 100%.</w:t>
      </w:r>
    </w:p>
    <w:p>
      <w:pPr>
        <w:spacing w:after="0" w:line="72"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8"/>
          <w:szCs w:val="18"/>
          <w:color w:val="auto"/>
        </w:rPr>
        <w:t>TIER I Company performance metrics are structured in the same manner as our historical AIPs and consist of corporate targets for Sales and Adjusted EBITDA Margin with departmental targets for Store Operations, Marketing &amp; Digital, and Merchandise/Planning and Allocation. Under TIER I, the Company’s financial performance metrics account for 80% of the potential award for Messrs. Kanter, Stratton and Molloy and 40% of the potential award for Messrs. Gaeta and Reath. Mr. Gaeta’s performance metrics include specific store operation targets, and Mr. Reath's performance metrics include specific marketing and digital targets and account for 40% of their respective TIER I targets.</w:t>
      </w:r>
    </w:p>
    <w:p>
      <w:pPr>
        <w:spacing w:after="0" w:line="75" w:lineRule="exact"/>
        <w:rPr>
          <w:sz w:val="20"/>
          <w:szCs w:val="20"/>
          <w:color w:val="auto"/>
        </w:rPr>
      </w:pPr>
    </w:p>
    <w:p>
      <w:pPr>
        <w:ind w:left="760" w:right="260"/>
        <w:spacing w:after="0" w:line="282" w:lineRule="auto"/>
        <w:rPr>
          <w:sz w:val="20"/>
          <w:szCs w:val="20"/>
          <w:color w:val="auto"/>
        </w:rPr>
      </w:pPr>
      <w:r>
        <w:rPr>
          <w:rFonts w:ascii="Times New Roman" w:cs="Times New Roman" w:eastAsia="Times New Roman" w:hAnsi="Times New Roman"/>
          <w:sz w:val="18"/>
          <w:szCs w:val="18"/>
          <w:color w:val="auto"/>
        </w:rPr>
        <w:t>TIER II Company performance metrics consist of corporate targets for Comparable Sales and Adjusted EBITDA Margin, each accounting for 40% of the potential award for each participant. Our Comparable Sales and Adjusted EBITDA Margin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left="240" w:right="80"/>
        <w:spacing w:after="0" w:line="266" w:lineRule="auto"/>
        <w:rPr>
          <w:sz w:val="20"/>
          <w:szCs w:val="20"/>
          <w:color w:val="auto"/>
        </w:rPr>
      </w:pPr>
      <w:r>
        <w:rPr>
          <w:rFonts w:ascii="Times New Roman" w:cs="Times New Roman" w:eastAsia="Times New Roman" w:hAnsi="Times New Roman"/>
          <w:sz w:val="18"/>
          <w:szCs w:val="18"/>
          <w:color w:val="auto"/>
        </w:rPr>
        <w:t>results for fiscal 2025 will be compared to our 2025 peer group on a quartile ranking. For each metric, if the Company ranks in (i) the top quartile, the payout would be 100%; (ii) the second quartile, the payout would be 75%; and (iii) the third quartile, the payout would be 50%. No payout will be earned if the Company finishes in the fourth quartile.</w:t>
      </w:r>
    </w:p>
    <w:p>
      <w:pPr>
        <w:spacing w:after="0" w:line="68" w:lineRule="exact"/>
        <w:rPr>
          <w:sz w:val="20"/>
          <w:szCs w:val="20"/>
          <w:color w:val="auto"/>
        </w:rPr>
      </w:pPr>
    </w:p>
    <w:p>
      <w:pPr>
        <w:ind w:left="240" w:right="100"/>
        <w:spacing w:after="0" w:line="266" w:lineRule="auto"/>
        <w:rPr>
          <w:sz w:val="20"/>
          <w:szCs w:val="20"/>
          <w:color w:val="auto"/>
        </w:rPr>
      </w:pPr>
      <w:r>
        <w:rPr>
          <w:rFonts w:ascii="Times New Roman" w:cs="Times New Roman" w:eastAsia="Times New Roman" w:hAnsi="Times New Roman"/>
          <w:sz w:val="18"/>
          <w:szCs w:val="18"/>
          <w:color w:val="auto"/>
        </w:rPr>
        <w:t>Individual performance targets consisting of discretionary personal goals account for the remaining 20% of the potential award for each of the Named Executive Officers under either TIER I or TIER II. Mr. Kanter has the potential to earn up to 200% of his individual target, and Messrs. Stratton, Gaeta, Molloy and Reath have the potential to earn up to 150% of their individual targets.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2025 AIP performance metrics approved by the Compensation Committee are as follows:</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10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Mr. Gaeta</w:t>
            </w:r>
          </w:p>
        </w:tc>
        <w:tc>
          <w:tcPr>
            <w:tcW w:w="10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2980" w:type="dxa"/>
            <w:vAlign w:val="bottom"/>
            <w:gridSpan w:val="4"/>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900" w:type="dxa"/>
            <w:vAlign w:val="bottom"/>
            <w:gridSpan w:val="8"/>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Metric for Mr. to Metric for</w:t>
            </w:r>
          </w:p>
        </w:tc>
        <w:tc>
          <w:tcPr>
            <w:tcW w:w="2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Metric</w:t>
            </w:r>
          </w:p>
        </w:tc>
        <w:tc>
          <w:tcPr>
            <w:tcW w:w="10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Mr. Reath</w:t>
            </w:r>
          </w:p>
        </w:tc>
        <w:tc>
          <w:tcPr>
            <w:tcW w:w="340" w:type="dxa"/>
            <w:vAlign w:val="bottom"/>
          </w:tcPr>
          <w:p>
            <w:pPr>
              <w:spacing w:after="0"/>
              <w:rPr>
                <w:sz w:val="11"/>
                <w:szCs w:val="11"/>
                <w:color w:val="auto"/>
              </w:rPr>
            </w:pPr>
          </w:p>
        </w:tc>
        <w:tc>
          <w:tcPr>
            <w:tcW w:w="40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Gaeta</w:t>
            </w: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Mr. Reath</w:t>
            </w:r>
          </w:p>
        </w:tc>
        <w:tc>
          <w:tcPr>
            <w:tcW w:w="2980" w:type="dxa"/>
            <w:vAlign w:val="bottom"/>
            <w:gridSpan w:val="4"/>
          </w:tcPr>
          <w:p>
            <w:pPr>
              <w:ind w:left="940"/>
              <w:spacing w:after="0" w:line="129"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20" w:type="dxa"/>
            <w:vAlign w:val="bottom"/>
            <w:gridSpan w:val="3"/>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TIER I - Company's Financial Performance</w:t>
            </w:r>
          </w:p>
        </w:tc>
        <w:tc>
          <w:tcPr>
            <w:tcW w:w="320" w:type="dxa"/>
            <w:vAlign w:val="bottom"/>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42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9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720" w:type="dxa"/>
            <w:vAlign w:val="bottom"/>
            <w:gridSpan w:val="3"/>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080" w:type="dxa"/>
            <w:vAlign w:val="bottom"/>
            <w:gridSpan w:val="3"/>
            <w:shd w:val="clear" w:color="auto" w:fill="CFF0FC"/>
          </w:tcPr>
          <w:p>
            <w:pPr>
              <w:ind w:left="40"/>
              <w:spacing w:after="0" w:line="124" w:lineRule="exact"/>
              <w:rPr>
                <w:sz w:val="20"/>
                <w:szCs w:val="20"/>
                <w:color w:val="auto"/>
              </w:rPr>
            </w:pPr>
            <w:r>
              <w:rPr>
                <w:rFonts w:ascii="Times New Roman" w:cs="Times New Roman" w:eastAsia="Times New Roman" w:hAnsi="Times New Roman"/>
                <w:sz w:val="14"/>
                <w:szCs w:val="14"/>
                <w:color w:val="auto"/>
              </w:rPr>
              <w:t>Sales</w:t>
            </w:r>
          </w:p>
        </w:tc>
        <w:tc>
          <w:tcPr>
            <w:tcW w:w="880" w:type="dxa"/>
            <w:vAlign w:val="bottom"/>
            <w:gridSpan w:val="2"/>
            <w:shd w:val="clear" w:color="auto" w:fill="CFF0FC"/>
          </w:tcPr>
          <w:p>
            <w:pPr>
              <w:jc w:val="center"/>
              <w:ind w:left="14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0"/>
                <w:szCs w:val="10"/>
                <w:color w:val="auto"/>
              </w:rPr>
            </w:pPr>
          </w:p>
        </w:tc>
        <w:tc>
          <w:tcPr>
            <w:tcW w:w="740" w:type="dxa"/>
            <w:vAlign w:val="bottom"/>
            <w:gridSpan w:val="4"/>
            <w:shd w:val="clear" w:color="auto" w:fill="CFF0FC"/>
          </w:tcPr>
          <w:p>
            <w:pPr>
              <w:jc w:val="center"/>
              <w:ind w:left="28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center"/>
              <w:ind w:left="4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FF0FC"/>
          </w:tcPr>
          <w:p>
            <w:pPr>
              <w:spacing w:after="0"/>
              <w:rPr>
                <w:sz w:val="10"/>
                <w:szCs w:val="10"/>
                <w:color w:val="auto"/>
              </w:rPr>
            </w:pPr>
          </w:p>
        </w:tc>
        <w:tc>
          <w:tcPr>
            <w:tcW w:w="2980" w:type="dxa"/>
            <w:vAlign w:val="bottom"/>
            <w:gridSpan w:val="4"/>
            <w:shd w:val="clear" w:color="auto" w:fill="CFF0FC"/>
          </w:tcPr>
          <w:p>
            <w:pPr>
              <w:ind w:left="40"/>
              <w:spacing w:after="0" w:line="124"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20" w:type="dxa"/>
            <w:vAlign w:val="bottom"/>
            <w:gridSpan w:val="3"/>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3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980" w:type="dxa"/>
            <w:vAlign w:val="bottom"/>
            <w:gridSpan w:val="4"/>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96.9% of target and 150% payout at 103.1%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980" w:type="dxa"/>
            <w:vAlign w:val="bottom"/>
            <w:gridSpan w:val="4"/>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103.1% of target.</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72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Corporate -</w:t>
            </w:r>
          </w:p>
        </w:tc>
        <w:tc>
          <w:tcPr>
            <w:tcW w:w="10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color w:val="auto"/>
              </w:rPr>
              <w:t>Adjusted</w:t>
            </w:r>
          </w:p>
        </w:tc>
        <w:tc>
          <w:tcPr>
            <w:tcW w:w="880" w:type="dxa"/>
            <w:vAlign w:val="bottom"/>
            <w:gridSpan w:val="2"/>
          </w:tcPr>
          <w:p>
            <w:pPr>
              <w:jc w:val="center"/>
              <w:ind w:left="148"/>
              <w:spacing w:after="0" w:line="124"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0"/>
                <w:szCs w:val="10"/>
                <w:color w:val="auto"/>
              </w:rPr>
            </w:pPr>
          </w:p>
        </w:tc>
        <w:tc>
          <w:tcPr>
            <w:tcW w:w="740" w:type="dxa"/>
            <w:vAlign w:val="bottom"/>
            <w:gridSpan w:val="4"/>
          </w:tcPr>
          <w:p>
            <w:pPr>
              <w:jc w:val="center"/>
              <w:ind w:left="288"/>
              <w:spacing w:after="0" w:line="124" w:lineRule="exact"/>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spacing w:after="0"/>
              <w:rPr>
                <w:sz w:val="10"/>
                <w:szCs w:val="10"/>
                <w:color w:val="auto"/>
              </w:rPr>
            </w:pPr>
          </w:p>
        </w:tc>
        <w:tc>
          <w:tcPr>
            <w:tcW w:w="780" w:type="dxa"/>
            <w:vAlign w:val="bottom"/>
            <w:gridSpan w:val="2"/>
          </w:tcPr>
          <w:p>
            <w:pPr>
              <w:jc w:val="center"/>
              <w:ind w:left="68"/>
              <w:spacing w:after="0" w:line="124" w:lineRule="exact"/>
              <w:rPr>
                <w:sz w:val="20"/>
                <w:szCs w:val="20"/>
                <w:color w:val="auto"/>
              </w:rPr>
            </w:pPr>
            <w:r>
              <w:rPr>
                <w:rFonts w:ascii="Times New Roman" w:cs="Times New Roman" w:eastAsia="Times New Roman" w:hAnsi="Times New Roman"/>
                <w:sz w:val="14"/>
                <w:szCs w:val="14"/>
                <w:color w:val="auto"/>
                <w:w w:val="99"/>
              </w:rPr>
              <w:t>20.0%</w:t>
            </w:r>
          </w:p>
        </w:tc>
        <w:tc>
          <w:tcPr>
            <w:tcW w:w="100" w:type="dxa"/>
            <w:vAlign w:val="bottom"/>
          </w:tcPr>
          <w:p>
            <w:pPr>
              <w:spacing w:after="0"/>
              <w:rPr>
                <w:sz w:val="10"/>
                <w:szCs w:val="10"/>
                <w:color w:val="auto"/>
              </w:rPr>
            </w:pPr>
          </w:p>
        </w:tc>
        <w:tc>
          <w:tcPr>
            <w:tcW w:w="2980" w:type="dxa"/>
            <w:vAlign w:val="bottom"/>
            <w:gridSpan w:val="4"/>
          </w:tcPr>
          <w:p>
            <w:pPr>
              <w:ind w:left="40"/>
              <w:spacing w:after="0" w:line="124"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1"/>
        </w:trPr>
        <w:tc>
          <w:tcPr>
            <w:tcW w:w="2740" w:type="dxa"/>
            <w:vAlign w:val="bottom"/>
            <w:gridSpan w:val="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08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rPr>
              <w:t>88.4% of target and 150% payout at 104.7%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Margin</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104.7% of target.</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20" w:type="dxa"/>
            <w:vAlign w:val="bottom"/>
            <w:gridSpan w:val="3"/>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08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Store Operations</w:t>
            </w:r>
          </w:p>
        </w:tc>
        <w:tc>
          <w:tcPr>
            <w:tcW w:w="880" w:type="dxa"/>
            <w:vAlign w:val="bottom"/>
            <w:gridSpan w:val="2"/>
            <w:shd w:val="clear" w:color="auto" w:fill="CFF0FC"/>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740" w:type="dxa"/>
            <w:vAlign w:val="bottom"/>
            <w:gridSpan w:val="4"/>
            <w:shd w:val="clear" w:color="auto" w:fill="CFF0FC"/>
          </w:tcPr>
          <w:p>
            <w:pPr>
              <w:jc w:val="center"/>
              <w:ind w:left="28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FF0FC"/>
          </w:tcPr>
          <w:p>
            <w:pPr>
              <w:spacing w:after="0"/>
              <w:rPr>
                <w:sz w:val="10"/>
                <w:szCs w:val="10"/>
                <w:color w:val="auto"/>
              </w:rPr>
            </w:pPr>
          </w:p>
        </w:tc>
        <w:tc>
          <w:tcPr>
            <w:tcW w:w="286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target.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Marketing &amp;</w:t>
            </w:r>
          </w:p>
        </w:tc>
        <w:tc>
          <w:tcPr>
            <w:tcW w:w="880" w:type="dxa"/>
            <w:vAlign w:val="bottom"/>
            <w:gridSpan w:val="2"/>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80" w:type="dxa"/>
            <w:vAlign w:val="bottom"/>
            <w:gridSpan w:val="2"/>
          </w:tcPr>
          <w:p>
            <w:pPr>
              <w:jc w:val="center"/>
              <w:ind w:left="328"/>
              <w:spacing w:after="0" w:line="126" w:lineRule="exact"/>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Pr>
          <w:p>
            <w:pPr>
              <w:spacing w:after="0"/>
              <w:rPr>
                <w:sz w:val="10"/>
                <w:szCs w:val="10"/>
                <w:color w:val="auto"/>
              </w:rPr>
            </w:pPr>
          </w:p>
        </w:tc>
        <w:tc>
          <w:tcPr>
            <w:tcW w:w="286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Includes targets for customer count, repeat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Digital</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visits, number of digital transactions and store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visits.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6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Departmental goals payouts range from 50% to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6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150% dependent upon achievement of the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various targets.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00" w:type="dxa"/>
            <w:vAlign w:val="bottom"/>
            <w:gridSpan w:val="1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TIER II - Company's Financial Performance Measured Against the Company's 2024 Peers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20" w:type="dxa"/>
            <w:vAlign w:val="bottom"/>
            <w:gridSpan w:val="3"/>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Corporate - Target 1</w:t>
            </w:r>
          </w:p>
        </w:tc>
        <w:tc>
          <w:tcPr>
            <w:tcW w:w="108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Comparable</w:t>
            </w:r>
          </w:p>
        </w:tc>
        <w:tc>
          <w:tcPr>
            <w:tcW w:w="880" w:type="dxa"/>
            <w:vAlign w:val="bottom"/>
            <w:gridSpan w:val="2"/>
            <w:shd w:val="clear" w:color="auto" w:fill="CFF0FC"/>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shd w:val="clear" w:color="auto" w:fill="CFF0FC"/>
          </w:tcPr>
          <w:p>
            <w:pPr>
              <w:spacing w:after="0"/>
              <w:rPr>
                <w:sz w:val="10"/>
                <w:szCs w:val="10"/>
                <w:color w:val="auto"/>
              </w:rPr>
            </w:pPr>
          </w:p>
        </w:tc>
        <w:tc>
          <w:tcPr>
            <w:tcW w:w="740" w:type="dxa"/>
            <w:vAlign w:val="bottom"/>
            <w:gridSpan w:val="4"/>
            <w:shd w:val="clear" w:color="auto" w:fill="CFF0FC"/>
          </w:tcPr>
          <w:p>
            <w:pPr>
              <w:jc w:val="center"/>
              <w:ind w:left="28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shd w:val="clear" w:color="auto" w:fill="CFF0FC"/>
          </w:tcPr>
          <w:p>
            <w:pPr>
              <w:spacing w:after="0"/>
              <w:rPr>
                <w:sz w:val="10"/>
                <w:szCs w:val="10"/>
                <w:color w:val="auto"/>
              </w:rPr>
            </w:pPr>
          </w:p>
        </w:tc>
        <w:tc>
          <w:tcPr>
            <w:tcW w:w="2860" w:type="dxa"/>
            <w:vAlign w:val="bottom"/>
            <w:gridSpan w:val="3"/>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Sales</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Quartile 50%; 4th Quartile no payout.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Corporate - Target 2</w:t>
            </w:r>
          </w:p>
        </w:tc>
        <w:tc>
          <w:tcPr>
            <w:tcW w:w="108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Adjusted</w:t>
            </w:r>
          </w:p>
        </w:tc>
        <w:tc>
          <w:tcPr>
            <w:tcW w:w="880" w:type="dxa"/>
            <w:vAlign w:val="bottom"/>
            <w:gridSpan w:val="2"/>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0"/>
                <w:szCs w:val="10"/>
                <w:color w:val="auto"/>
              </w:rPr>
            </w:pPr>
          </w:p>
        </w:tc>
        <w:tc>
          <w:tcPr>
            <w:tcW w:w="740" w:type="dxa"/>
            <w:vAlign w:val="bottom"/>
            <w:gridSpan w:val="4"/>
          </w:tcPr>
          <w:p>
            <w:pPr>
              <w:jc w:val="center"/>
              <w:ind w:left="288"/>
              <w:spacing w:after="0" w:line="126" w:lineRule="exact"/>
              <w:rPr>
                <w:sz w:val="20"/>
                <w:szCs w:val="20"/>
                <w:color w:val="auto"/>
              </w:rPr>
            </w:pPr>
            <w:r>
              <w:rPr>
                <w:rFonts w:ascii="Times New Roman" w:cs="Times New Roman" w:eastAsia="Times New Roman" w:hAnsi="Times New Roman"/>
                <w:sz w:val="14"/>
                <w:szCs w:val="14"/>
                <w:color w:val="auto"/>
              </w:rPr>
              <w:t>40.0%</w:t>
            </w:r>
          </w:p>
        </w:tc>
        <w:tc>
          <w:tcPr>
            <w:tcW w:w="280" w:type="dxa"/>
            <w:vAlign w:val="bottom"/>
          </w:tcPr>
          <w:p>
            <w:pPr>
              <w:spacing w:after="0"/>
              <w:rPr>
                <w:sz w:val="10"/>
                <w:szCs w:val="10"/>
                <w:color w:val="auto"/>
              </w:rPr>
            </w:pPr>
          </w:p>
        </w:tc>
        <w:tc>
          <w:tcPr>
            <w:tcW w:w="780" w:type="dxa"/>
            <w:vAlign w:val="bottom"/>
            <w:gridSpan w:val="2"/>
          </w:tcPr>
          <w:p>
            <w:pPr>
              <w:jc w:val="center"/>
              <w:ind w:left="68"/>
              <w:spacing w:after="0" w:line="126" w:lineRule="exact"/>
              <w:rPr>
                <w:sz w:val="20"/>
                <w:szCs w:val="20"/>
                <w:color w:val="auto"/>
              </w:rPr>
            </w:pPr>
            <w:r>
              <w:rPr>
                <w:rFonts w:ascii="Times New Roman" w:cs="Times New Roman" w:eastAsia="Times New Roman" w:hAnsi="Times New Roman"/>
                <w:sz w:val="14"/>
                <w:szCs w:val="14"/>
                <w:color w:val="auto"/>
                <w:w w:val="99"/>
              </w:rPr>
              <w:t>40.0%</w:t>
            </w:r>
          </w:p>
        </w:tc>
        <w:tc>
          <w:tcPr>
            <w:tcW w:w="100" w:type="dxa"/>
            <w:vAlign w:val="bottom"/>
          </w:tcPr>
          <w:p>
            <w:pPr>
              <w:spacing w:after="0"/>
              <w:rPr>
                <w:sz w:val="10"/>
                <w:szCs w:val="10"/>
                <w:color w:val="auto"/>
              </w:rPr>
            </w:pPr>
          </w:p>
        </w:tc>
        <w:tc>
          <w:tcPr>
            <w:tcW w:w="286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Top Quartile 100%; 2nd Quartile 75%; 3rd</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Quartile 50%; 4th Quartile no payout.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Margin</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6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INDIVIDUAL PERFORMANCE</w:t>
            </w:r>
          </w:p>
        </w:tc>
        <w:tc>
          <w:tcPr>
            <w:tcW w:w="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Individual Targets</w:t>
            </w:r>
          </w:p>
        </w:tc>
        <w:tc>
          <w:tcPr>
            <w:tcW w:w="680" w:type="dxa"/>
            <w:vAlign w:val="bottom"/>
            <w:tcBorders>
              <w:top w:val="single" w:sz="8" w:color="CFF0FC"/>
            </w:tcBorders>
            <w:gridSpan w:val="2"/>
          </w:tcPr>
          <w:p>
            <w:pPr>
              <w:spacing w:after="0"/>
              <w:rPr>
                <w:sz w:val="23"/>
                <w:szCs w:val="23"/>
                <w:color w:val="auto"/>
              </w:rPr>
            </w:pPr>
          </w:p>
        </w:tc>
        <w:tc>
          <w:tcPr>
            <w:tcW w:w="1080" w:type="dxa"/>
            <w:vAlign w:val="bottom"/>
            <w:tcBorders>
              <w:top w:val="single" w:sz="8" w:color="CFF0FC"/>
            </w:tcBorders>
            <w:gridSpan w:val="3"/>
          </w:tcPr>
          <w:p>
            <w:pPr>
              <w:ind w:left="40"/>
              <w:spacing w:after="0"/>
              <w:rPr>
                <w:sz w:val="20"/>
                <w:szCs w:val="20"/>
                <w:color w:val="auto"/>
              </w:rPr>
            </w:pPr>
            <w:r>
              <w:rPr>
                <w:rFonts w:ascii="Times New Roman" w:cs="Times New Roman" w:eastAsia="Times New Roman" w:hAnsi="Times New Roman"/>
                <w:sz w:val="14"/>
                <w:szCs w:val="14"/>
                <w:color w:val="auto"/>
              </w:rPr>
              <w:t>Discretionary-</w:t>
            </w:r>
          </w:p>
        </w:tc>
        <w:tc>
          <w:tcPr>
            <w:tcW w:w="880" w:type="dxa"/>
            <w:vAlign w:val="bottom"/>
            <w:tcBorders>
              <w:top w:val="single" w:sz="8" w:color="CFF0FC"/>
            </w:tcBorders>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tcBorders>
              <w:top w:val="single" w:sz="8" w:color="CFF0FC"/>
            </w:tcBorders>
          </w:tcPr>
          <w:p>
            <w:pPr>
              <w:spacing w:after="0"/>
              <w:rPr>
                <w:sz w:val="23"/>
                <w:szCs w:val="23"/>
                <w:color w:val="auto"/>
              </w:rPr>
            </w:pPr>
          </w:p>
        </w:tc>
        <w:tc>
          <w:tcPr>
            <w:tcW w:w="740" w:type="dxa"/>
            <w:vAlign w:val="bottom"/>
            <w:tcBorders>
              <w:top w:val="single" w:sz="8" w:color="CFF0FC"/>
            </w:tcBorders>
            <w:gridSpan w:val="4"/>
          </w:tcPr>
          <w:p>
            <w:pPr>
              <w:jc w:val="center"/>
              <w:ind w:left="288"/>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Borders>
              <w:top w:val="single" w:sz="8" w:color="CFF0FC"/>
            </w:tcBorders>
          </w:tcPr>
          <w:p>
            <w:pPr>
              <w:spacing w:after="0"/>
              <w:rPr>
                <w:sz w:val="23"/>
                <w:szCs w:val="23"/>
                <w:color w:val="auto"/>
              </w:rPr>
            </w:pPr>
          </w:p>
        </w:tc>
        <w:tc>
          <w:tcPr>
            <w:tcW w:w="780" w:type="dxa"/>
            <w:vAlign w:val="bottom"/>
            <w:tcBorders>
              <w:top w:val="single" w:sz="8" w:color="CFF0FC"/>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w w:val="99"/>
              </w:rPr>
              <w:t>20.0%</w:t>
            </w:r>
          </w:p>
        </w:tc>
        <w:tc>
          <w:tcPr>
            <w:tcW w:w="100" w:type="dxa"/>
            <w:vAlign w:val="bottom"/>
            <w:tcBorders>
              <w:top w:val="single" w:sz="8" w:color="CFF0FC"/>
            </w:tcBorders>
          </w:tcPr>
          <w:p>
            <w:pPr>
              <w:spacing w:after="0"/>
              <w:rPr>
                <w:sz w:val="23"/>
                <w:szCs w:val="23"/>
                <w:color w:val="auto"/>
              </w:rPr>
            </w:pPr>
          </w:p>
        </w:tc>
        <w:tc>
          <w:tcPr>
            <w:tcW w:w="2860" w:type="dxa"/>
            <w:vAlign w:val="bottom"/>
            <w:tcBorders>
              <w:top w:val="single" w:sz="8" w:color="CFF0FC"/>
            </w:tcBorders>
            <w:gridSpan w:val="3"/>
          </w:tcPr>
          <w:p>
            <w:pPr>
              <w:ind w:left="40"/>
              <w:spacing w:after="0"/>
              <w:rPr>
                <w:sz w:val="20"/>
                <w:szCs w:val="20"/>
                <w:color w:val="auto"/>
              </w:rPr>
            </w:pPr>
            <w:r>
              <w:rPr>
                <w:rFonts w:ascii="Times New Roman" w:cs="Times New Roman" w:eastAsia="Times New Roman" w:hAnsi="Times New Roman"/>
                <w:sz w:val="14"/>
                <w:szCs w:val="14"/>
                <w:color w:val="auto"/>
              </w:rPr>
              <w:t>Discretionary, at target, based upon individual</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CEO (except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with respect to the CEO, whose individual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performance will be evaluated by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-372110</wp:posOffset>
            </wp:positionV>
            <wp:extent cx="6129020" cy="848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9020" cy="848360"/>
                    </a:xfrm>
                    <a:prstGeom prst="rect">
                      <a:avLst/>
                    </a:prstGeom>
                    <a:noFill/>
                  </pic:spPr>
                </pic:pic>
              </a:graphicData>
            </a:graphic>
          </wp:anchor>
        </w:drawing>
      </w:r>
    </w:p>
    <w:p>
      <w:pPr>
        <w:ind w:left="7060"/>
        <w:spacing w:after="0" w:line="221" w:lineRule="auto"/>
        <w:rPr>
          <w:sz w:val="20"/>
          <w:szCs w:val="20"/>
          <w:color w:val="auto"/>
        </w:rPr>
      </w:pPr>
      <w:r>
        <w:rPr>
          <w:rFonts w:ascii="Times New Roman" w:cs="Times New Roman" w:eastAsia="Times New Roman" w:hAnsi="Times New Roman"/>
          <w:sz w:val="14"/>
          <w:szCs w:val="14"/>
          <w:color w:val="auto"/>
        </w:rPr>
        <w:t>Compensation Committee). Participants are</w:t>
      </w:r>
    </w:p>
    <w:p>
      <w:pPr>
        <w:ind w:left="706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060"/>
        <w:spacing w:after="0" w:line="222" w:lineRule="auto"/>
        <w:rPr>
          <w:sz w:val="20"/>
          <w:szCs w:val="20"/>
          <w:color w:val="auto"/>
        </w:rPr>
      </w:pPr>
      <w:r>
        <w:rPr>
          <w:rFonts w:ascii="Times New Roman" w:cs="Times New Roman" w:eastAsia="Times New Roman" w:hAnsi="Times New Roman"/>
          <w:sz w:val="14"/>
          <w:szCs w:val="14"/>
          <w:color w:val="auto"/>
        </w:rPr>
        <w:t>30%, with the exception of Mr. Kanter who is</w:t>
      </w:r>
    </w:p>
    <w:p>
      <w:pPr>
        <w:ind w:left="706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 up to</w:t>
      </w:r>
    </w:p>
    <w:p>
      <w:pPr>
        <w:ind w:left="7060"/>
        <w:spacing w:after="0"/>
        <w:rPr>
          <w:sz w:val="20"/>
          <w:szCs w:val="20"/>
          <w:color w:val="auto"/>
        </w:rPr>
      </w:pPr>
      <w:r>
        <w:rPr>
          <w:rFonts w:ascii="Times New Roman" w:cs="Times New Roman" w:eastAsia="Times New Roman" w:hAnsi="Times New Roman"/>
          <w:sz w:val="14"/>
          <w:szCs w:val="14"/>
          <w:color w:val="auto"/>
        </w:rPr>
        <w:t>40%.</w:t>
      </w:r>
    </w:p>
    <w:p>
      <w:pPr>
        <w:spacing w:after="0" w:line="200" w:lineRule="exact"/>
        <w:rPr>
          <w:sz w:val="20"/>
          <w:szCs w:val="20"/>
          <w:color w:val="auto"/>
        </w:rPr>
      </w:pPr>
    </w:p>
    <w:p>
      <w:pPr>
        <w:spacing w:after="0" w:line="3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above targets for each metric in TIER I were derived from the Company’s annual operating plan and budget for the 2025 fiscal year and are intended to be achievable, with an approximate 50% probability of achievement. The likelihood of achieving the 2025 targets reflects the challenges inherent in achieving the goals and objectives of an ambitious operating plan, given the</w:t>
      </w:r>
    </w:p>
    <w:p>
      <w:pPr>
        <w:spacing w:after="0" w:line="6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40" w:top="1093" w:right="379" w:bottom="1440" w:gutter="0" w:footer="0" w:header="0"/>
        </w:sectPr>
      </w:pPr>
    </w:p>
    <w:bookmarkStart w:id="22" w:name="page23"/>
    <w:bookmarkEnd w:id="22"/>
    <w:p>
      <w:pPr>
        <w:ind w:left="520" w:right="180"/>
        <w:spacing w:after="0" w:line="282" w:lineRule="auto"/>
        <w:rPr>
          <w:sz w:val="20"/>
          <w:szCs w:val="20"/>
          <w:color w:val="auto"/>
        </w:rPr>
      </w:pPr>
      <w:r>
        <w:rPr>
          <w:rFonts w:ascii="Times New Roman" w:cs="Times New Roman" w:eastAsia="Times New Roman" w:hAnsi="Times New Roman"/>
          <w:sz w:val="18"/>
          <w:szCs w:val="18"/>
          <w:color w:val="auto"/>
        </w:rPr>
        <w:t>continuing uncertainty with respect to the economy, higher costs, and consumer discretionary spending. The Compensation Committee's adoption of the TIER II plan is to ensure that all participants in the AIP will be motivated in fiscal 2025.</w:t>
      </w:r>
    </w:p>
    <w:p>
      <w:pPr>
        <w:spacing w:after="0" w:line="162"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For fiscal 2025, Mr. Kanter will continue to participate at 100% of his salary, Mr. Stratton will continue to participate at 60% of his salary, and Messrs. Gaeta, Molloy and Reath will continue to participate at 50% of their respective salaries.</w:t>
      </w:r>
    </w:p>
    <w:p>
      <w:pPr>
        <w:spacing w:after="0" w:line="268" w:lineRule="exact"/>
        <w:rPr>
          <w:sz w:val="20"/>
          <w:szCs w:val="20"/>
          <w:color w:val="auto"/>
        </w:rPr>
      </w:pPr>
    </w:p>
    <w:p>
      <w:pPr>
        <w:ind w:left="780" w:hanging="263"/>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 (LTIP)</w:t>
      </w:r>
    </w:p>
    <w:p>
      <w:pPr>
        <w:spacing w:after="0" w:line="227" w:lineRule="exact"/>
        <w:rPr>
          <w:rFonts w:ascii="Times New Roman" w:cs="Times New Roman" w:eastAsia="Times New Roman" w:hAnsi="Times New Roman"/>
          <w:sz w:val="18"/>
          <w:szCs w:val="18"/>
          <w:color w:val="auto"/>
        </w:rPr>
      </w:pPr>
    </w:p>
    <w:p>
      <w:pPr>
        <w:jc w:val="both"/>
        <w:ind w:left="7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LTIPs are designed to ensure that the interests of our executives are aligned with those of our stockholders to create sustainable stockholder value and to promote executive retention. Awards under each LTIP consist of a combination of time-based and performance-based awards for which payouts may consist of cash or equity or a combination of both. The performance-based portion of each LTIP is based on financial metric(s) measured over a three-year performance cycle. All equity awards granted under each LTIP are issued from the Company’s stockholder-approved 2016 Incentive Compensation Plan, as amended (the “2016 Plan”). Participants in the LTIPs are eligible to receive awards based on their “Target Cash Value,” which is defined as the participant’s annual base salary multiplied by his or her LTIP percentage. Under each LTIP, 50% of each participant’s Target Cash Value is subject to time-based vesting and 50% is subject to performance-based vesting.</w:t>
      </w:r>
    </w:p>
    <w:p>
      <w:pPr>
        <w:spacing w:after="0" w:line="188" w:lineRule="exact"/>
        <w:rPr>
          <w:rFonts w:ascii="Times New Roman" w:cs="Times New Roman" w:eastAsia="Times New Roman" w:hAnsi="Times New Roman"/>
          <w:sz w:val="18"/>
          <w:szCs w:val="18"/>
          <w:color w:val="auto"/>
        </w:rPr>
      </w:pPr>
    </w:p>
    <w:p>
      <w:pPr>
        <w:jc w:val="both"/>
        <w:ind w:left="7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beginning with the 2022-2024 LTIP, the LTIPs include a “Structured Retirement” provision, which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(i) the participant must terminate employment after meeting the age and service requirements set forth in the LTIP, (ii) the Compensation Committee must confirm through proper corporate action that the participant has met all of the succession planning objectives set by the Compensation Committee for the participant, (iii) the participant must continue to work until the date required by the Compensation Committee (which may not be more than 60 days after the Compensation Committee confirms that the objectives have been met), and (iv) the participant must execute a release of claims in favor of the Company. The final determination as to whether the requirements of a Structured Retirement have been met is in the sole discretion of the Compensation Committee.</w:t>
      </w:r>
    </w:p>
    <w:p>
      <w:pPr>
        <w:spacing w:after="0" w:line="18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2022-2024 LTIP</w:t>
      </w:r>
    </w:p>
    <w:p>
      <w:pPr>
        <w:spacing w:after="0" w:line="227" w:lineRule="exact"/>
        <w:rPr>
          <w:rFonts w:ascii="Times New Roman" w:cs="Times New Roman" w:eastAsia="Times New Roman" w:hAnsi="Times New Roman"/>
          <w:sz w:val="18"/>
          <w:szCs w:val="18"/>
          <w:color w:val="auto"/>
        </w:rPr>
      </w:pPr>
    </w:p>
    <w:p>
      <w:pPr>
        <w:jc w:val="both"/>
        <w:ind w:left="7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Company’s 2022-2024 LTIP ended on February 1, 2025. The time-based awards under the 2022-2024 LTIP were granted in a combination of 50% restricted stock units (“RSUs”) and 50% cash that vests over four years, with the last tranche vesting on April 1, 2026.</w:t>
      </w:r>
    </w:p>
    <w:p>
      <w:pPr>
        <w:spacing w:after="0" w:line="175" w:lineRule="exact"/>
        <w:rPr>
          <w:rFonts w:ascii="Times New Roman" w:cs="Times New Roman" w:eastAsia="Times New Roman" w:hAnsi="Times New Roman"/>
          <w:sz w:val="18"/>
          <w:szCs w:val="18"/>
          <w:color w:val="auto"/>
        </w:rPr>
      </w:pPr>
    </w:p>
    <w:p>
      <w:pPr>
        <w:ind w:lef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target, which was established by the Compensation Committee on April 9, 2022, was a three-year relative total shareholder return (“TSR”) as compared to the Company’s 2022 peer group, and the actual performance achieved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tcPr>
          <w:p>
            <w:pPr>
              <w:ind w:left="1000"/>
              <w:spacing w:after="0"/>
              <w:rPr>
                <w:sz w:val="20"/>
                <w:szCs w:val="20"/>
                <w:color w:val="auto"/>
              </w:rPr>
            </w:pPr>
            <w:r>
              <w:rPr>
                <w:rFonts w:ascii="Times New Roman" w:cs="Times New Roman" w:eastAsia="Times New Roman" w:hAnsi="Times New Roman"/>
                <w:sz w:val="18"/>
                <w:szCs w:val="18"/>
                <w:i w:val="1"/>
                <w:iCs w:val="1"/>
                <w:color w:val="auto"/>
              </w:rPr>
              <w:t>2022-2024 LTIP Performance Period</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5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Metric</w:t>
            </w:r>
          </w:p>
        </w:tc>
        <w:tc>
          <w:tcPr>
            <w:tcW w:w="100" w:type="dxa"/>
            <w:vAlign w:val="bottom"/>
          </w:tcPr>
          <w:p>
            <w:pPr>
              <w:spacing w:after="0"/>
              <w:rPr>
                <w:sz w:val="24"/>
                <w:szCs w:val="24"/>
                <w:color w:val="auto"/>
              </w:rPr>
            </w:pPr>
          </w:p>
        </w:tc>
        <w:tc>
          <w:tcPr>
            <w:tcW w:w="44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Potential Payout</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Target</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Actual</w:t>
            </w:r>
          </w:p>
        </w:tc>
        <w:tc>
          <w:tcPr>
            <w:tcW w:w="120" w:type="dxa"/>
            <w:vAlign w:val="bottom"/>
          </w:tcPr>
          <w:p>
            <w:pPr>
              <w:spacing w:after="0"/>
              <w:rPr>
                <w:sz w:val="24"/>
                <w:szCs w:val="24"/>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Payout %</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3-yr. relative TSR as compared to 2022 disclosed</w:t>
            </w:r>
          </w:p>
        </w:tc>
        <w:tc>
          <w:tcPr>
            <w:tcW w:w="4520" w:type="dxa"/>
            <w:vAlign w:val="bottom"/>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6"/>
                <w:szCs w:val="16"/>
                <w:color w:val="auto"/>
              </w:rPr>
              <w:t>100% payout at target (2nd quartile), with 50% payout (3rd</w:t>
            </w: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2nd</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16"/>
                <w:szCs w:val="16"/>
                <w:color w:val="auto"/>
              </w:rPr>
              <w:t xml:space="preserve">proxy peers </w:t>
            </w:r>
            <w:r>
              <w:rPr>
                <w:rFonts w:ascii="Times New Roman" w:cs="Times New Roman" w:eastAsia="Times New Roman" w:hAnsi="Times New Roman"/>
                <w:sz w:val="21"/>
                <w:szCs w:val="21"/>
                <w:color w:val="auto"/>
                <w:vertAlign w:val="superscript"/>
              </w:rPr>
              <w:t>(1)</w:t>
            </w:r>
          </w:p>
        </w:tc>
        <w:tc>
          <w:tcPr>
            <w:tcW w:w="4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 and 150% payout (1st quartile). No payout in the 4th</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spacing w:after="0"/>
              <w:rPr>
                <w:sz w:val="20"/>
                <w:szCs w:val="20"/>
                <w:color w:val="auto"/>
              </w:rPr>
            </w:pPr>
          </w:p>
        </w:tc>
        <w:tc>
          <w:tcPr>
            <w:tcW w:w="4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2nd quartile</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quartile</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60" w:hanging="3"/>
        <w:spacing w:after="0" w:line="261" w:lineRule="auto"/>
        <w:tabs>
          <w:tab w:leader="none" w:pos="96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2022 disclosed proxy peers, the three-year relative TSR was calculated as the percentage change in the 30-day trailing volume-weighted average closing stock price at January 28, 2022 and January 31, 2025, adjusted for any dividends paid.</w:t>
      </w:r>
    </w:p>
    <w:p>
      <w:pPr>
        <w:spacing w:after="0" w:line="5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Based on the above achievement, subsequent to the end of fiscal 2024, the Compensation Committee approved a performance award, with an effective grant date of April 1, 2025, totaling $2.4 million, to be payable in a combination of 50% cash and 50% RSUs. All awards are subject to further vesting through August 31, 2025.</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Approximately $1.3 million of the $2.4 million of the 2022-2024 LTIP award was earned by the Named Executive Officers.</w:t>
      </w:r>
    </w:p>
    <w:p>
      <w:pPr>
        <w:spacing w:after="0" w:line="117" w:lineRule="exact"/>
        <w:rPr>
          <w:sz w:val="20"/>
          <w:szCs w:val="20"/>
          <w:color w:val="auto"/>
        </w:rPr>
      </w:pPr>
    </w:p>
    <w:p>
      <w:pPr>
        <w:ind w:left="760" w:right="2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awards granted to our Named Executive Officers on April 1, 2025 as a result of achieving the performance metrics under the 2022-2024 LTIP: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5"/>
        </w:trPr>
        <w:tc>
          <w:tcPr>
            <w:tcW w:w="6520" w:type="dxa"/>
            <w:vAlign w:val="bottom"/>
          </w:tcPr>
          <w:p>
            <w:pPr>
              <w:ind w:left="29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RSUs</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Cash</w:t>
            </w:r>
          </w:p>
        </w:tc>
        <w:tc>
          <w:tcPr>
            <w:tcW w:w="120" w:type="dxa"/>
            <w:vAlign w:val="bottom"/>
          </w:tcPr>
          <w:p>
            <w:pPr>
              <w:spacing w:after="0"/>
              <w:rPr>
                <w:sz w:val="14"/>
                <w:szCs w:val="14"/>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480" w:type="dxa"/>
            <w:vAlign w:val="bottom"/>
            <w:shd w:val="clear" w:color="auto" w:fill="CFF0FC"/>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361,250</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361,250</w:t>
            </w: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480" w:type="dxa"/>
            <w:vAlign w:val="bottom"/>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91,575</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91,575</w:t>
            </w:r>
          </w:p>
        </w:tc>
        <w:tc>
          <w:tcPr>
            <w:tcW w:w="1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80" w:type="dxa"/>
            <w:vAlign w:val="bottom"/>
            <w:shd w:val="clear" w:color="auto" w:fill="CFF0FC"/>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56,875</w:t>
            </w:r>
          </w:p>
        </w:tc>
        <w:tc>
          <w:tcPr>
            <w:tcW w:w="12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80" w:type="dxa"/>
            <w:vAlign w:val="bottom"/>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67,550</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67,550</w:t>
            </w:r>
          </w:p>
        </w:tc>
        <w:tc>
          <w:tcPr>
            <w:tcW w:w="1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1480" w:type="dxa"/>
            <w:vAlign w:val="bottom"/>
            <w:shd w:val="clear" w:color="auto" w:fill="CFF0FC"/>
          </w:tcPr>
          <w:p>
            <w:pPr>
              <w:jc w:val="right"/>
              <w:ind w:right="131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8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12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u w:val="single" w:color="auto"/>
          <w:color w:val="auto"/>
        </w:rPr>
        <w:t>2023-2025 LTIP and 2024-2026 LTIP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2023-2025 LTIP and 2024-2026 LTIP in effect, but not completed, during fiscal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2023-2025</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2024-2026</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Effective date</w:t>
            </w:r>
          </w:p>
        </w:tc>
        <w:tc>
          <w:tcPr>
            <w:tcW w:w="20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360" w:type="dxa"/>
            <w:vAlign w:val="bottom"/>
            <w:tcBorders>
              <w:top w:val="single" w:sz="8" w:color="auto"/>
            </w:tcBorders>
            <w:gridSpan w:val="6"/>
            <w:shd w:val="clear" w:color="auto" w:fill="CFF0FC"/>
          </w:tcPr>
          <w:p>
            <w:pPr>
              <w:jc w:val="center"/>
              <w:ind w:right="1420"/>
              <w:spacing w:after="0"/>
              <w:rPr>
                <w:sz w:val="20"/>
                <w:szCs w:val="20"/>
                <w:color w:val="auto"/>
              </w:rPr>
            </w:pPr>
            <w:r>
              <w:rPr>
                <w:rFonts w:ascii="Times New Roman" w:cs="Times New Roman" w:eastAsia="Times New Roman" w:hAnsi="Times New Roman"/>
                <w:sz w:val="16"/>
                <w:szCs w:val="16"/>
                <w:color w:val="auto"/>
              </w:rPr>
              <w:t>May 1, 2023</w:t>
            </w:r>
          </w:p>
        </w:tc>
        <w:tc>
          <w:tcPr>
            <w:tcW w:w="26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500" w:type="dxa"/>
            <w:vAlign w:val="bottom"/>
            <w:tcBorders>
              <w:top w:val="single" w:sz="8" w:color="auto"/>
            </w:tcBorders>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April 1, 2024</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6"/>
          </w:tcPr>
          <w:p>
            <w:pPr>
              <w:jc w:val="center"/>
              <w:ind w:right="1400"/>
              <w:spacing w:after="0"/>
              <w:rPr>
                <w:sz w:val="20"/>
                <w:szCs w:val="20"/>
                <w:color w:val="auto"/>
              </w:rPr>
            </w:pPr>
            <w:r>
              <w:rPr>
                <w:rFonts w:ascii="Times New Roman" w:cs="Times New Roman" w:eastAsia="Times New Roman" w:hAnsi="Times New Roman"/>
                <w:sz w:val="16"/>
                <w:szCs w:val="16"/>
                <w:color w:val="auto"/>
              </w:rPr>
              <w:t>3yrs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6"/>
          </w:tcPr>
          <w:p>
            <w:pPr>
              <w:jc w:val="center"/>
              <w:ind w:right="1400"/>
              <w:spacing w:after="0"/>
              <w:rPr>
                <w:sz w:val="20"/>
                <w:szCs w:val="20"/>
                <w:color w:val="auto"/>
              </w:rPr>
            </w:pPr>
            <w:r>
              <w:rPr>
                <w:rFonts w:ascii="Times New Roman" w:cs="Times New Roman" w:eastAsia="Times New Roman" w:hAnsi="Times New Roman"/>
                <w:sz w:val="16"/>
                <w:szCs w:val="16"/>
                <w:color w:val="auto"/>
                <w:w w:val="94"/>
              </w:rPr>
              <w:t>3yrs</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560" w:type="dxa"/>
            <w:vAlign w:val="bottom"/>
            <w:gridSpan w:val="8"/>
            <w:shd w:val="clear" w:color="auto" w:fill="CFF0FC"/>
          </w:tcPr>
          <w:p>
            <w:pPr>
              <w:jc w:val="center"/>
              <w:ind w:right="1220"/>
              <w:spacing w:after="0"/>
              <w:rPr>
                <w:sz w:val="20"/>
                <w:szCs w:val="20"/>
                <w:color w:val="auto"/>
              </w:rPr>
            </w:pPr>
            <w:r>
              <w:rPr>
                <w:rFonts w:ascii="Times New Roman" w:cs="Times New Roman" w:eastAsia="Times New Roman" w:hAnsi="Times New Roman"/>
                <w:sz w:val="16"/>
                <w:szCs w:val="16"/>
                <w:color w:val="auto"/>
              </w:rPr>
              <w:t>January 31, 2026</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60" w:type="dxa"/>
            <w:vAlign w:val="bottom"/>
            <w:gridSpan w:val="7"/>
            <w:shd w:val="clear" w:color="auto" w:fill="CFF0FC"/>
          </w:tcPr>
          <w:p>
            <w:pPr>
              <w:jc w:val="center"/>
              <w:ind w:right="1240"/>
              <w:spacing w:after="0"/>
              <w:rPr>
                <w:sz w:val="20"/>
                <w:szCs w:val="20"/>
                <w:color w:val="auto"/>
              </w:rPr>
            </w:pPr>
            <w:r>
              <w:rPr>
                <w:rFonts w:ascii="Times New Roman" w:cs="Times New Roman" w:eastAsia="Times New Roman" w:hAnsi="Times New Roman"/>
                <w:sz w:val="16"/>
                <w:szCs w:val="16"/>
                <w:color w:val="auto"/>
              </w:rPr>
              <w:t>January 30, 2027</w:t>
            </w: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Target cash value</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9"/>
          </w:tcPr>
          <w:p>
            <w:pPr>
              <w:jc w:val="center"/>
              <w:ind w:right="74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8"/>
          </w:tcPr>
          <w:p>
            <w:pPr>
              <w:jc w:val="center"/>
              <w:ind w:right="78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5"/>
          </w:tcPr>
          <w:p>
            <w:pPr>
              <w:jc w:val="center"/>
              <w:ind w:left="459"/>
              <w:spacing w:after="0" w:line="176" w:lineRule="exact"/>
              <w:rPr>
                <w:sz w:val="20"/>
                <w:szCs w:val="20"/>
                <w:color w:val="auto"/>
              </w:rPr>
            </w:pPr>
            <w:r>
              <w:rPr>
                <w:rFonts w:ascii="Times New Roman" w:cs="Times New Roman" w:eastAsia="Times New Roman" w:hAnsi="Times New Roman"/>
                <w:sz w:val="16"/>
                <w:szCs w:val="16"/>
                <w:color w:val="auto"/>
              </w:rPr>
              <w:t>Time-Based</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4"/>
          </w:tcPr>
          <w:p>
            <w:pPr>
              <w:jc w:val="center"/>
              <w:ind w:right="260"/>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260" w:type="dxa"/>
            <w:vAlign w:val="bottom"/>
          </w:tcPr>
          <w:p>
            <w:pPr>
              <w:spacing w:after="0"/>
              <w:rPr>
                <w:sz w:val="15"/>
                <w:szCs w:val="15"/>
                <w:color w:val="auto"/>
              </w:rPr>
            </w:pPr>
          </w:p>
        </w:tc>
        <w:tc>
          <w:tcPr>
            <w:tcW w:w="190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400" w:type="dxa"/>
            <w:vAlign w:val="bottom"/>
          </w:tcPr>
          <w:p>
            <w:pPr>
              <w:spacing w:after="0"/>
              <w:rPr>
                <w:sz w:val="15"/>
                <w:szCs w:val="15"/>
                <w:color w:val="auto"/>
              </w:rPr>
            </w:pPr>
          </w:p>
        </w:tc>
        <w:tc>
          <w:tcPr>
            <w:tcW w:w="1580" w:type="dxa"/>
            <w:vAlign w:val="bottom"/>
            <w:gridSpan w:val="4"/>
          </w:tcPr>
          <w:p>
            <w:pPr>
              <w:jc w:val="center"/>
              <w:ind w:right="300"/>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20" w:type="dxa"/>
            <w:vAlign w:val="bottom"/>
            <w:gridSpan w:val="4"/>
            <w:shd w:val="clear" w:color="auto" w:fill="CFF0FC"/>
          </w:tcPr>
          <w:p>
            <w:pPr>
              <w:jc w:val="center"/>
              <w:ind w:left="859"/>
              <w:spacing w:after="0"/>
              <w:rPr>
                <w:sz w:val="20"/>
                <w:szCs w:val="20"/>
                <w:color w:val="auto"/>
              </w:rPr>
            </w:pPr>
            <w:r>
              <w:rPr>
                <w:rFonts w:ascii="Times New Roman" w:cs="Times New Roman" w:eastAsia="Times New Roman" w:hAnsi="Times New Roman"/>
                <w:sz w:val="16"/>
                <w:szCs w:val="16"/>
                <w:color w:val="auto"/>
                <w:w w:val="95"/>
              </w:rPr>
              <w:t>50%</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center"/>
              <w:ind w:left="319"/>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gridSpan w:val="4"/>
            <w:shd w:val="clear" w:color="auto" w:fill="CFF0FC"/>
          </w:tcPr>
          <w:p>
            <w:pPr>
              <w:jc w:val="center"/>
              <w:ind w:left="93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center"/>
              <w:ind w:left="37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at effective date:</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RSUs, Cash or a</w:t>
            </w:r>
          </w:p>
        </w:tc>
        <w:tc>
          <w:tcPr>
            <w:tcW w:w="260" w:type="dxa"/>
            <w:vAlign w:val="bottom"/>
          </w:tcPr>
          <w:p>
            <w:pPr>
              <w:spacing w:after="0"/>
              <w:rPr>
                <w:sz w:val="16"/>
                <w:szCs w:val="16"/>
                <w:color w:val="auto"/>
              </w:rPr>
            </w:pPr>
          </w:p>
        </w:tc>
        <w:tc>
          <w:tcPr>
            <w:tcW w:w="1900" w:type="dxa"/>
            <w:vAlign w:val="bottom"/>
            <w:gridSpan w:val="5"/>
          </w:tcPr>
          <w:p>
            <w:pPr>
              <w:jc w:val="center"/>
              <w:ind w:left="19"/>
              <w:spacing w:after="0"/>
              <w:rPr>
                <w:sz w:val="20"/>
                <w:szCs w:val="20"/>
                <w:color w:val="auto"/>
              </w:rPr>
            </w:pPr>
            <w:r>
              <w:rPr>
                <w:rFonts w:ascii="Times New Roman" w:cs="Times New Roman" w:eastAsia="Times New Roman" w:hAnsi="Times New Roman"/>
                <w:sz w:val="16"/>
                <w:szCs w:val="16"/>
                <w:color w:val="auto"/>
              </w:rPr>
              <w:t>at effective date:</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Award type</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rPr>
              <w:t>50% RSUs</w:t>
            </w:r>
          </w:p>
        </w:tc>
        <w:tc>
          <w:tcPr>
            <w:tcW w:w="48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combination thereof, when</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4"/>
          </w:tcPr>
          <w:p>
            <w:pPr>
              <w:jc w:val="center"/>
              <w:ind w:right="479"/>
              <w:spacing w:after="0"/>
              <w:rPr>
                <w:sz w:val="20"/>
                <w:szCs w:val="20"/>
                <w:color w:val="auto"/>
              </w:rPr>
            </w:pPr>
            <w:r>
              <w:rPr>
                <w:rFonts w:ascii="Times New Roman" w:cs="Times New Roman" w:eastAsia="Times New Roman" w:hAnsi="Times New Roman"/>
                <w:sz w:val="16"/>
                <w:szCs w:val="16"/>
                <w:color w:val="auto"/>
                <w:w w:val="98"/>
              </w:rPr>
              <w:t>50% RSUs</w:t>
            </w: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50% Cash</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w w:val="98"/>
              </w:rPr>
              <w:t>earned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4"/>
          </w:tcPr>
          <w:p>
            <w:pPr>
              <w:jc w:val="center"/>
              <w:ind w:right="439"/>
              <w:spacing w:after="0"/>
              <w:rPr>
                <w:sz w:val="20"/>
                <w:szCs w:val="20"/>
                <w:color w:val="auto"/>
              </w:rPr>
            </w:pPr>
            <w:r>
              <w:rPr>
                <w:rFonts w:ascii="Times New Roman" w:cs="Times New Roman" w:eastAsia="Times New Roman" w:hAnsi="Times New Roman"/>
                <w:sz w:val="16"/>
                <w:szCs w:val="16"/>
                <w:color w:val="auto"/>
              </w:rPr>
              <w:t>50% Cash</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192"/>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May 1, 2024</w:t>
            </w:r>
          </w:p>
        </w:tc>
        <w:tc>
          <w:tcPr>
            <w:tcW w:w="4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4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period</w:t>
            </w:r>
          </w:p>
        </w:tc>
        <w:tc>
          <w:tcPr>
            <w:tcW w:w="20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48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02"/>
        </w:trPr>
        <w:tc>
          <w:tcPr>
            <w:tcW w:w="312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2026</w:t>
            </w:r>
          </w:p>
        </w:tc>
        <w:tc>
          <w:tcPr>
            <w:tcW w:w="480" w:type="dxa"/>
            <w:vAlign w:val="bottom"/>
            <w:shd w:val="clear" w:color="auto" w:fill="CFF0FC"/>
          </w:tcPr>
          <w:p>
            <w:pPr>
              <w:spacing w:after="0"/>
              <w:rPr>
                <w:sz w:val="8"/>
                <w:szCs w:val="8"/>
                <w:color w:val="auto"/>
              </w:rPr>
            </w:pPr>
          </w:p>
        </w:tc>
        <w:tc>
          <w:tcPr>
            <w:tcW w:w="1880" w:type="dxa"/>
            <w:vAlign w:val="bottom"/>
            <w:gridSpan w:val="5"/>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260" w:type="dxa"/>
            <w:vAlign w:val="bottom"/>
            <w:shd w:val="clear" w:color="auto" w:fill="CFF0FC"/>
          </w:tcPr>
          <w:p>
            <w:pPr>
              <w:spacing w:after="0"/>
              <w:rPr>
                <w:sz w:val="8"/>
                <w:szCs w:val="8"/>
                <w:color w:val="auto"/>
              </w:rPr>
            </w:pPr>
          </w:p>
        </w:tc>
        <w:tc>
          <w:tcPr>
            <w:tcW w:w="1900" w:type="dxa"/>
            <w:vAlign w:val="bottom"/>
            <w:gridSpan w:val="5"/>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1980" w:type="dxa"/>
            <w:vAlign w:val="bottom"/>
            <w:gridSpan w:val="5"/>
            <w:vMerge w:val="restart"/>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100"/>
        </w:trPr>
        <w:tc>
          <w:tcPr>
            <w:tcW w:w="164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20" w:type="dxa"/>
            <w:vAlign w:val="bottom"/>
            <w:gridSpan w:val="5"/>
            <w:vMerge w:val="continue"/>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880" w:type="dxa"/>
            <w:vAlign w:val="bottom"/>
            <w:gridSpan w:val="5"/>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900" w:type="dxa"/>
            <w:vAlign w:val="bottom"/>
            <w:gridSpan w:val="5"/>
            <w:vMerge w:val="continue"/>
            <w:shd w:val="clear" w:color="auto" w:fill="CFF0FC"/>
          </w:tcPr>
          <w:p>
            <w:pPr>
              <w:spacing w:after="0"/>
              <w:rPr>
                <w:sz w:val="8"/>
                <w:szCs w:val="8"/>
                <w:color w:val="auto"/>
              </w:rPr>
            </w:pPr>
          </w:p>
        </w:tc>
        <w:tc>
          <w:tcPr>
            <w:tcW w:w="1980" w:type="dxa"/>
            <w:vAlign w:val="bottom"/>
            <w:gridSpan w:val="5"/>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2027</w:t>
            </w:r>
          </w:p>
        </w:tc>
        <w:tc>
          <w:tcPr>
            <w:tcW w:w="48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August 31, 2026</w:t>
            </w:r>
          </w:p>
        </w:tc>
        <w:tc>
          <w:tcPr>
            <w:tcW w:w="26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2028</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August 31, 2027</w:t>
            </w:r>
          </w:p>
        </w:tc>
        <w:tc>
          <w:tcPr>
            <w:tcW w:w="0" w:type="dxa"/>
            <w:vAlign w:val="bottom"/>
          </w:tcPr>
          <w:p>
            <w:pPr>
              <w:spacing w:after="0"/>
              <w:rPr>
                <w:sz w:val="1"/>
                <w:szCs w:val="1"/>
                <w:color w:val="auto"/>
              </w:rPr>
            </w:pPr>
          </w:p>
        </w:tc>
      </w:tr>
      <w:tr>
        <w:trPr>
          <w:trHeight w:val="364"/>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Targets (1):</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rPr>
              <w:t>Target:</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Min/Max Payout: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gridSpan w:val="4"/>
          </w:tcPr>
          <w:p>
            <w:pPr>
              <w:jc w:val="center"/>
              <w:ind w:right="439"/>
              <w:spacing w:after="0"/>
              <w:rPr>
                <w:sz w:val="20"/>
                <w:szCs w:val="20"/>
                <w:color w:val="auto"/>
              </w:rPr>
            </w:pPr>
            <w:r>
              <w:rPr>
                <w:rFonts w:ascii="Times New Roman" w:cs="Times New Roman" w:eastAsia="Times New Roman" w:hAnsi="Times New Roman"/>
                <w:sz w:val="16"/>
                <w:szCs w:val="16"/>
                <w:color w:val="auto"/>
                <w:w w:val="99"/>
              </w:rPr>
              <w:t>Target:</w:t>
            </w:r>
          </w:p>
        </w:tc>
        <w:tc>
          <w:tcPr>
            <w:tcW w:w="400" w:type="dxa"/>
            <w:vAlign w:val="bottom"/>
          </w:tcPr>
          <w:p>
            <w:pPr>
              <w:spacing w:after="0"/>
              <w:rPr>
                <w:sz w:val="24"/>
                <w:szCs w:val="24"/>
                <w:color w:val="auto"/>
              </w:rPr>
            </w:pPr>
          </w:p>
        </w:tc>
        <w:tc>
          <w:tcPr>
            <w:tcW w:w="158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3-yr. relative TSR as</w:t>
            </w:r>
          </w:p>
        </w:tc>
        <w:tc>
          <w:tcPr>
            <w:tcW w:w="480" w:type="dxa"/>
            <w:vAlign w:val="bottom"/>
            <w:shd w:val="clear" w:color="auto" w:fill="CFF0FC"/>
          </w:tcPr>
          <w:p>
            <w:pPr>
              <w:spacing w:after="0"/>
              <w:rPr>
                <w:sz w:val="16"/>
                <w:szCs w:val="16"/>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100% payout at target (2nd</w:t>
            </w:r>
          </w:p>
        </w:tc>
        <w:tc>
          <w:tcPr>
            <w:tcW w:w="260" w:type="dxa"/>
            <w:vAlign w:val="bottom"/>
            <w:shd w:val="clear" w:color="auto" w:fill="CFF0FC"/>
          </w:tcPr>
          <w:p>
            <w:pPr>
              <w:spacing w:after="0"/>
              <w:rPr>
                <w:sz w:val="16"/>
                <w:szCs w:val="16"/>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3-yr. relative TSR as</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100% payout at target (2nd</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0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2023 disclosed</w:t>
            </w: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quartile), with 50% payout</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compared to 2024 disclosed</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quartile), with 50% payout</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(2)</w:t>
            </w:r>
          </w:p>
        </w:tc>
        <w:tc>
          <w:tcPr>
            <w:tcW w:w="48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(3rd quartile) and 150%</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proxy peers (3)</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203"/>
        </w:trPr>
        <w:tc>
          <w:tcPr>
            <w:tcW w:w="16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48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(1st quartile). No</w:t>
            </w:r>
          </w:p>
        </w:tc>
        <w:tc>
          <w:tcPr>
            <w:tcW w:w="260" w:type="dxa"/>
            <w:vAlign w:val="bottom"/>
            <w:shd w:val="clear" w:color="auto" w:fill="CFF0FC"/>
          </w:tcPr>
          <w:p>
            <w:pPr>
              <w:spacing w:after="0"/>
              <w:rPr>
                <w:sz w:val="17"/>
                <w:szCs w:val="17"/>
                <w:color w:val="auto"/>
              </w:rPr>
            </w:pPr>
          </w:p>
        </w:tc>
        <w:tc>
          <w:tcPr>
            <w:tcW w:w="19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(100% weight)</w:t>
            </w: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80" w:type="dxa"/>
            <w:vAlign w:val="bottom"/>
            <w:gridSpan w:val="5"/>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98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340" w:hanging="380"/>
        <w:spacing w:after="0" w:line="261"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established just one performance metric, “Three-Year Relative Total Shareholder Return,” for both LTIPs and believed that this metric appropriately aligned management with the interests of our stockholders.</w:t>
      </w:r>
    </w:p>
    <w:p>
      <w:pPr>
        <w:spacing w:after="0" w:line="54" w:lineRule="exact"/>
        <w:rPr>
          <w:rFonts w:ascii="Times New Roman" w:cs="Times New Roman" w:eastAsia="Times New Roman" w:hAnsi="Times New Roman"/>
          <w:sz w:val="14"/>
          <w:szCs w:val="14"/>
          <w:color w:val="auto"/>
        </w:rPr>
      </w:pPr>
    </w:p>
    <w:p>
      <w:pPr>
        <w:ind w:left="1340" w:hanging="380"/>
        <w:spacing w:after="0" w:line="261"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2023 disclosed proxy peers, the three-year relative TSR will be calculated as the percentage change in the 30-day trailing volume-weighted average closing stock price at January 27, 2023 and January 30, 2026, adjusted for any dividends paid.</w:t>
      </w:r>
    </w:p>
    <w:p>
      <w:pPr>
        <w:spacing w:after="0" w:line="54" w:lineRule="exact"/>
        <w:rPr>
          <w:rFonts w:ascii="Times New Roman" w:cs="Times New Roman" w:eastAsia="Times New Roman" w:hAnsi="Times New Roman"/>
          <w:sz w:val="14"/>
          <w:szCs w:val="14"/>
          <w:color w:val="auto"/>
        </w:rPr>
      </w:pPr>
    </w:p>
    <w:p>
      <w:pPr>
        <w:ind w:left="1340" w:hanging="380"/>
        <w:spacing w:after="0" w:line="261"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2024 disclosed proxy peers, the three-year relative TSR will be calculated as the percentage change in the 30-day trailing volume-weighted average closing stock price at January 31, 2024 and January 29, 2027, adjusted for any dividends paid.</w:t>
      </w:r>
    </w:p>
    <w:p>
      <w:pPr>
        <w:spacing w:after="0" w:line="59"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single performance metric of a Three-Year Relative Total Shareholder Return reflected the Company’s primary objective of earnings growth and driving stockholder return.</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LTIP acts as a retention tool: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3"/>
                <w:szCs w:val="13"/>
                <w:color w:val="auto"/>
              </w:rPr>
            </w:pPr>
          </w:p>
        </w:tc>
        <w:tc>
          <w:tcPr>
            <w:tcW w:w="470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w:t>
            </w:r>
          </w:p>
        </w:tc>
        <w:tc>
          <w:tcPr>
            <w:tcW w:w="8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3"/>
                <w:szCs w:val="13"/>
                <w:color w:val="auto"/>
              </w:rPr>
            </w:pPr>
          </w:p>
        </w:tc>
        <w:tc>
          <w:tcPr>
            <w:tcW w:w="2540" w:type="dxa"/>
            <w:vAlign w:val="bottom"/>
            <w:gridSpan w:val="7"/>
          </w:tcPr>
          <w:p>
            <w:pPr>
              <w:ind w:left="24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4"/>
                <w:szCs w:val="14"/>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1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May 1, 2023</w:t>
            </w:r>
          </w:p>
        </w:tc>
        <w:tc>
          <w:tcPr>
            <w:tcW w:w="120" w:type="dxa"/>
            <w:vAlign w:val="bottom"/>
          </w:tcPr>
          <w:p>
            <w:pPr>
              <w:spacing w:after="0"/>
              <w:rPr>
                <w:sz w:val="10"/>
                <w:szCs w:val="10"/>
                <w:color w:val="auto"/>
              </w:rPr>
            </w:pPr>
          </w:p>
        </w:tc>
        <w:tc>
          <w:tcPr>
            <w:tcW w:w="470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2023-2025 LTIP</w:t>
            </w: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0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April 1, 2024</w:t>
            </w:r>
          </w:p>
        </w:tc>
        <w:tc>
          <w:tcPr>
            <w:tcW w:w="120" w:type="dxa"/>
            <w:vAlign w:val="bottom"/>
          </w:tcPr>
          <w:p>
            <w:pPr>
              <w:spacing w:after="0"/>
              <w:rPr>
                <w:sz w:val="23"/>
                <w:szCs w:val="23"/>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2024-2026 LTIP</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Pr>
          <w:p>
            <w:pPr>
              <w:ind w:left="4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6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7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Performance-Based Awards- vest August 31, if achieved</w:t>
            </w:r>
          </w:p>
        </w:tc>
        <w:tc>
          <w:tcPr>
            <w:tcW w:w="800" w:type="dxa"/>
            <w:vAlign w:val="bottom"/>
            <w:gridSpan w:val="2"/>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65" w:lineRule="exact"/>
        <w:rPr>
          <w:sz w:val="20"/>
          <w:szCs w:val="20"/>
          <w:color w:val="auto"/>
        </w:rPr>
      </w:pPr>
    </w:p>
    <w:p>
      <w:pPr>
        <w:ind w:left="1040" w:hanging="373"/>
        <w:spacing w:after="0"/>
        <w:tabs>
          <w:tab w:leader="none" w:pos="1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vests on April 1 following the end of the first year of the performance period or one year from the date of grant, whichever is later.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2025-2027 LTIP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4" w:name="page25"/>
    <w:bookmarkEnd w:id="24"/>
    <w:p>
      <w:pPr>
        <w:ind w:left="323"/>
        <w:spacing w:after="0" w:line="258" w:lineRule="auto"/>
        <w:rPr>
          <w:sz w:val="20"/>
          <w:szCs w:val="20"/>
          <w:color w:val="auto"/>
        </w:rPr>
      </w:pPr>
      <w:r>
        <w:rPr>
          <w:rFonts w:ascii="Times New Roman" w:cs="Times New Roman" w:eastAsia="Times New Roman" w:hAnsi="Times New Roman"/>
          <w:sz w:val="18"/>
          <w:szCs w:val="18"/>
          <w:color w:val="auto"/>
        </w:rPr>
        <w:t>Effective April 1, 2025, the Compensation Committee established and approved the metric for the 2025-2027 LTIP. Consistent with previous years, the Compensation Committee established a three-year relative TSR as the only metric under the 2025-2027 LTIP. The Compensation Committee believes that the selection of a relative TSR against the Company’s 2025 peers (see “</w:t>
      </w:r>
      <w:r>
        <w:rPr>
          <w:rFonts w:ascii="Times New Roman" w:cs="Times New Roman" w:eastAsia="Times New Roman" w:hAnsi="Times New Roman"/>
          <w:sz w:val="18"/>
          <w:szCs w:val="18"/>
          <w:i w:val="1"/>
          <w:iCs w:val="1"/>
          <w:color w:val="auto"/>
        </w:rPr>
        <w:t>Our Peer Group</w:t>
      </w:r>
      <w:r>
        <w:rPr>
          <w:rFonts w:ascii="Times New Roman" w:cs="Times New Roman" w:eastAsia="Times New Roman" w:hAnsi="Times New Roman"/>
          <w:sz w:val="18"/>
          <w:szCs w:val="18"/>
          <w:color w:val="auto"/>
        </w:rPr>
        <w:t>”) aligns the interests of the LTIP participants with the interests of the Company’s stockholders. The Compensation Committee granted the time-based awards for the 2025-2027 LTIP in a combination of 50% RSUs and 50% cash.</w:t>
      </w:r>
    </w:p>
    <w:p>
      <w:pPr>
        <w:spacing w:after="0" w:line="73" w:lineRule="exact"/>
        <w:rPr>
          <w:sz w:val="20"/>
          <w:szCs w:val="20"/>
          <w:color w:val="auto"/>
        </w:rPr>
      </w:pPr>
    </w:p>
    <w:p>
      <w:pPr>
        <w:ind w:left="263" w:hanging="263"/>
        <w:spacing w:after="0"/>
        <w:tabs>
          <w:tab w:leader="none" w:pos="2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19" w:lineRule="exact"/>
        <w:rPr>
          <w:sz w:val="20"/>
          <w:szCs w:val="20"/>
          <w:color w:val="auto"/>
        </w:rPr>
      </w:pPr>
    </w:p>
    <w:p>
      <w:pPr>
        <w:ind w:left="323"/>
        <w:spacing w:after="0"/>
        <w:rPr>
          <w:sz w:val="20"/>
          <w:szCs w:val="20"/>
          <w:color w:val="auto"/>
        </w:rPr>
      </w:pPr>
      <w:r>
        <w:rPr>
          <w:rFonts w:ascii="Times New Roman" w:cs="Times New Roman" w:eastAsia="Times New Roman" w:hAnsi="Times New Roman"/>
          <w:sz w:val="18"/>
          <w:szCs w:val="18"/>
          <w:color w:val="auto"/>
        </w:rPr>
        <w:t>No discretionary cash or equity awards were granted to our Named Executive Officers in fiscal 2024.</w:t>
      </w:r>
    </w:p>
    <w:p>
      <w:pPr>
        <w:spacing w:after="0" w:line="115" w:lineRule="exact"/>
        <w:rPr>
          <w:sz w:val="20"/>
          <w:szCs w:val="20"/>
          <w:color w:val="auto"/>
        </w:rPr>
      </w:pPr>
    </w:p>
    <w:p>
      <w:pPr>
        <w:ind w:left="263" w:hanging="263"/>
        <w:spacing w:after="0"/>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rFonts w:ascii="Times New Roman" w:cs="Times New Roman" w:eastAsia="Times New Roman" w:hAnsi="Times New Roman"/>
          <w:sz w:val="18"/>
          <w:szCs w:val="18"/>
          <w:color w:val="auto"/>
        </w:rPr>
      </w:pPr>
    </w:p>
    <w:p>
      <w:pPr>
        <w:ind w:left="263"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pay for our other employees.</w:t>
      </w:r>
    </w:p>
    <w:p>
      <w:pPr>
        <w:spacing w:after="0" w:line="53" w:lineRule="exact"/>
        <w:rPr>
          <w:rFonts w:ascii="Times New Roman" w:cs="Times New Roman" w:eastAsia="Times New Roman" w:hAnsi="Times New Roman"/>
          <w:sz w:val="18"/>
          <w:szCs w:val="18"/>
          <w:color w:val="auto"/>
        </w:rPr>
      </w:pPr>
    </w:p>
    <w:p>
      <w:pPr>
        <w:ind w:left="263"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spacing w:after="0" w:line="53" w:lineRule="exact"/>
        <w:rPr>
          <w:rFonts w:ascii="Times New Roman" w:cs="Times New Roman" w:eastAsia="Times New Roman" w:hAnsi="Times New Roman"/>
          <w:sz w:val="18"/>
          <w:szCs w:val="18"/>
          <w:color w:val="auto"/>
        </w:rPr>
      </w:pPr>
    </w:p>
    <w:p>
      <w:pPr>
        <w:ind w:left="263"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a 401(k) savings plan and, after one year of employment with us, are eligible for a Company match. Under the 401(k) savings plan, the Company offers a qualified automatic contribution arrangement (“QACA”), with the Company matching 100% of the first 1% of deferred compensation and 50% of the next 5% (with a maximum contribution of 3.5% of eligible compensation).</w:t>
      </w:r>
    </w:p>
    <w:p>
      <w:pPr>
        <w:spacing w:after="0" w:line="71" w:lineRule="exact"/>
        <w:rPr>
          <w:rFonts w:ascii="Times New Roman" w:cs="Times New Roman" w:eastAsia="Times New Roman" w:hAnsi="Times New Roman"/>
          <w:sz w:val="18"/>
          <w:szCs w:val="18"/>
          <w:color w:val="auto"/>
        </w:rPr>
      </w:pPr>
    </w:p>
    <w:p>
      <w:pPr>
        <w:ind w:left="263"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“Employment Agreements” section following the “Summary Compensation Table” section. Our employment agreements do not contain any tax gross-ups pursuant to Section 280(g) of the Internal Revenue Code.</w:t>
      </w:r>
    </w:p>
    <w:p>
      <w:pPr>
        <w:spacing w:after="0" w:line="29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39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Willem Mesdag, Chair</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Jack Boyle</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right="1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Summary Compensation Table. </w:t>
      </w:r>
      <w:r>
        <w:rPr>
          <w:rFonts w:ascii="Times New Roman" w:cs="Times New Roman" w:eastAsia="Times New Roman" w:hAnsi="Times New Roman"/>
          <w:sz w:val="18"/>
          <w:szCs w:val="18"/>
          <w:color w:val="auto"/>
        </w:rPr>
        <w:t>The following Summary Compensation Table sets forth certain information regarding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or accrued by us with respect to our Named Executive Officers for fiscal 2024.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220" w:type="dxa"/>
            <w:vAlign w:val="bottom"/>
          </w:tcPr>
          <w:p>
            <w:pPr>
              <w:spacing w:after="0"/>
              <w:rPr>
                <w:sz w:val="12"/>
                <w:szCs w:val="12"/>
                <w:color w:val="auto"/>
              </w:rPr>
            </w:pPr>
          </w:p>
        </w:tc>
        <w:tc>
          <w:tcPr>
            <w:tcW w:w="960" w:type="dxa"/>
            <w:vAlign w:val="bottom"/>
            <w:gridSpan w:val="2"/>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3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20" w:type="dxa"/>
            <w:vAlign w:val="bottom"/>
          </w:tcPr>
          <w:p>
            <w:pPr>
              <w:spacing w:after="0"/>
              <w:rPr>
                <w:sz w:val="12"/>
                <w:szCs w:val="12"/>
                <w:color w:val="auto"/>
              </w:rPr>
            </w:pP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2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($)(1)(2)</w:t>
            </w:r>
          </w:p>
        </w:tc>
        <w:tc>
          <w:tcPr>
            <w:tcW w:w="3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20" w:type="dxa"/>
            <w:vAlign w:val="bottom"/>
          </w:tcPr>
          <w:p>
            <w:pPr>
              <w:spacing w:after="0"/>
              <w:rPr>
                <w:sz w:val="14"/>
                <w:szCs w:val="14"/>
                <w:color w:val="auto"/>
              </w:rPr>
            </w:pPr>
          </w:p>
        </w:tc>
      </w:tr>
      <w:tr>
        <w:trPr>
          <w:trHeight w:val="119"/>
        </w:trPr>
        <w:tc>
          <w:tcPr>
            <w:tcW w:w="25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Harvey S. Kanter</w:t>
            </w:r>
          </w:p>
        </w:tc>
        <w:tc>
          <w:tcPr>
            <w:tcW w:w="480" w:type="dxa"/>
            <w:vAlign w:val="bottom"/>
            <w:gridSpan w:val="2"/>
            <w:shd w:val="clear" w:color="auto" w:fill="CFF0FC"/>
          </w:tcPr>
          <w:p>
            <w:pPr>
              <w:ind w:left="140"/>
              <w:spacing w:after="0" w:line="119" w:lineRule="exact"/>
              <w:rPr>
                <w:sz w:val="20"/>
                <w:szCs w:val="20"/>
                <w:color w:val="auto"/>
              </w:rPr>
            </w:pPr>
            <w:r>
              <w:rPr>
                <w:rFonts w:ascii="Times New Roman" w:cs="Times New Roman" w:eastAsia="Times New Roman" w:hAnsi="Times New Roman"/>
                <w:sz w:val="13"/>
                <w:szCs w:val="13"/>
                <w:color w:val="auto"/>
              </w:rPr>
              <w:t>2024</w:t>
            </w:r>
          </w:p>
        </w:tc>
        <w:tc>
          <w:tcPr>
            <w:tcW w:w="200" w:type="dxa"/>
            <w:vAlign w:val="bottom"/>
            <w:gridSpan w:val="2"/>
            <w:shd w:val="clear" w:color="auto" w:fill="CFF0FC"/>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850,000</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722,498</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1,162,110</w:t>
            </w:r>
          </w:p>
        </w:tc>
        <w:tc>
          <w:tcPr>
            <w:tcW w:w="640" w:type="dxa"/>
            <w:vAlign w:val="bottom"/>
            <w:gridSpan w:val="2"/>
            <w:shd w:val="clear" w:color="auto" w:fill="CFF0FC"/>
          </w:tcPr>
          <w:p>
            <w:pPr>
              <w:jc w:val="right"/>
              <w:ind w:right="273"/>
              <w:spacing w:after="0" w:line="11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159,960</w:t>
            </w:r>
          </w:p>
        </w:tc>
        <w:tc>
          <w:tcPr>
            <w:tcW w:w="36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2,894,568</w:t>
            </w:r>
          </w:p>
        </w:tc>
        <w:tc>
          <w:tcPr>
            <w:tcW w:w="120" w:type="dxa"/>
            <w:vAlign w:val="bottom"/>
            <w:shd w:val="clear" w:color="auto" w:fill="CFF0FC"/>
          </w:tcPr>
          <w:p>
            <w:pPr>
              <w:spacing w:after="0"/>
              <w:rPr>
                <w:sz w:val="10"/>
                <w:szCs w:val="10"/>
                <w:color w:val="auto"/>
              </w:rPr>
            </w:pPr>
          </w:p>
        </w:tc>
      </w:tr>
      <w:tr>
        <w:trPr>
          <w:trHeight w:val="148"/>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866,346</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2,765,938</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2,167,112</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159,627</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5,959,023</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830,539</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829,813</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2,402,969</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158,560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4,221,881</w:t>
            </w:r>
          </w:p>
        </w:tc>
        <w:tc>
          <w:tcPr>
            <w:tcW w:w="120" w:type="dxa"/>
            <w:vAlign w:val="bottom"/>
            <w:shd w:val="clear" w:color="auto" w:fill="CFF0FC"/>
          </w:tcPr>
          <w:p>
            <w:pPr>
              <w:spacing w:after="0"/>
              <w:rPr>
                <w:sz w:val="14"/>
                <w:szCs w:val="14"/>
                <w:color w:val="auto"/>
              </w:rPr>
            </w:pPr>
          </w:p>
        </w:tc>
      </w:tr>
      <w:tr>
        <w:trPr>
          <w:trHeight w:val="148"/>
        </w:trPr>
        <w:tc>
          <w:tcPr>
            <w:tcW w:w="2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Peter H. Stratton, Jr.</w:t>
            </w:r>
          </w:p>
        </w:tc>
        <w:tc>
          <w:tcPr>
            <w:tcW w:w="100" w:type="dxa"/>
            <w:vAlign w:val="bottom"/>
          </w:tcPr>
          <w:p>
            <w:pPr>
              <w:spacing w:after="0"/>
              <w:rPr>
                <w:sz w:val="10"/>
                <w:szCs w:val="10"/>
                <w:color w:val="auto"/>
              </w:rPr>
            </w:pPr>
          </w:p>
        </w:tc>
        <w:tc>
          <w:tcPr>
            <w:tcW w:w="3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415,923</w:t>
            </w:r>
          </w:p>
        </w:tc>
        <w:tc>
          <w:tcPr>
            <w:tcW w:w="220" w:type="dxa"/>
            <w:vAlign w:val="bottom"/>
          </w:tcPr>
          <w:p>
            <w:pPr>
              <w:spacing w:after="0"/>
              <w:rPr>
                <w:sz w:val="10"/>
                <w:szCs w:val="10"/>
                <w:color w:val="auto"/>
              </w:rPr>
            </w:pP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183,147</w:t>
            </w:r>
          </w:p>
        </w:tc>
        <w:tc>
          <w:tcPr>
            <w:tcW w:w="320" w:type="dxa"/>
            <w:vAlign w:val="bottom"/>
          </w:tcPr>
          <w:p>
            <w:pPr>
              <w:spacing w:after="0"/>
              <w:rPr>
                <w:sz w:val="10"/>
                <w:szCs w:val="10"/>
                <w:color w:val="auto"/>
              </w:rPr>
            </w:pPr>
          </w:p>
        </w:tc>
        <w:tc>
          <w:tcPr>
            <w:tcW w:w="96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305,343</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27,498</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931,911</w:t>
            </w:r>
          </w:p>
        </w:tc>
        <w:tc>
          <w:tcPr>
            <w:tcW w:w="120" w:type="dxa"/>
            <w:vAlign w:val="bottom"/>
          </w:tcPr>
          <w:p>
            <w:pPr>
              <w:spacing w:after="0"/>
              <w:rPr>
                <w:sz w:val="10"/>
                <w:szCs w:val="10"/>
                <w:color w:val="auto"/>
              </w:rPr>
            </w:pPr>
          </w:p>
        </w:tc>
      </w:tr>
      <w:tr>
        <w:trPr>
          <w:trHeight w:val="149"/>
        </w:trPr>
        <w:tc>
          <w:tcPr>
            <w:tcW w:w="2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 Vice President, Chief</w:t>
            </w:r>
          </w:p>
        </w:tc>
        <w:tc>
          <w:tcPr>
            <w:tcW w:w="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414,827</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91,571</w:t>
            </w:r>
          </w:p>
        </w:tc>
        <w:tc>
          <w:tcPr>
            <w:tcW w:w="320" w:type="dxa"/>
            <w:vAlign w:val="bottom"/>
          </w:tcPr>
          <w:p>
            <w:pPr>
              <w:spacing w:after="0"/>
              <w:rPr>
                <w:sz w:val="12"/>
                <w:szCs w:val="12"/>
                <w:color w:val="auto"/>
              </w:rPr>
            </w:pPr>
          </w:p>
        </w:tc>
        <w:tc>
          <w:tcPr>
            <w:tcW w:w="96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514,760</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27,122</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1,048,280</w:t>
            </w:r>
          </w:p>
        </w:tc>
        <w:tc>
          <w:tcPr>
            <w:tcW w:w="120" w:type="dxa"/>
            <w:vAlign w:val="bottom"/>
          </w:tcPr>
          <w:p>
            <w:pPr>
              <w:spacing w:after="0"/>
              <w:rPr>
                <w:sz w:val="12"/>
                <w:szCs w:val="12"/>
                <w:color w:val="auto"/>
              </w:rPr>
            </w:pPr>
          </w:p>
        </w:tc>
      </w:tr>
      <w:tr>
        <w:trPr>
          <w:trHeight w:val="188"/>
        </w:trPr>
        <w:tc>
          <w:tcPr>
            <w:tcW w:w="2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405,846</w:t>
            </w:r>
          </w:p>
        </w:tc>
        <w:tc>
          <w:tcPr>
            <w:tcW w:w="220" w:type="dxa"/>
            <w:vAlign w:val="bottom"/>
          </w:tcPr>
          <w:p>
            <w:pPr>
              <w:spacing w:after="0"/>
              <w:rPr>
                <w:sz w:val="16"/>
                <w:szCs w:val="16"/>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195,263</w:t>
            </w:r>
          </w:p>
        </w:tc>
        <w:tc>
          <w:tcPr>
            <w:tcW w:w="320" w:type="dxa"/>
            <w:vAlign w:val="bottom"/>
          </w:tcPr>
          <w:p>
            <w:pPr>
              <w:spacing w:after="0"/>
              <w:rPr>
                <w:sz w:val="16"/>
                <w:szCs w:val="16"/>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526,585</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1,153,866</w:t>
            </w:r>
          </w:p>
        </w:tc>
        <w:tc>
          <w:tcPr>
            <w:tcW w:w="120" w:type="dxa"/>
            <w:vAlign w:val="bottom"/>
          </w:tcPr>
          <w:p>
            <w:pPr>
              <w:spacing w:after="0"/>
              <w:rPr>
                <w:sz w:val="16"/>
                <w:szCs w:val="16"/>
                <w:color w:val="auto"/>
              </w:rPr>
            </w:pPr>
          </w:p>
        </w:tc>
      </w:tr>
      <w:tr>
        <w:trPr>
          <w:trHeight w:val="131"/>
        </w:trPr>
        <w:tc>
          <w:tcPr>
            <w:tcW w:w="256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2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Anthony J. Gaeta</w:t>
            </w:r>
          </w:p>
        </w:tc>
        <w:tc>
          <w:tcPr>
            <w:tcW w:w="48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408,769</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126,874</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219,772</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24,048</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779,463</w:t>
            </w:r>
          </w:p>
        </w:tc>
        <w:tc>
          <w:tcPr>
            <w:tcW w:w="120" w:type="dxa"/>
            <w:vAlign w:val="bottom"/>
            <w:shd w:val="clear" w:color="auto" w:fill="CFF0FC"/>
          </w:tcPr>
          <w:p>
            <w:pPr>
              <w:spacing w:after="0"/>
              <w:rPr>
                <w:sz w:val="10"/>
                <w:szCs w:val="10"/>
                <w:color w:val="auto"/>
              </w:rPr>
            </w:pPr>
          </w:p>
        </w:tc>
      </w:tr>
      <w:tr>
        <w:trPr>
          <w:trHeight w:val="148"/>
        </w:trPr>
        <w:tc>
          <w:tcPr>
            <w:tcW w:w="25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Chief Stores and Real Estate</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391,827</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56,872</w:t>
            </w: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400,383</w:t>
            </w:r>
          </w:p>
        </w:tc>
        <w:tc>
          <w:tcPr>
            <w:tcW w:w="640" w:type="dxa"/>
            <w:vAlign w:val="bottom"/>
            <w:gridSpan w:val="2"/>
            <w:shd w:val="clear" w:color="auto" w:fill="CFF0FC"/>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23,678</w:t>
            </w:r>
          </w:p>
        </w:tc>
        <w:tc>
          <w:tcPr>
            <w:tcW w:w="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872,760</w:t>
            </w:r>
          </w:p>
        </w:tc>
        <w:tc>
          <w:tcPr>
            <w:tcW w:w="120" w:type="dxa"/>
            <w:vAlign w:val="bottom"/>
            <w:shd w:val="clear" w:color="auto" w:fill="CFF0FC"/>
          </w:tcPr>
          <w:p>
            <w:pPr>
              <w:spacing w:after="0"/>
              <w:rPr>
                <w:sz w:val="12"/>
                <w:szCs w:val="12"/>
                <w:color w:val="auto"/>
              </w:rPr>
            </w:pPr>
          </w:p>
        </w:tc>
      </w:tr>
      <w:tr>
        <w:trPr>
          <w:trHeight w:val="171"/>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322,115</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134,310</w:t>
            </w: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352,030</w:t>
            </w:r>
          </w:p>
        </w:tc>
        <w:tc>
          <w:tcPr>
            <w:tcW w:w="640" w:type="dxa"/>
            <w:vAlign w:val="bottom"/>
            <w:gridSpan w:val="2"/>
            <w:shd w:val="clear" w:color="auto" w:fill="CFF0FC"/>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22,565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831,020</w:t>
            </w:r>
          </w:p>
        </w:tc>
        <w:tc>
          <w:tcPr>
            <w:tcW w:w="120" w:type="dxa"/>
            <w:vAlign w:val="bottom"/>
            <w:shd w:val="clear" w:color="auto" w:fill="CFF0FC"/>
          </w:tcPr>
          <w:p>
            <w:pPr>
              <w:spacing w:after="0"/>
              <w:rPr>
                <w:sz w:val="14"/>
                <w:szCs w:val="14"/>
                <w:color w:val="auto"/>
              </w:rPr>
            </w:pPr>
          </w:p>
        </w:tc>
      </w:tr>
      <w:tr>
        <w:trPr>
          <w:trHeight w:val="148"/>
        </w:trPr>
        <w:tc>
          <w:tcPr>
            <w:tcW w:w="2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26"/>
        </w:trPr>
        <w:tc>
          <w:tcPr>
            <w:tcW w:w="2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Robert S. Molloy</w:t>
            </w:r>
          </w:p>
        </w:tc>
        <w:tc>
          <w:tcPr>
            <w:tcW w:w="100" w:type="dxa"/>
            <w:vAlign w:val="bottom"/>
          </w:tcPr>
          <w:p>
            <w:pPr>
              <w:spacing w:after="0"/>
              <w:rPr>
                <w:sz w:val="10"/>
                <w:szCs w:val="10"/>
                <w:color w:val="auto"/>
              </w:rPr>
            </w:pPr>
          </w:p>
        </w:tc>
        <w:tc>
          <w:tcPr>
            <w:tcW w:w="38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394,462</w:t>
            </w:r>
          </w:p>
        </w:tc>
        <w:tc>
          <w:tcPr>
            <w:tcW w:w="220" w:type="dxa"/>
            <w:vAlign w:val="bottom"/>
          </w:tcPr>
          <w:p>
            <w:pPr>
              <w:spacing w:after="0"/>
              <w:rPr>
                <w:sz w:val="10"/>
                <w:szCs w:val="10"/>
                <w:color w:val="auto"/>
              </w:rPr>
            </w:pPr>
          </w:p>
        </w:tc>
        <w:tc>
          <w:tcPr>
            <w:tcW w:w="84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135,099</w:t>
            </w:r>
          </w:p>
        </w:tc>
        <w:tc>
          <w:tcPr>
            <w:tcW w:w="320" w:type="dxa"/>
            <w:vAlign w:val="bottom"/>
          </w:tcPr>
          <w:p>
            <w:pPr>
              <w:spacing w:after="0"/>
              <w:rPr>
                <w:sz w:val="10"/>
                <w:szCs w:val="10"/>
                <w:color w:val="auto"/>
              </w:rPr>
            </w:pPr>
          </w:p>
        </w:tc>
        <w:tc>
          <w:tcPr>
            <w:tcW w:w="960" w:type="dxa"/>
            <w:vAlign w:val="bottom"/>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240,958</w:t>
            </w:r>
          </w:p>
        </w:tc>
        <w:tc>
          <w:tcPr>
            <w:tcW w:w="640" w:type="dxa"/>
            <w:vAlign w:val="bottom"/>
            <w:gridSpan w:val="2"/>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28,546</w:t>
            </w:r>
          </w:p>
        </w:tc>
        <w:tc>
          <w:tcPr>
            <w:tcW w:w="3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799,065</w:t>
            </w:r>
          </w:p>
        </w:tc>
        <w:tc>
          <w:tcPr>
            <w:tcW w:w="120" w:type="dxa"/>
            <w:vAlign w:val="bottom"/>
          </w:tcPr>
          <w:p>
            <w:pPr>
              <w:spacing w:after="0"/>
              <w:rPr>
                <w:sz w:val="10"/>
                <w:szCs w:val="10"/>
                <w:color w:val="auto"/>
              </w:rPr>
            </w:pPr>
          </w:p>
        </w:tc>
      </w:tr>
      <w:tr>
        <w:trPr>
          <w:trHeight w:val="148"/>
        </w:trPr>
        <w:tc>
          <w:tcPr>
            <w:tcW w:w="25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Counsel and Secretary</w:t>
            </w:r>
          </w:p>
        </w:tc>
        <w:tc>
          <w:tcPr>
            <w:tcW w:w="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393,423</w:t>
            </w:r>
          </w:p>
        </w:tc>
        <w:tc>
          <w:tcPr>
            <w:tcW w:w="220" w:type="dxa"/>
            <w:vAlign w:val="bottom"/>
          </w:tcPr>
          <w:p>
            <w:pPr>
              <w:spacing w:after="0"/>
              <w:rPr>
                <w:sz w:val="12"/>
                <w:szCs w:val="12"/>
                <w:color w:val="auto"/>
              </w:rPr>
            </w:pPr>
          </w:p>
        </w:tc>
        <w:tc>
          <w:tcPr>
            <w:tcW w:w="840" w:type="dxa"/>
            <w:vAlign w:val="bottom"/>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67,549</w:t>
            </w:r>
          </w:p>
        </w:tc>
        <w:tc>
          <w:tcPr>
            <w:tcW w:w="320" w:type="dxa"/>
            <w:vAlign w:val="bottom"/>
          </w:tcPr>
          <w:p>
            <w:pPr>
              <w:spacing w:after="0"/>
              <w:rPr>
                <w:sz w:val="12"/>
                <w:szCs w:val="12"/>
                <w:color w:val="auto"/>
              </w:rPr>
            </w:pPr>
          </w:p>
        </w:tc>
        <w:tc>
          <w:tcPr>
            <w:tcW w:w="96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458,060</w:t>
            </w:r>
          </w:p>
        </w:tc>
        <w:tc>
          <w:tcPr>
            <w:tcW w:w="640" w:type="dxa"/>
            <w:vAlign w:val="bottom"/>
            <w:gridSpan w:val="2"/>
          </w:tcPr>
          <w:p>
            <w:pPr>
              <w:jc w:val="right"/>
              <w:ind w:right="2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29,302</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948,334</w:t>
            </w:r>
          </w:p>
        </w:tc>
        <w:tc>
          <w:tcPr>
            <w:tcW w:w="120" w:type="dxa"/>
            <w:vAlign w:val="bottom"/>
          </w:tcPr>
          <w:p>
            <w:pPr>
              <w:spacing w:after="0"/>
              <w:rPr>
                <w:sz w:val="12"/>
                <w:szCs w:val="12"/>
                <w:color w:val="auto"/>
              </w:rPr>
            </w:pPr>
          </w:p>
        </w:tc>
      </w:tr>
      <w:tr>
        <w:trPr>
          <w:trHeight w:val="188"/>
        </w:trPr>
        <w:tc>
          <w:tcPr>
            <w:tcW w:w="2560" w:type="dxa"/>
            <w:vAlign w:val="bottom"/>
          </w:tcPr>
          <w:p>
            <w:pPr>
              <w:spacing w:after="0"/>
              <w:rPr>
                <w:sz w:val="16"/>
                <w:szCs w:val="16"/>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384,942</w:t>
            </w:r>
          </w:p>
        </w:tc>
        <w:tc>
          <w:tcPr>
            <w:tcW w:w="220" w:type="dxa"/>
            <w:vAlign w:val="bottom"/>
          </w:tcPr>
          <w:p>
            <w:pPr>
              <w:spacing w:after="0"/>
              <w:rPr>
                <w:sz w:val="16"/>
                <w:szCs w:val="16"/>
                <w:color w:val="auto"/>
              </w:rPr>
            </w:pPr>
          </w:p>
        </w:tc>
        <w:tc>
          <w:tcPr>
            <w:tcW w:w="84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165,988</w:t>
            </w:r>
          </w:p>
        </w:tc>
        <w:tc>
          <w:tcPr>
            <w:tcW w:w="320" w:type="dxa"/>
            <w:vAlign w:val="bottom"/>
          </w:tcPr>
          <w:p>
            <w:pPr>
              <w:spacing w:after="0"/>
              <w:rPr>
                <w:sz w:val="16"/>
                <w:szCs w:val="16"/>
                <w:color w:val="auto"/>
              </w:rPr>
            </w:pPr>
          </w:p>
        </w:tc>
        <w:tc>
          <w:tcPr>
            <w:tcW w:w="9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434,942</w:t>
            </w:r>
          </w:p>
        </w:tc>
        <w:tc>
          <w:tcPr>
            <w:tcW w:w="640" w:type="dxa"/>
            <w:vAlign w:val="bottom"/>
            <w:gridSpan w:val="2"/>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1,014,167</w:t>
            </w:r>
          </w:p>
        </w:tc>
        <w:tc>
          <w:tcPr>
            <w:tcW w:w="120" w:type="dxa"/>
            <w:vAlign w:val="bottom"/>
          </w:tcPr>
          <w:p>
            <w:pPr>
              <w:spacing w:after="0"/>
              <w:rPr>
                <w:sz w:val="16"/>
                <w:szCs w:val="16"/>
                <w:color w:val="auto"/>
              </w:rPr>
            </w:pPr>
          </w:p>
        </w:tc>
      </w:tr>
      <w:tr>
        <w:trPr>
          <w:trHeight w:val="132"/>
        </w:trPr>
        <w:tc>
          <w:tcPr>
            <w:tcW w:w="256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2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James F. Reath</w:t>
            </w:r>
          </w:p>
        </w:tc>
        <w:tc>
          <w:tcPr>
            <w:tcW w:w="480" w:type="dxa"/>
            <w:vAlign w:val="bottom"/>
            <w:gridSpan w:val="2"/>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408,769</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ind w:left="70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124,762</w:t>
            </w:r>
          </w:p>
        </w:tc>
        <w:tc>
          <w:tcPr>
            <w:tcW w:w="320" w:type="dxa"/>
            <w:vAlign w:val="bottom"/>
            <w:shd w:val="clear" w:color="auto" w:fill="CFF0FC"/>
          </w:tcPr>
          <w:p>
            <w:pPr>
              <w:spacing w:after="0"/>
              <w:rPr>
                <w:sz w:val="10"/>
                <w:szCs w:val="10"/>
                <w:color w:val="auto"/>
              </w:rPr>
            </w:pPr>
          </w:p>
        </w:tc>
        <w:tc>
          <w:tcPr>
            <w:tcW w:w="960" w:type="dxa"/>
            <w:vAlign w:val="bottom"/>
            <w:shd w:val="clear" w:color="auto" w:fill="CFF0FC"/>
          </w:tcPr>
          <w:p>
            <w:pPr>
              <w:ind w:left="82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207,949</w:t>
            </w:r>
          </w:p>
        </w:tc>
        <w:tc>
          <w:tcPr>
            <w:tcW w:w="640" w:type="dxa"/>
            <w:vAlign w:val="bottom"/>
            <w:gridSpan w:val="2"/>
            <w:shd w:val="clear" w:color="auto" w:fill="CFF0FC"/>
          </w:tcPr>
          <w:p>
            <w:pPr>
              <w:jc w:val="right"/>
              <w:ind w:right="273"/>
              <w:spacing w:after="0" w:line="12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39,171</w:t>
            </w:r>
          </w:p>
        </w:tc>
        <w:tc>
          <w:tcPr>
            <w:tcW w:w="3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780,651</w:t>
            </w:r>
          </w:p>
        </w:tc>
        <w:tc>
          <w:tcPr>
            <w:tcW w:w="120" w:type="dxa"/>
            <w:vAlign w:val="bottom"/>
            <w:shd w:val="clear" w:color="auto" w:fill="CFF0FC"/>
          </w:tcPr>
          <w:p>
            <w:pPr>
              <w:spacing w:after="0"/>
              <w:rPr>
                <w:sz w:val="10"/>
                <w:szCs w:val="10"/>
                <w:color w:val="auto"/>
              </w:rPr>
            </w:pPr>
          </w:p>
        </w:tc>
      </w:tr>
      <w:tr>
        <w:trPr>
          <w:trHeight w:val="171"/>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Chief Marketing Officer</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bl>
    <w:p>
      <w:pPr>
        <w:spacing w:after="0" w:line="310" w:lineRule="exact"/>
        <w:rPr>
          <w:sz w:val="20"/>
          <w:szCs w:val="20"/>
          <w:color w:val="auto"/>
        </w:rPr>
      </w:pPr>
    </w:p>
    <w:p>
      <w:pPr>
        <w:ind w:left="760" w:right="20" w:hanging="378"/>
        <w:spacing w:after="0" w:line="272"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the grant date, of awards computed in accordance with the Financial Accounting Standards Board ASC Topic 718, and not the actual amounts paid to or realized by the Named Executive Officers during the applicable fiscal year. The fair value of stock option awards was estimated as of the date of grant using a Black-Scholes valuation model. The fair value of performance stock units, with a market condition, was valued as of the date of grant using a Monte Carlo valuation model. Additional information regarding the assumptions used to estimate the fair value of all awards is included in Note A and Note I to the Consolidated Financial Statements contained in our Annual Report on Form 10-K for the fiscal year ended February 1, 2025.</w:t>
      </w:r>
    </w:p>
    <w:p>
      <w:pPr>
        <w:spacing w:after="0" w:line="7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table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below for a breakdown of 2024 amounts reflected in this column.</w:t>
      </w:r>
    </w:p>
    <w:p>
      <w:pPr>
        <w:spacing w:after="0" w:line="128" w:lineRule="exact"/>
        <w:rPr>
          <w:rFonts w:ascii="Times New Roman" w:cs="Times New Roman" w:eastAsia="Times New Roman" w:hAnsi="Times New Roman"/>
          <w:sz w:val="16"/>
          <w:szCs w:val="16"/>
          <w:color w:val="auto"/>
        </w:rPr>
      </w:pPr>
    </w:p>
    <w:p>
      <w:pPr>
        <w:ind w:left="76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associated with the performance-based component of the equity awards under the 2024-2026 LTIP was determined based on the probable outcome of the performance conditions as of the service-inception date. Because the achievement of the performance targets under the 2024-2026 LTIP was not deemed probable as of the service-inception date, no value was attributed to the performance-based portion of these awards. In addition, performance-based compensation is a liability-based award until earned, at which time it can be settled in a combination of cash and/or equity. The following table reflects the fair value of the performance-based equity portion of the 2024-2026 LTIP assuming that 50% of the award is settled in equity and that the payout achieved is the highest level of performance for each of the Named Executive Officers:</w:t>
      </w:r>
    </w:p>
    <w:p>
      <w:pPr>
        <w:spacing w:after="0" w:line="90"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2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Harvey S. Kanter</w:t>
            </w:r>
          </w:p>
        </w:tc>
        <w:tc>
          <w:tcPr>
            <w:tcW w:w="2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541,875</w:t>
            </w:r>
          </w:p>
        </w:tc>
      </w:tr>
      <w:tr>
        <w:trPr>
          <w:trHeight w:val="216"/>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H. Stratton, Jr.</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137,363</w:t>
            </w:r>
          </w:p>
        </w:tc>
      </w:tr>
      <w:tr>
        <w:trPr>
          <w:trHeight w:val="216"/>
        </w:trPr>
        <w:tc>
          <w:tcPr>
            <w:tcW w:w="2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Anthony J. Gaeta</w:t>
            </w:r>
          </w:p>
        </w:tc>
        <w:tc>
          <w:tcPr>
            <w:tcW w:w="2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r>
      <w:tr>
        <w:trPr>
          <w:trHeight w:val="216"/>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Robert S. Molloy</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101,325</w:t>
            </w:r>
          </w:p>
        </w:tc>
      </w:tr>
      <w:tr>
        <w:trPr>
          <w:trHeight w:val="216"/>
        </w:trPr>
        <w:tc>
          <w:tcPr>
            <w:tcW w:w="2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James F. Reath</w:t>
            </w:r>
          </w:p>
        </w:tc>
        <w:tc>
          <w:tcPr>
            <w:tcW w:w="2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r>
    </w:tbl>
    <w:p>
      <w:pPr>
        <w:spacing w:after="0" w:line="94" w:lineRule="exact"/>
        <w:rPr>
          <w:sz w:val="20"/>
          <w:szCs w:val="20"/>
          <w:color w:val="auto"/>
        </w:rPr>
      </w:pPr>
    </w:p>
    <w:p>
      <w:pPr>
        <w:ind w:left="760" w:hanging="378"/>
        <w:spacing w:after="0" w:line="280"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2024 AIP, cash earned under the performance-based component of the 2022-2024 LTIP, the fourth tranche of time-vested cash of the 2020-2022 LTIP, the third tranche of time-vested cash under the 2021-2023 LTIP, the second tranche of time-vested cash under the 2022-2024 LTIP and the first tranche of time-vested cash under the 2023-2025 LTIP. See table “</w:t>
      </w:r>
      <w:r>
        <w:rPr>
          <w:rFonts w:ascii="Times New Roman" w:cs="Times New Roman" w:eastAsia="Times New Roman" w:hAnsi="Times New Roman"/>
          <w:sz w:val="16"/>
          <w:szCs w:val="16"/>
          <w:i w:val="1"/>
          <w:iCs w:val="1"/>
          <w:color w:val="auto"/>
        </w:rPr>
        <w:t>2024 Non-Equity (Cash) Incentive Plan Compensation</w:t>
      </w:r>
      <w:r>
        <w:rPr>
          <w:rFonts w:ascii="Times New Roman" w:cs="Times New Roman" w:eastAsia="Times New Roman" w:hAnsi="Times New Roman"/>
          <w:sz w:val="16"/>
          <w:szCs w:val="16"/>
          <w:color w:val="auto"/>
        </w:rPr>
        <w:t>” below for additional detail.</w:t>
      </w:r>
    </w:p>
    <w:p>
      <w:pPr>
        <w:spacing w:after="0" w:line="27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2024 amounts reflected in this column.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right="4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Stock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in fiscal 2024 in the “</w:t>
      </w:r>
      <w:r>
        <w:rPr>
          <w:rFonts w:ascii="Times New Roman" w:cs="Times New Roman" w:eastAsia="Times New Roman" w:hAnsi="Times New Roman"/>
          <w:sz w:val="18"/>
          <w:szCs w:val="18"/>
          <w:i w:val="1"/>
          <w:iCs w:val="1"/>
          <w:color w:val="auto"/>
        </w:rPr>
        <w:t>Stock Awards</w:t>
      </w:r>
      <w:r>
        <w:rPr>
          <w:rFonts w:ascii="Times New Roman" w:cs="Times New Roman" w:eastAsia="Times New Roman" w:hAnsi="Times New Roman"/>
          <w:sz w:val="18"/>
          <w:szCs w:val="18"/>
          <w:color w:val="auto"/>
        </w:rPr>
        <w:t>” column of the Summary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above: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2022-2024 LTIP</w:t>
            </w:r>
          </w:p>
        </w:tc>
        <w:tc>
          <w:tcPr>
            <w:tcW w:w="220" w:type="dxa"/>
            <w:vAlign w:val="bottom"/>
          </w:tcPr>
          <w:p>
            <w:pPr>
              <w:spacing w:after="0"/>
              <w:rPr>
                <w:sz w:val="12"/>
                <w:szCs w:val="12"/>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2024-2026 LTIP</w:t>
            </w:r>
          </w:p>
        </w:tc>
        <w:tc>
          <w:tcPr>
            <w:tcW w:w="260" w:type="dxa"/>
            <w:vAlign w:val="bottom"/>
          </w:tcPr>
          <w:p>
            <w:pPr>
              <w:spacing w:after="0"/>
              <w:rPr>
                <w:sz w:val="12"/>
                <w:szCs w:val="1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Stock</w:t>
            </w:r>
          </w:p>
        </w:tc>
      </w:tr>
      <w:tr>
        <w:trPr>
          <w:trHeight w:val="165"/>
        </w:trPr>
        <w:tc>
          <w:tcPr>
            <w:tcW w:w="552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Performance Based (1)</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Time-Based (2)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00" w:type="dxa"/>
            <w:vAlign w:val="bottom"/>
          </w:tcPr>
          <w:p>
            <w:pPr>
              <w:spacing w:after="0"/>
              <w:rPr>
                <w:sz w:val="14"/>
                <w:szCs w:val="14"/>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361,250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361,248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722,498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91,575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91,572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183,147</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56,875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69,999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126,874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67,550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67,549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135,099</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54,763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69,999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124,762</w:t>
            </w:r>
          </w:p>
        </w:tc>
      </w:tr>
    </w:tbl>
    <w:p>
      <w:pPr>
        <w:spacing w:after="0" w:line="202" w:lineRule="exact"/>
        <w:rPr>
          <w:sz w:val="20"/>
          <w:szCs w:val="20"/>
          <w:color w:val="auto"/>
        </w:rPr>
      </w:pPr>
    </w:p>
    <w:p>
      <w:pPr>
        <w:ind w:left="1140" w:right="120" w:hanging="383"/>
        <w:spacing w:after="0" w:line="298" w:lineRule="auto"/>
        <w:tabs>
          <w:tab w:leader="none" w:pos="11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RSUs granted on April 1, 2025 as a result of the Company's achieving its performance targets under the 2022-2024 LTIP. The RSUs are subject to vesting through August 31, 2025.</w:t>
      </w:r>
    </w:p>
    <w:p>
      <w:pPr>
        <w:spacing w:after="0" w:line="164" w:lineRule="exact"/>
        <w:rPr>
          <w:rFonts w:ascii="Times New Roman" w:cs="Times New Roman" w:eastAsia="Times New Roman" w:hAnsi="Times New Roman"/>
          <w:sz w:val="16"/>
          <w:szCs w:val="16"/>
          <w:color w:val="auto"/>
        </w:rPr>
      </w:pPr>
    </w:p>
    <w:p>
      <w:pPr>
        <w:ind w:left="1140" w:right="100" w:hanging="383"/>
        <w:spacing w:after="0" w:line="298" w:lineRule="auto"/>
        <w:tabs>
          <w:tab w:leader="none" w:pos="11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time-based RSUs issued under the 2024-2026 LTIP, which vest in four tranches with the first 25% vesting on April 1, 2025 and the remaining tranches vesting on April 1, 2026, April 1, 2027, and April 1, 2028.</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2024 Non-Equity (Cash) Incentive Plan Compensation</w:t>
      </w:r>
      <w:r>
        <w:rPr>
          <w:rFonts w:ascii="Times New Roman" w:cs="Times New Roman" w:eastAsia="Times New Roman" w:hAnsi="Times New Roman"/>
          <w:sz w:val="18"/>
          <w:szCs w:val="18"/>
          <w:color w:val="auto"/>
        </w:rPr>
        <w:t>. The following table provides a breakdown of the amounts for fiscal 2024 in the “</w:t>
      </w:r>
      <w:r>
        <w:rPr>
          <w:rFonts w:ascii="Times New Roman" w:cs="Times New Roman" w:eastAsia="Times New Roman" w:hAnsi="Times New Roman"/>
          <w:sz w:val="18"/>
          <w:szCs w:val="18"/>
          <w:i w:val="1"/>
          <w:iCs w:val="1"/>
          <w:color w:val="auto"/>
        </w:rPr>
        <w:t xml:space="preserve">2024 Non-Equity (Cash) Incentive Plan Compensation” </w:t>
      </w:r>
      <w:r>
        <w:rPr>
          <w:rFonts w:ascii="Times New Roman" w:cs="Times New Roman" w:eastAsia="Times New Roman" w:hAnsi="Times New Roman"/>
          <w:sz w:val="18"/>
          <w:szCs w:val="18"/>
          <w:color w:val="auto"/>
        </w:rPr>
        <w:t>column of the Summary 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2020-2022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2022-2024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2022-2024 LTIP</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LTIP</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2021-2023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LTIP</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Total Non-</w:t>
            </w:r>
          </w:p>
        </w:tc>
      </w:tr>
      <w:tr>
        <w:trPr>
          <w:trHeight w:val="148"/>
        </w:trPr>
        <w:tc>
          <w:tcPr>
            <w:tcW w:w="1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Annual Incentive</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Time-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LTIP</w:t>
            </w:r>
          </w:p>
        </w:tc>
        <w:tc>
          <w:tcPr>
            <w:tcW w:w="12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Time-Based</w:t>
            </w:r>
          </w:p>
        </w:tc>
        <w:tc>
          <w:tcPr>
            <w:tcW w:w="120" w:type="dxa"/>
            <w:vAlign w:val="bottom"/>
          </w:tcPr>
          <w:p>
            <w:pPr>
              <w:spacing w:after="0"/>
              <w:rPr>
                <w:sz w:val="12"/>
                <w:szCs w:val="12"/>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2023-2025 LTIP</w:t>
            </w:r>
          </w:p>
        </w:tc>
        <w:tc>
          <w:tcPr>
            <w:tcW w:w="12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65"/>
        </w:trPr>
        <w:tc>
          <w:tcPr>
            <w:tcW w:w="1480" w:type="dxa"/>
            <w:vAlign w:val="bottom"/>
          </w:tcPr>
          <w:p>
            <w:pPr>
              <w:spacing w:after="0"/>
              <w:rPr>
                <w:sz w:val="14"/>
                <w:szCs w:val="14"/>
                <w:color w:val="auto"/>
              </w:rPr>
            </w:pPr>
          </w:p>
        </w:tc>
        <w:tc>
          <w:tcPr>
            <w:tcW w:w="2200" w:type="dxa"/>
            <w:vAlign w:val="bottom"/>
            <w:gridSpan w:val="3"/>
          </w:tcPr>
          <w:p>
            <w:pPr>
              <w:jc w:val="right"/>
              <w:ind w:right="1773"/>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Based(2)</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Based(3)</w:t>
            </w:r>
          </w:p>
        </w:tc>
        <w:tc>
          <w:tcPr>
            <w:tcW w:w="1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(Cash)</w:t>
            </w:r>
          </w:p>
        </w:tc>
      </w:tr>
      <w:tr>
        <w:trPr>
          <w:trHeight w:val="191"/>
        </w:trPr>
        <w:tc>
          <w:tcPr>
            <w:tcW w:w="148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Harvey S. Kanter</w:t>
            </w:r>
          </w:p>
        </w:tc>
        <w:tc>
          <w:tcPr>
            <w:tcW w:w="18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1,162,1</w:t>
            </w:r>
          </w:p>
        </w:tc>
        <w:tc>
          <w:tcPr>
            <w:tcW w:w="100" w:type="dxa"/>
            <w:vAlign w:val="bottom"/>
            <w:shd w:val="clear" w:color="auto" w:fill="CFF0FC"/>
          </w:tcPr>
          <w:p>
            <w:pPr>
              <w:spacing w:after="0"/>
              <w:rPr>
                <w:sz w:val="16"/>
                <w:szCs w:val="16"/>
                <w:color w:val="auto"/>
              </w:rPr>
            </w:pPr>
          </w:p>
        </w:tc>
      </w:tr>
      <w:tr>
        <w:trPr>
          <w:trHeight w:val="234"/>
        </w:trPr>
        <w:tc>
          <w:tcPr>
            <w:tcW w:w="148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425,000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361,250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78,094</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117,141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90,312</w:t>
            </w:r>
          </w:p>
        </w:tc>
        <w:tc>
          <w:tcPr>
            <w:tcW w:w="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90,313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w w:val="99"/>
              </w:rPr>
              <w:t>Peter H. Stratton, Jr.</w:t>
            </w:r>
          </w:p>
        </w:tc>
        <w:tc>
          <w:tcPr>
            <w:tcW w:w="220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91,575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22,894</w:t>
            </w:r>
          </w:p>
        </w:tc>
        <w:tc>
          <w:tcPr>
            <w:tcW w:w="4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305,343</w:t>
            </w: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200" w:type="dxa"/>
            <w:vAlign w:val="bottom"/>
            <w:gridSpan w:val="3"/>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56,875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12,907</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19,360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14,219</w:t>
            </w:r>
          </w:p>
        </w:tc>
        <w:tc>
          <w:tcPr>
            <w:tcW w:w="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14,219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219,772</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20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16,887</w:t>
            </w:r>
          </w:p>
        </w:tc>
        <w:tc>
          <w:tcPr>
            <w:tcW w:w="40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240,958</w:t>
            </w: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2200" w:type="dxa"/>
            <w:vAlign w:val="bottom"/>
            <w:gridSpan w:val="3"/>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102,192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54,763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4,007</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15,796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13,691</w:t>
            </w:r>
          </w:p>
        </w:tc>
        <w:tc>
          <w:tcPr>
            <w:tcW w:w="40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207,949</w:t>
            </w:r>
          </w:p>
        </w:tc>
      </w:tr>
    </w:tbl>
    <w:p>
      <w:pPr>
        <w:spacing w:after="0" w:line="214" w:lineRule="exact"/>
        <w:rPr>
          <w:sz w:val="20"/>
          <w:szCs w:val="20"/>
          <w:color w:val="auto"/>
        </w:rPr>
      </w:pPr>
    </w:p>
    <w:p>
      <w:pPr>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2024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2024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01" w:lineRule="exact"/>
        <w:rPr>
          <w:rFonts w:ascii="Times New Roman" w:cs="Times New Roman" w:eastAsia="Times New Roman" w:hAnsi="Times New Roman"/>
          <w:sz w:val="18"/>
          <w:szCs w:val="18"/>
          <w:color w:val="auto"/>
        </w:rPr>
      </w:pPr>
    </w:p>
    <w:p>
      <w:pPr>
        <w:ind w:left="760" w:right="280" w:hanging="378"/>
        <w:spacing w:after="0" w:line="264"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cash award earned under the performance-based component of the 2022-2024 LTIP that was granted on April 1, 2025, with additional vesting through August 31, 2025. At the discretion of the Compensation Committee, the settlement of this liability-based award can be settled in cash, equity, or a combination thereof. For the 2022-2024 LTIP, the Compensation Committee voted to settle the performance-based award in a combination of 50% cash and 50% RSUs.</w:t>
      </w:r>
    </w:p>
    <w:p>
      <w:pPr>
        <w:spacing w:after="0" w:line="204" w:lineRule="exact"/>
        <w:rPr>
          <w:rFonts w:ascii="Times New Roman" w:cs="Times New Roman" w:eastAsia="Times New Roman" w:hAnsi="Times New Roman"/>
          <w:sz w:val="18"/>
          <w:szCs w:val="18"/>
          <w:color w:val="auto"/>
        </w:rPr>
      </w:pPr>
    </w:p>
    <w:p>
      <w:pPr>
        <w:ind w:left="760" w:right="40" w:hanging="378"/>
        <w:spacing w:after="0" w:line="263"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fourth tranche of the time-based cash award granted in June 2020 under the 2020-2022 LTIP, the third tranche of the time-based cash award granted in March 2021 under the 2021-2023 LTIP, the second tranche of the time-based cash award granted in April 2022 under the 2022-2024 LTIP and the first tranche of the time-based cash award granted in April 2023 under the 2023-2025 LTIP. See “</w:t>
      </w:r>
      <w:r>
        <w:rPr>
          <w:rFonts w:ascii="Times New Roman" w:cs="Times New Roman" w:eastAsia="Times New Roman" w:hAnsi="Times New Roman"/>
          <w:sz w:val="16"/>
          <w:szCs w:val="16"/>
          <w:i w:val="1"/>
          <w:iCs w:val="1"/>
          <w:color w:val="auto"/>
        </w:rPr>
        <w:t>Compensation, Discussion and Analysis-Compensation Components and Fiscal 2024 Compensation Decisions, Performance-based annual incentive plan and Long-term incentive plans</w:t>
      </w:r>
      <w:r>
        <w:rPr>
          <w:rFonts w:ascii="Times New Roman" w:cs="Times New Roman" w:eastAsia="Times New Roman" w:hAnsi="Times New Roman"/>
          <w:sz w:val="16"/>
          <w:szCs w:val="16"/>
          <w:color w:val="auto"/>
        </w:rPr>
        <w:t>” for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w:t>
      </w:r>
    </w:p>
    <w:p>
      <w:pPr>
        <w:spacing w:after="0" w:line="39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All Other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provides a breakdown of the amounts for fiscal 2024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Table above: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12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Auto</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Travel</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5"/>
        </w:trPr>
        <w:tc>
          <w:tcPr>
            <w:tcW w:w="39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401(k)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4"/>
                <w:szCs w:val="14"/>
                <w:color w:val="auto"/>
              </w:rPr>
            </w:pP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12,876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159,960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27,498</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24,048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28,546</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14,473</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39,171</w:t>
            </w:r>
          </w:p>
        </w:tc>
      </w:tr>
      <w:tr>
        <w:trPr>
          <w:trHeight w:val="540"/>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Instruction 2 to Item 402(u), the median-paid employee may be identified once every three years if there is no impact to the pay ratio disclosure. We last identified our median employee on December 31, 2023. There has been no change in our employee population or employee compensation arrangements since that time that we believe would significantly impact the pay ratio disclosure for 2024 and require the identification of a new median employee.</w:t>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total annual compensation for our CEO, Mr. Kanter, for fiscal 2024, as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was $2,894,568. The total annual compensation for our median employee, who is a full-time 40-hour employee, was $50,013, calculated using the same methodology as used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Based on this information, for fiscal 2024, the ratio of the annual total compensation of Mr. Kanter, our CEO, to the median of the annual total compensation of all employees was 58 to 1. The methodology used to identify the median employee in 2023 was to evaluate all employees, other than our CEO, employed by the Company as of December 31, 2023, and performed the following:</w:t>
      </w:r>
    </w:p>
    <w:p>
      <w:pPr>
        <w:spacing w:after="0" w:line="77" w:lineRule="exact"/>
        <w:rPr>
          <w:sz w:val="20"/>
          <w:szCs w:val="20"/>
          <w:color w:val="auto"/>
        </w:rPr>
      </w:pPr>
    </w:p>
    <w:p>
      <w:pPr>
        <w:jc w:val="both"/>
        <w:ind w:left="1020" w:right="26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2023, our employee population consisted of approximately 1,308 individuals, with 1,305 of these individuals located in the U.S. and 3 of these individuals located outside of the U.S. This population includes our full-time, part-time, and seasonal or temporary employees. Approximately 79% of our total employee population at December 31, 2023 was considered full-time employees.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2023.</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for any permanent full-time or part-time employees who started employment at the Company during calendar 2023. We did not annualize the compensation for any seasonal or temporary employees.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excluded employees located outside of the U.S. under the de minimis exception to the pay ratio rule, which permits exclusion if a company’s non-U.S. employees account for 5% or less of its total employees. Accordingly, we have excluded three associates located in Hong Kong.</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212121"/>
        </w:rPr>
        <w:t>Pay Versus Performance Table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12121"/>
        </w:rPr>
        <w:t xml:space="preserve">In accordance with rules adopted by the SEC pursuant to the Dodd-Frank Act, below is the disclosure regarding executive compensation for Harvey S. Kanter, our principal executive officer (“PEO”), our non-PEO NEOs, and our Company's financial performance for the fiscal years listed below. The Compensation Committee did not consider the </w:t>
      </w:r>
      <w:r>
        <w:rPr>
          <w:rFonts w:ascii="Times New Roman" w:cs="Times New Roman" w:eastAsia="Times New Roman" w:hAnsi="Times New Roman"/>
          <w:sz w:val="18"/>
          <w:szCs w:val="18"/>
          <w:color w:val="252525"/>
        </w:rPr>
        <w:t>pay versus performance</w:t>
      </w:r>
      <w:r>
        <w:rPr>
          <w:rFonts w:ascii="Times New Roman" w:cs="Times New Roman" w:eastAsia="Times New Roman" w:hAnsi="Times New Roman"/>
          <w:sz w:val="18"/>
          <w:szCs w:val="18"/>
          <w:color w:val="212121"/>
        </w:rPr>
        <w:t xml:space="preserv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total compensation per the “</w:t>
      </w:r>
      <w:r>
        <w:rPr>
          <w:rFonts w:ascii="Times New Roman" w:cs="Times New Roman" w:eastAsia="Times New Roman" w:hAnsi="Times New Roman"/>
          <w:sz w:val="18"/>
          <w:szCs w:val="18"/>
          <w:i w:val="1"/>
          <w:iCs w:val="1"/>
          <w:color w:val="212121"/>
        </w:rPr>
        <w:t>Summary Compensation Table</w:t>
      </w:r>
      <w:r>
        <w:rPr>
          <w:rFonts w:ascii="Times New Roman" w:cs="Times New Roman" w:eastAsia="Times New Roman" w:hAnsi="Times New Roman"/>
          <w:sz w:val="18"/>
          <w:szCs w:val="18"/>
          <w:color w:val="212121"/>
        </w:rPr>
        <w:t>,” with certain required adjustments as described in the following table and footnotes.</w:t>
      </w:r>
    </w:p>
    <w:p>
      <w:pPr>
        <w:spacing w:after="0" w:line="7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212121"/>
        </w:rPr>
        <w:t>For more information concerning our philosophy of how we align compensation for our NEOs to certain performance metrics, refer to the “</w:t>
      </w:r>
      <w:r>
        <w:rPr>
          <w:rFonts w:ascii="Times New Roman" w:cs="Times New Roman" w:eastAsia="Times New Roman" w:hAnsi="Times New Roman"/>
          <w:sz w:val="18"/>
          <w:szCs w:val="18"/>
          <w:i w:val="1"/>
          <w:iCs w:val="1"/>
          <w:color w:val="212121"/>
        </w:rPr>
        <w:t>Compensation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212121"/>
        </w:rPr>
        <w:t>Discussion and Analysis</w:t>
      </w:r>
      <w:r>
        <w:rPr>
          <w:rFonts w:ascii="Times New Roman" w:cs="Times New Roman" w:eastAsia="Times New Roman" w:hAnsi="Times New Roman"/>
          <w:sz w:val="18"/>
          <w:szCs w:val="18"/>
          <w:color w:val="212121"/>
        </w:rPr>
        <w:t>” above.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4"/>
          </w:tcPr>
          <w:p>
            <w:pPr>
              <w:jc w:val="center"/>
              <w:ind w:right="93"/>
              <w:spacing w:after="0"/>
              <w:rPr>
                <w:sz w:val="20"/>
                <w:szCs w:val="20"/>
                <w:color w:val="auto"/>
              </w:rPr>
            </w:pPr>
            <w:r>
              <w:rPr>
                <w:rFonts w:ascii="Times New Roman" w:cs="Times New Roman" w:eastAsia="Times New Roman" w:hAnsi="Times New Roman"/>
                <w:sz w:val="16"/>
                <w:szCs w:val="16"/>
                <w:color w:val="auto"/>
              </w:rPr>
              <w:t>Value of Initial Fixed $100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6"/>
                <w:szCs w:val="16"/>
                <w:color w:val="auto"/>
              </w:rPr>
              <w:t>Investment Based 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Average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w w:val="99"/>
              </w:rPr>
              <w:t>Summary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Average Summary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7"/>
                <w:szCs w:val="17"/>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Peer Group Total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Adjusted</w:t>
            </w: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34"/>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Actually Paid</w:t>
            </w: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Table</w:t>
            </w:r>
          </w:p>
        </w:tc>
        <w:tc>
          <w:tcPr>
            <w:tcW w:w="12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Actually Paid to</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Shareholder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Shareholder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EBITDA</w:t>
            </w:r>
          </w:p>
        </w:tc>
      </w:tr>
      <w:tr>
        <w:trPr>
          <w:trHeight w:val="203"/>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rPr>
              <w:t>Total for PEO</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4"/>
              <w:spacing w:after="0"/>
              <w:rPr>
                <w:sz w:val="20"/>
                <w:szCs w:val="20"/>
                <w:color w:val="auto"/>
              </w:rPr>
            </w:pPr>
            <w:r>
              <w:rPr>
                <w:rFonts w:ascii="Times New Roman" w:cs="Times New Roman" w:eastAsia="Times New Roman" w:hAnsi="Times New Roman"/>
                <w:sz w:val="16"/>
                <w:szCs w:val="16"/>
                <w:color w:val="auto"/>
                <w:w w:val="98"/>
              </w:rPr>
              <w:t>to PEO</w:t>
            </w:r>
          </w:p>
        </w:tc>
        <w:tc>
          <w:tcPr>
            <w:tcW w:w="1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Total for Non-PEO</w:t>
            </w:r>
          </w:p>
        </w:tc>
        <w:tc>
          <w:tcPr>
            <w:tcW w:w="120" w:type="dxa"/>
            <w:vAlign w:val="bottom"/>
          </w:tcPr>
          <w:p>
            <w:pPr>
              <w:spacing w:after="0"/>
              <w:rPr>
                <w:sz w:val="17"/>
                <w:szCs w:val="17"/>
                <w:color w:val="auto"/>
              </w:rPr>
            </w:pP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Non-PEO NEOs</w:t>
            </w:r>
          </w:p>
        </w:tc>
        <w:tc>
          <w:tcPr>
            <w:tcW w:w="120" w:type="dxa"/>
            <w:vAlign w:val="bottom"/>
          </w:tcPr>
          <w:p>
            <w:pPr>
              <w:spacing w:after="0"/>
              <w:rPr>
                <w:sz w:val="17"/>
                <w:szCs w:val="17"/>
                <w:color w:val="auto"/>
              </w:rPr>
            </w:pPr>
          </w:p>
        </w:tc>
        <w:tc>
          <w:tcPr>
            <w:tcW w:w="76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Return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Return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(Loss)</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(Non-GAAP)</w:t>
            </w:r>
          </w:p>
        </w:tc>
      </w:tr>
      <w:tr>
        <w:trPr>
          <w:trHeight w:val="213"/>
        </w:trPr>
        <w:tc>
          <w:tcPr>
            <w:tcW w:w="70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color w:val="auto"/>
                <w:w w:val="99"/>
              </w:rPr>
              <w:t>NEOs ($)(2)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color w:val="auto"/>
                <w:w w:val="97"/>
              </w:rPr>
              <w:t>)(000's)(5)</w:t>
            </w:r>
          </w:p>
        </w:tc>
        <w:tc>
          <w:tcPr>
            <w:tcW w:w="100" w:type="dxa"/>
            <w:vAlign w:val="bottom"/>
          </w:tcPr>
          <w:p>
            <w:pPr>
              <w:spacing w:after="0"/>
              <w:rPr>
                <w:sz w:val="18"/>
                <w:szCs w:val="18"/>
                <w:color w:val="auto"/>
              </w:rPr>
            </w:pPr>
          </w:p>
        </w:tc>
      </w:tr>
      <w:tr>
        <w:trPr>
          <w:trHeight w:val="213"/>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ind w:right="111"/>
              <w:spacing w:after="0"/>
              <w:rPr>
                <w:sz w:val="20"/>
                <w:szCs w:val="20"/>
                <w:color w:val="auto"/>
              </w:rPr>
            </w:pPr>
            <w:r>
              <w:rPr>
                <w:rFonts w:ascii="Times New Roman" w:cs="Times New Roman" w:eastAsia="Times New Roman" w:hAnsi="Times New Roman"/>
                <w:sz w:val="18"/>
                <w:szCs w:val="18"/>
                <w:color w:val="auto"/>
                <w:w w:val="95"/>
              </w:rPr>
              <w:t>(d)</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9"/>
              </w:rPr>
              <w:t>(e)</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w w:val="99"/>
              </w:rPr>
              <w:t>(f)</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(h)</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2,894,568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844,299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712,029</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374.77</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shd w:val="clear" w:color="auto" w:fill="CFF0FC"/>
          </w:tcPr>
          <w:p>
            <w:pPr>
              <w:spacing w:after="0"/>
              <w:rPr>
                <w:sz w:val="18"/>
                <w:szCs w:val="18"/>
                <w:color w:val="auto"/>
              </w:rPr>
            </w:pPr>
          </w:p>
        </w:tc>
      </w:tr>
      <w:tr>
        <w:trPr>
          <w:trHeight w:val="216"/>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663.06</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1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13,729,433</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76,862</w:t>
            </w:r>
          </w:p>
        </w:tc>
        <w:tc>
          <w:tcPr>
            <w:tcW w:w="100" w:type="dxa"/>
            <w:vAlign w:val="bottom"/>
            <w:shd w:val="clear" w:color="auto" w:fill="CFF0FC"/>
          </w:tcPr>
          <w:p>
            <w:pPr>
              <w:spacing w:after="0"/>
              <w:rPr>
                <w:sz w:val="18"/>
                <w:szCs w:val="18"/>
                <w:color w:val="auto"/>
              </w:rPr>
            </w:pPr>
          </w:p>
        </w:tc>
      </w:tr>
      <w:tr>
        <w:trPr>
          <w:trHeight w:val="234"/>
        </w:trPr>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2,270,835</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(64,538)</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(24,197)</w:t>
            </w:r>
          </w:p>
        </w:tc>
      </w:tr>
    </w:tbl>
    <w:p>
      <w:pPr>
        <w:spacing w:after="0" w:line="179" w:lineRule="exact"/>
        <w:rPr>
          <w:sz w:val="20"/>
          <w:szCs w:val="20"/>
          <w:color w:val="auto"/>
        </w:rPr>
      </w:pPr>
    </w:p>
    <w:p>
      <w:pPr>
        <w:ind w:left="1020" w:right="5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compensation for our PEO per the Summary Compensation Table (column (b)) and Compensation Actually Paid (column (c)):</w:t>
      </w:r>
    </w:p>
    <w:p>
      <w:pPr>
        <w:spacing w:after="0" w:line="40"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5"/>
              </w:rPr>
              <w:t>Fiscal Year:</w:t>
            </w:r>
          </w:p>
        </w:tc>
        <w:tc>
          <w:tcPr>
            <w:tcW w:w="3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CFF0FC"/>
          </w:tcPr>
          <w:p>
            <w:pPr>
              <w:spacing w:after="0" w:line="20" w:lineRule="exact"/>
              <w:rPr>
                <w:sz w:val="1"/>
                <w:szCs w:val="1"/>
                <w:color w:val="auto"/>
              </w:rPr>
            </w:pPr>
          </w:p>
        </w:tc>
        <w:tc>
          <w:tcPr>
            <w:tcW w:w="3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Summary Compensation Table ("SCT") Total for PEO</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2,894,56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(column (b))</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8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6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4,221,881</w:t>
            </w:r>
          </w:p>
        </w:tc>
        <w:tc>
          <w:tcPr>
            <w:tcW w:w="8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5,959,023</w:t>
            </w:r>
          </w:p>
        </w:tc>
        <w:tc>
          <w:tcPr>
            <w:tcW w:w="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(829,813)</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(2,765,938)</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(436,880)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(207,035)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Add or Deduct - year-over-year change in fair value of equity</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(81,267)</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4,203,022</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(1,201,866)</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(242,851)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w w:val="99"/>
              </w:rPr>
              <w:t>Add or Deduct - year-over-year change in fair value of equity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awards granted in prior year that are outstanding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unvested as of the current year-end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(59,872)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4,412,134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2,474,982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(1,524,935)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 year-end fair value of equity awards granted in the</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year that are outstanding and unvested as of the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year-end</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737,926</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2,148,295</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998,200</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1,982,373</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vesting date fair value of equity awards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and vested in current year</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Deduct - fair value as of prior year end of equity awards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prior years that failed to vest in the current year</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gridSpan w:val="2"/>
            <w:vMerge w:val="continue"/>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4"/>
            <w:vMerge w:val="continue"/>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0" w:type="dxa"/>
            <w:vAlign w:val="bottom"/>
            <w:tcBorders>
              <w:top w:val="single" w:sz="8" w:color="CFF0FC"/>
            </w:tcBorders>
          </w:tcPr>
          <w:p>
            <w:pPr>
              <w:spacing w:after="0"/>
              <w:rPr>
                <w:sz w:val="16"/>
                <w:szCs w:val="16"/>
                <w:color w:val="auto"/>
              </w:rPr>
            </w:pPr>
          </w:p>
        </w:tc>
        <w:tc>
          <w:tcPr>
            <w:tcW w:w="358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13,729,43</w:t>
            </w:r>
          </w:p>
        </w:tc>
        <w:tc>
          <w:tcPr>
            <w:tcW w:w="6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Actually Paid to PEO (column (c))</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2,270,835</w:t>
            </w:r>
          </w:p>
        </w:tc>
        <w:tc>
          <w:tcPr>
            <w:tcW w:w="8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7,093,048</w:t>
            </w:r>
          </w:p>
        </w:tc>
        <w:tc>
          <w:tcPr>
            <w:tcW w:w="8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2,431,858</w:t>
            </w:r>
          </w:p>
        </w:tc>
        <w:tc>
          <w:tcPr>
            <w:tcW w:w="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844,299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-281940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-281940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-281940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-281940</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-281940</wp:posOffset>
            </wp:positionV>
            <wp:extent cx="59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6" w:lineRule="exact"/>
        <w:rPr>
          <w:sz w:val="20"/>
          <w:szCs w:val="20"/>
          <w:color w:val="auto"/>
        </w:rPr>
      </w:pPr>
    </w:p>
    <w:p>
      <w:pPr>
        <w:ind w:left="1020" w:right="3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Non-PEO NEOs for fiscal 2024 were Peter H. Stratton, Anthony J. Gaeta, Robert S. Molloy and James F. Reath. For fiscal 2023 and fiscal 2022 our Non-PEO NEOs were Messrs. Stratton, Gaeta, Molloy and Allison Surette, our Chief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Merchandising Officer. For fiscal 2021 and fiscal 2020, our Non-PEO NEOs were Messrs. Stratton, Molloy, Gaeta and Ujjwal Dhoot, our former Chief Marketing Officer.</w:t>
      </w:r>
    </w:p>
    <w:p>
      <w:pPr>
        <w:spacing w:after="0" w:line="54"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the following table is a reconciliation of the adjustments between the average compensation for our Non-PEO NEOs per the Summary Compensation Table (column (d)) and average Compensation Actually Paid to Non-PEO NEOs (column (e)):</w:t>
      </w:r>
    </w:p>
    <w:p>
      <w:pPr>
        <w:spacing w:after="0" w:line="148"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Average Summary Compensation Table Total for Non-PEO</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NEOs (column (d))</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579,831</w:t>
            </w:r>
          </w:p>
        </w:tc>
        <w:tc>
          <w:tcPr>
            <w:tcW w:w="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909,752</w:t>
            </w:r>
          </w:p>
        </w:tc>
        <w:tc>
          <w:tcPr>
            <w:tcW w:w="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954,500</w:t>
            </w:r>
          </w:p>
        </w:tc>
        <w:tc>
          <w:tcPr>
            <w:tcW w:w="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SCT "Stock Award" value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(79,352)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(156,331)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SCT "Option Award" value</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(53,009)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(44,496)</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awards granted in prior year that vested in current year</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(44,540)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122,413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(158,089)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(43,328)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year-over-year change in fair value of equity</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awards granted in prior year that are outstanding and unvested</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the current year-end</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(14,636)</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524,801</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464,934</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(302,611)</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 year-end fair value of equity awards granted in the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year that are outstanding and unvested as of the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year-end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445,124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187,905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65,679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124,986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or Deduct - vesting date fair value of equity awards</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and vested in current year</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 - fair value as of prior year end of equity awards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in prior years that failed to vest in the current year</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8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Average Compensation Actually Paid to Non-PEO NEOs</w:t>
            </w:r>
          </w:p>
        </w:tc>
        <w:tc>
          <w:tcPr>
            <w:tcW w:w="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(column (e))</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563,984</w:t>
            </w:r>
          </w:p>
        </w:tc>
        <w:tc>
          <w:tcPr>
            <w:tcW w:w="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1,878,242</w:t>
            </w:r>
          </w:p>
        </w:tc>
        <w:tc>
          <w:tcPr>
            <w:tcW w:w="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1,482,529</w:t>
            </w:r>
          </w:p>
        </w:tc>
        <w:tc>
          <w:tcPr>
            <w:tcW w:w="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464,918</w:t>
            </w:r>
          </w:p>
        </w:tc>
        <w:tc>
          <w:tcPr>
            <w:tcW w:w="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020" w:right="8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used in this table is the Dow Jones U.S. Apparel Retailers Index (assuming reinvestment of all dividends), which we also utilize in the stock performance graph required by Item 201(e) of Regulation S-K, included in our Annual Report on Form 10-K for the year ended February 1, 2025. The comparison assumes that $100 was invested for the period starting January 31, 2020 through the end of each fiscal year.</w:t>
      </w:r>
    </w:p>
    <w:p>
      <w:pPr>
        <w:spacing w:after="0" w:line="71"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Adjusted EBITDA as our Company Selected Measure. Adjusted EBITDA is a Non-GAAP financial measure. For our Company, Adjusted EBITDA represents earnings before interest, taxes and depreciation and amortization and before the loss from termination of retirement plans, non-recurring accrual for estimated legal settlement costs, and asset impairment (gain),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Relationships Descriptions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charts depict the relationships between Compensation Actually Paid ("CAP") for our PEO and non-PEO NEOs and the financial metrics included in the table above.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CAP and Company's TSR</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the Company’s cumulative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182880</wp:posOffset>
            </wp:positionV>
            <wp:extent cx="4671695" cy="27603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7169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the Company TSR and Peer Group Cumulative TSR</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chart shows the cumulative TSR of the Company, assuming an initial fixed $100 investment and computed in accordance with the requirements of Item 402(v) of Regulation S-K, versus the Dow Jones U.S. Apparel Retailers, assuming an initial fixed $100 investment on January 30, 2020 (end of fiscal 2019) and computed in accordance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54610</wp:posOffset>
            </wp:positionV>
            <wp:extent cx="4757420" cy="2708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5742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1"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CAP and Net Income (Loss)</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net income (loss) during the five most recently completed fiscal years. Net income for fiscal 2022 included a non-recurring tax benefit related to the release of our tax valuation allowance of $31.6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260350</wp:posOffset>
            </wp:positionV>
            <wp:extent cx="4251960" cy="23914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196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Relationship Between PEO and Non-PEO NEO CAP and Company-Selected Measure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Non-PEO NEOs, and Adjusted EBITDA, a non-GAAP measure (our Company-Selected Measure)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182880</wp:posOffset>
            </wp:positionV>
            <wp:extent cx="4345940" cy="2614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459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discussed above in more detail under "</w:t>
      </w:r>
      <w:r>
        <w:rPr>
          <w:rFonts w:ascii="Times New Roman" w:cs="Times New Roman" w:eastAsia="Times New Roman" w:hAnsi="Times New Roman"/>
          <w:sz w:val="18"/>
          <w:szCs w:val="18"/>
          <w:i w:val="1"/>
          <w:iCs w:val="1"/>
          <w:color w:val="auto"/>
        </w:rPr>
        <w:t>Compensation Discussion and Analysis - Compensation Components and Fiscal 2024 Compensation Decisions,</w:t>
      </w:r>
      <w:r>
        <w:rPr>
          <w:rFonts w:ascii="Times New Roman" w:cs="Times New Roman" w:eastAsia="Times New Roman" w:hAnsi="Times New Roman"/>
          <w:sz w:val="18"/>
          <w:szCs w:val="18"/>
          <w:color w:val="auto"/>
        </w:rPr>
        <w:t>" the Compensation Committee uses several financial and operational performance measures in making its compensation decisions. The following list represents the most important financial performance measures used by the Company to link CAP to our PEO and other NEOs to Company performance for fiscal 2024.</w:t>
      </w:r>
    </w:p>
    <w:p>
      <w:pPr>
        <w:spacing w:after="0" w:line="297" w:lineRule="exact"/>
        <w:rPr>
          <w:sz w:val="20"/>
          <w:szCs w:val="20"/>
          <w:color w:val="auto"/>
        </w:rPr>
      </w:pPr>
    </w:p>
    <w:p>
      <w:pPr>
        <w:ind w:left="3060" w:hanging="291"/>
        <w:spacing w:after="0"/>
        <w:tabs>
          <w:tab w:leader="none" w:pos="3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measure)</w:t>
      </w:r>
    </w:p>
    <w:p>
      <w:pPr>
        <w:spacing w:after="0" w:line="117" w:lineRule="exact"/>
        <w:rPr>
          <w:rFonts w:ascii="Times New Roman" w:cs="Times New Roman" w:eastAsia="Times New Roman" w:hAnsi="Times New Roman"/>
          <w:sz w:val="18"/>
          <w:szCs w:val="18"/>
          <w:color w:val="auto"/>
        </w:rPr>
      </w:pPr>
    </w:p>
    <w:p>
      <w:pPr>
        <w:ind w:left="3060" w:hanging="291"/>
        <w:spacing w:after="0"/>
        <w:tabs>
          <w:tab w:leader="none" w:pos="3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w:t>
      </w:r>
    </w:p>
    <w:p>
      <w:pPr>
        <w:spacing w:after="0" w:line="117" w:lineRule="exact"/>
        <w:rPr>
          <w:rFonts w:ascii="Times New Roman" w:cs="Times New Roman" w:eastAsia="Times New Roman" w:hAnsi="Times New Roman"/>
          <w:sz w:val="18"/>
          <w:szCs w:val="18"/>
          <w:color w:val="auto"/>
        </w:rPr>
      </w:pPr>
    </w:p>
    <w:p>
      <w:pPr>
        <w:ind w:left="3060" w:hanging="291"/>
        <w:spacing w:after="0"/>
        <w:tabs>
          <w:tab w:leader="none" w:pos="3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3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pursuant to which Mr. Kanter was appointed as President and Chief Executive Officer and a director of the Company effective April 1, 2019. From February 19, 2019 to March 31, 2019, Mr. Kanter served as an Advisor to the Acting CEO. The initial term of the agreement was three years and could be automatically renewed upon the same terms and conditions for successive periods of one year, unless either party terminated the agreement in accordance with its terms.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February 2022, the Compensation Committee engaged Segal to review Mr. Kanter’s direct compensation. Effective April 1, 2022, the Company and Mr. Kanter entered into an updated employment agreement (the “Employment Agreement”). The initial term of the Employment Agreement was for three years, unless terminated earlier in accordance with its terms (the “Initial Term”).</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11, 2023, the Company and Mr. Kanter entered into the First Amendment (the “Amendment”) to the Employment Agreement (as amended, the “Amended Employment Agreement”). The Amendment extended the initial term of Mr. Kanter’s employment from April 1, 2025 to August 11, 2026, unless terminated earlier in accordance with the terms of the Amended Employment Agreement (the “Initial Term”). At the expiration of the Initial Term, the Amended Employment Agreement will automatically renew, upon the same terms and conditions, for successive periods of one year, unless either party provides advance written notice in accordance with the terms of the Amended Employment Agreement.</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extension of the Initial Term under the Amendment, Mr. Kanter received 573,000 performance share units (“PSUs”) to be settled in shares of the Company’s common stock upon vesting.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PSUs will expire on August 11, 2026.</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The maximum payout of performance-based compensation is 150% of target.</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54" w:lineRule="exact"/>
        <w:rPr>
          <w:sz w:val="20"/>
          <w:szCs w:val="20"/>
          <w:color w:val="auto"/>
        </w:rPr>
      </w:pPr>
    </w:p>
    <w:p>
      <w:pPr>
        <w:ind w:left="1020" w:right="180" w:hanging="503"/>
        <w:spacing w:after="0" w:line="258"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of the Amended Employment Agreement, Mr. Kanter will be eligible to receive, subject to certain requirements described in the Employment Agreement, a severance payment equal to (x) the base salary that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then-current base salary plus (y) the then value of his target bonus under the AIP, payable in 24 monthly installments;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Amended Employment Agreement after the Initial Term, Mr. Kanter will be eligible to receive a payment equal to (x) three months of his then-current base salary plus (y) the then value of 25% of his target bonus under the AIP, payable in 24 monthly installments.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then-current base salary plus (ii) the then value of two times his target bonus under the AIP, generally payable in a lump sum within 60 days of the termination of his employment following a Change in Control.</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Other Named Executive Officers</w:t>
      </w:r>
    </w:p>
    <w:p>
      <w:pPr>
        <w:spacing w:after="0" w:line="11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have employment agreements with each of Named Executive Officers other than our CEO (collectively,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of the NEO Employment Agreements provides that, if the executive officer’s employment is terminated by us at any time for any reason other than “justifiable cause” (as defined in the NEO Employment Agreements), disability or death, we are required to pay the executive the executive’s then-current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Section 280G(b)(i) of the Internal Revenue Code.</w:t>
      </w:r>
    </w:p>
    <w:p>
      <w:pPr>
        <w:spacing w:after="0" w:line="7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his/her employment and for a one-year period following the termination of his/her employment, not to have any connection with any business that is a specialty retailer that primarily distributes, sells or markets so-called “big and tall” apparel of any kind for men or that utilizes the “big and tall” retail or wholesale marketing concept as part of its business.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February 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Continued</w:t>
            </w:r>
          </w:p>
        </w:tc>
        <w:tc>
          <w:tcPr>
            <w:tcW w:w="140" w:type="dxa"/>
            <w:vAlign w:val="bottom"/>
          </w:tcPr>
          <w:p>
            <w:pPr>
              <w:spacing w:after="0"/>
              <w:rPr>
                <w:sz w:val="16"/>
                <w:szCs w:val="16"/>
                <w:color w:val="auto"/>
              </w:rPr>
            </w:pPr>
          </w:p>
        </w:tc>
        <w:tc>
          <w:tcPr>
            <w:tcW w:w="11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Time-</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w w:val="97"/>
              </w:rPr>
              <w:t>Based</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Base</w:t>
            </w: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80" w:type="dxa"/>
            <w:vAlign w:val="bottom"/>
          </w:tcPr>
          <w:p>
            <w:pPr>
              <w:spacing w:after="0"/>
              <w:rPr>
                <w:sz w:val="4"/>
                <w:szCs w:val="4"/>
                <w:color w:val="auto"/>
              </w:rPr>
            </w:pPr>
          </w:p>
        </w:tc>
        <w:tc>
          <w:tcPr>
            <w:tcW w:w="840" w:type="dxa"/>
            <w:vAlign w:val="bottom"/>
            <w:gridSpan w:val="2"/>
            <w:vMerge w:val="restart"/>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3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spacing w:after="0" w:line="192" w:lineRule="exact"/>
              <w:rPr>
                <w:sz w:val="20"/>
                <w:szCs w:val="20"/>
                <w:color w:val="auto"/>
              </w:rPr>
            </w:pPr>
            <w:r>
              <w:rPr>
                <w:rFonts w:ascii="Times New Roman" w:cs="Times New Roman" w:eastAsia="Times New Roman" w:hAnsi="Times New Roman"/>
                <w:sz w:val="16"/>
                <w:szCs w:val="16"/>
                <w:b w:val="1"/>
                <w:bCs w:val="1"/>
                <w:color w:val="auto"/>
              </w:rPr>
              <w:t xml:space="preserve">Compensation </w:t>
            </w:r>
            <w:r>
              <w:rPr>
                <w:rFonts w:ascii="Times New Roman" w:cs="Times New Roman" w:eastAsia="Times New Roman" w:hAnsi="Times New Roman"/>
                <w:sz w:val="21"/>
                <w:szCs w:val="21"/>
                <w:b w:val="1"/>
                <w:bCs w:val="1"/>
                <w:color w:val="auto"/>
                <w:vertAlign w:val="superscript"/>
              </w:rPr>
              <w:t>(4)</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Salary</w:t>
            </w: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160"/>
              <w:spacing w:after="0" w:line="148"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460" w:type="dxa"/>
            <w:vAlign w:val="bottom"/>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200" w:type="dxa"/>
            <w:vAlign w:val="bottom"/>
          </w:tcPr>
          <w:p>
            <w:pPr>
              <w:spacing w:after="0"/>
              <w:rPr>
                <w:sz w:val="12"/>
                <w:szCs w:val="12"/>
                <w:color w:val="auto"/>
              </w:rPr>
            </w:pPr>
          </w:p>
        </w:tc>
        <w:tc>
          <w:tcPr>
            <w:tcW w:w="64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6"/>
                <w:szCs w:val="16"/>
                <w:b w:val="1"/>
                <w:bCs w:val="1"/>
                <w:color w:val="auto"/>
              </w:rPr>
              <w:t>Awards</w:t>
            </w:r>
          </w:p>
        </w:tc>
        <w:tc>
          <w:tcPr>
            <w:tcW w:w="3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(3) (5)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2,620,833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981,256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1,445,872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5,472,961</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3,400,000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981,256</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1,445,872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6,252,128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209,605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124,777</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250,124</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366,521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951,027</w:t>
            </w:r>
          </w:p>
        </w:tc>
        <w:tc>
          <w:tcPr>
            <w:tcW w:w="0" w:type="dxa"/>
            <w:vAlign w:val="bottom"/>
          </w:tcPr>
          <w:p>
            <w:pPr>
              <w:spacing w:after="0"/>
              <w:rPr>
                <w:sz w:val="1"/>
                <w:szCs w:val="1"/>
                <w:color w:val="auto"/>
              </w:rPr>
            </w:pPr>
          </w:p>
        </w:tc>
      </w:tr>
      <w:tr>
        <w:trPr>
          <w:trHeight w:val="189"/>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419,210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124,777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250,124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366,521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1,160,632</w:t>
            </w:r>
          </w:p>
        </w:tc>
        <w:tc>
          <w:tcPr>
            <w:tcW w:w="0" w:type="dxa"/>
            <w:vAlign w:val="bottom"/>
          </w:tcPr>
          <w:p>
            <w:pPr>
              <w:spacing w:after="0"/>
              <w:rPr>
                <w:sz w:val="1"/>
                <w:szCs w:val="1"/>
                <w:color w:val="auto"/>
              </w:rPr>
            </w:pPr>
          </w:p>
        </w:tc>
      </w:tr>
      <w:tr>
        <w:trPr>
          <w:trHeight w:val="21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206,000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173,948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236,363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718,503</w:t>
            </w:r>
          </w:p>
        </w:tc>
        <w:tc>
          <w:tcPr>
            <w:tcW w:w="0" w:type="dxa"/>
            <w:vAlign w:val="bottom"/>
          </w:tcPr>
          <w:p>
            <w:pPr>
              <w:spacing w:after="0"/>
              <w:rPr>
                <w:sz w:val="1"/>
                <w:szCs w:val="1"/>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412,000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173,948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236,363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924,503</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198,790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98,616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197,980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270,363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765,749</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397,580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9"/>
              </w:rPr>
              <w:t>98,616</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197,980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270,363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964,539</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F. Reath</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206,000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249,695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701,962</w:t>
            </w:r>
          </w:p>
        </w:tc>
        <w:tc>
          <w:tcPr>
            <w:tcW w:w="0" w:type="dxa"/>
            <w:vAlign w:val="bottom"/>
          </w:tcPr>
          <w:p>
            <w:pPr>
              <w:spacing w:after="0"/>
              <w:rPr>
                <w:sz w:val="1"/>
                <w:szCs w:val="1"/>
                <w:color w:val="auto"/>
              </w:rPr>
            </w:pPr>
          </w:p>
        </w:tc>
      </w:tr>
      <w:tr>
        <w:trPr>
          <w:trHeight w:val="210"/>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412,000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102,192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249,695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907,962</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760" w:right="140" w:hanging="378"/>
        <w:spacing w:after="0" w:line="233"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Amended Employment Agreement as of February 1, 2025,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67" w:lineRule="exact"/>
        <w:rPr>
          <w:rFonts w:ascii="Times New Roman" w:cs="Times New Roman" w:eastAsia="Times New Roman" w:hAnsi="Times New Roman"/>
          <w:sz w:val="14"/>
          <w:szCs w:val="14"/>
          <w:color w:val="auto"/>
        </w:rPr>
      </w:pPr>
    </w:p>
    <w:p>
      <w:pPr>
        <w:ind w:left="760" w:right="460" w:hanging="378"/>
        <w:spacing w:after="0" w:line="264"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actual incentive earned for 2024 AIP. See “</w:t>
      </w:r>
      <w:r>
        <w:rPr>
          <w:rFonts w:ascii="Times New Roman" w:cs="Times New Roman" w:eastAsia="Times New Roman" w:hAnsi="Times New Roman"/>
          <w:sz w:val="14"/>
          <w:szCs w:val="14"/>
          <w:i w:val="1"/>
          <w:iCs w:val="1"/>
          <w:color w:val="auto"/>
        </w:rPr>
        <w:t>Compensation Discussion and Analysis - Compensation Components and Fiscal 2024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Decisions - Discretionary Cash and Equity Awards</w:t>
      </w:r>
      <w:r>
        <w:rPr>
          <w:rFonts w:ascii="Times New Roman" w:cs="Times New Roman" w:eastAsia="Times New Roman" w:hAnsi="Times New Roman"/>
          <w:sz w:val="14"/>
          <w:szCs w:val="14"/>
          <w:color w:val="auto"/>
        </w:rPr>
        <w:t>” for more information regarding this award.</w:t>
      </w:r>
    </w:p>
    <w:p>
      <w:pPr>
        <w:spacing w:after="0" w:line="52" w:lineRule="exact"/>
        <w:rPr>
          <w:rFonts w:ascii="Times New Roman" w:cs="Times New Roman" w:eastAsia="Times New Roman" w:hAnsi="Times New Roman"/>
          <w:sz w:val="14"/>
          <w:szCs w:val="14"/>
          <w:color w:val="auto"/>
        </w:rPr>
      </w:pPr>
    </w:p>
    <w:p>
      <w:pPr>
        <w:ind w:left="760" w:right="20" w:hanging="378"/>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RSUs and stock options under our 2021-2023 LTIP, 2022-2024 LTIP, 2023-2025 LTIP and 2024-2026 LTIP. Because the respective performance periods for the 2021-2023 LTIP and 2022-2024 LTIP would have been complete as of February 1, 2025, all outstanding awards would have become fully vested under both a Qualifying Termination and Qualifying Termination due to a change in control. Because the 2023-2025 LTIP would have completed the second year of its performance period and the 2024-2026 LTIP would have completed the first year of its performance period, as of February 1, 2025, each participant would have vested in RSUs and stock options based on a pro-rata vesting percentage, which is calculated based on the number of effective days of participation over the total number of days in the performance period.</w:t>
      </w:r>
    </w:p>
    <w:p>
      <w:pPr>
        <w:spacing w:after="0" w:line="194" w:lineRule="exact"/>
        <w:rPr>
          <w:rFonts w:ascii="Times New Roman" w:cs="Times New Roman" w:eastAsia="Times New Roman" w:hAnsi="Times New Roman"/>
          <w:sz w:val="14"/>
          <w:szCs w:val="14"/>
          <w:color w:val="auto"/>
        </w:rPr>
      </w:pPr>
    </w:p>
    <w:p>
      <w:pPr>
        <w:ind w:left="760" w:right="60" w:hanging="378"/>
        <w:spacing w:after="0" w:line="231"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actual performance award earned under the 2022-2024 LTIP. Because the performance periods for the 2023-2025 LTIP and the 2024-2026 LTIP were not complete as of February 1, 2025,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For a Qualifying Termination due to a change in control, each participant would be entitled to receive a pro-rated vesting percentage at the date of the change in control at target. Mr. Kanter’s 573,000 PSUs would forfeit unexercised unless, during the 30 days following his termination, a performance target is achieved. In such case, he would be entitled to any unvested PSUs that would have vested as though he had not been terminated.</w:t>
      </w:r>
    </w:p>
    <w:p>
      <w:pPr>
        <w:spacing w:after="0" w:line="69" w:lineRule="exact"/>
        <w:rPr>
          <w:rFonts w:ascii="Times New Roman" w:cs="Times New Roman" w:eastAsia="Times New Roman" w:hAnsi="Times New Roman"/>
          <w:sz w:val="14"/>
          <w:szCs w:val="14"/>
          <w:color w:val="auto"/>
        </w:rPr>
      </w:pPr>
    </w:p>
    <w:p>
      <w:pPr>
        <w:ind w:left="760" w:right="120" w:hanging="378"/>
        <w:spacing w:after="0" w:line="241"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time-based RSUs awards that would vest upon an assumed termination on February 1, 2025 were valued using the closing stock price of our stock on January 31, 2025 of $2.72 per share. The value of all outstanding stock options that would become exercisable upon an assumed termination on February 1, 2025 were valued using the spread between the closing stock price of our stock on January 31, 2025 and the respective exercise price of such stock option.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Clawback Policies</w:t>
      </w:r>
    </w:p>
    <w:p>
      <w:pPr>
        <w:spacing w:after="0" w:line="11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212121"/>
        </w:rPr>
        <w:t>Executive Clawback Policy</w:t>
      </w:r>
      <w:r>
        <w:rPr>
          <w:rFonts w:ascii="Times New Roman" w:cs="Times New Roman" w:eastAsia="Times New Roman" w:hAnsi="Times New Roman"/>
          <w:sz w:val="18"/>
          <w:szCs w:val="18"/>
          <w:color w:val="212121"/>
        </w:rPr>
        <w:t>. The Board adopted a</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(the “Executive</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52525"/>
        </w:rPr>
        <w:t>Clawback</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212121"/>
        </w:rPr>
        <w:t>Policy”) that complies with the final SEC</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regulations</w:t>
      </w:r>
      <w:r>
        <w:rPr>
          <w:rFonts w:ascii="Times New Roman" w:cs="Times New Roman" w:eastAsia="Times New Roman" w:hAnsi="Times New Roman"/>
          <w:sz w:val="18"/>
          <w:szCs w:val="18"/>
          <w:i w:val="1"/>
          <w:iCs w:val="1"/>
          <w:color w:val="212121"/>
        </w:rPr>
        <w:t xml:space="preserve"> </w:t>
      </w:r>
      <w:r>
        <w:rPr>
          <w:rFonts w:ascii="Times New Roman" w:cs="Times New Roman" w:eastAsia="Times New Roman" w:hAnsi="Times New Roman"/>
          <w:sz w:val="18"/>
          <w:szCs w:val="18"/>
          <w:color w:val="000000"/>
        </w:rPr>
        <w:t>mandated by the Dodd-Frank Act and Nasdaq Listing Rule 5608. The Executive Clawback Policy provides for repayment of incentive-based compensation in the event of an accounting restatement resulting from noncompliance with financial reporting requirements under federal securities laws. The policy applies to current and former executives and requires reimbursement or forfeiture of any excess incentive compensation received by an executive during the three completed fiscal years immediately preceding the date on which the Company is required to prepare an accounting restatement. The Executive Clawback Policy is in addition to the Company’s other clawback policies and provisions described below.</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Other Clawback Policies and Provisions</w:t>
      </w:r>
      <w:r>
        <w:rPr>
          <w:rFonts w:ascii="Times New Roman" w:cs="Times New Roman" w:eastAsia="Times New Roman" w:hAnsi="Times New Roman"/>
          <w:sz w:val="18"/>
          <w:szCs w:val="18"/>
          <w:color w:val="auto"/>
        </w:rPr>
        <w:t>. Our employment agreements with members of our senior management and our long-term incentive plans contain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provisions that provide for remedies in the event that we learn, after a senior executive is terminated by us other than for “justifiable cause,” that the senior executive could have been terminated for “justifiable cause.” In addition, since August 2018, we have had an executive incentive pay clawback policy that permits the Company to recover incentive-based cash and/or equity compensation from current and former executive officers of the Company in certain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Policies and Practices Related to the Timing of Grants of Certain Equity Awards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have any formal policies and practices regarding the timing of awards of options in relation to material non-public information (“MNPI”). The Compensation Committee is solely responsible for the approval of equity stock option awards made to our CEO and other NEOs. The Compensation Committee and the General Counsel monitor our equity grant practices to ensure that such practices comply with governing regulations and are consistent with good corporate practice. Although we do not have any formal policies and practices with respect to the timing of awards of options, the Compensation Committee generally grants equity awards on a predetermined schedule and the Board and the Compensation Committee do not take MNPI into account when determining the timing and terms of such awards. In addition, we do not grant equity awards in anticipation of the release of MNPI, and we do not time the disclosure of MNPI for the purpose of affecting the value of executive compensation.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majority of equity awards granted on an annual basis are pursuant to our LTIP. Under the LTIP, the Compensation Committee must annually approve the three-year performance target(s) within the first 25% of the applicable three-year performance period to be effective. Historically, the Compensation Committee has discussed and approved such targets during one of its meetings in the spring of the first year of the performance period, at which time it will also approve the grant of time-based awards under the applicable LTIP and the grant of any performance-based awards earned under a prior year’s completed LTIP. Such awards may be granted, at the sole discretion of the Compensation Committee, as a combination of cash, stock options or RSUs. Because the Compensation Committee’s approval of such awards is likely to occur prior to our release of fiscal year earnings and we therefore possess MNPI, the Compensation Committee sets a future grant date that is first subject to the Audit Committee’s approval of the recently concluded fiscal year’s financial results and the filing of our Annual Report on Form 10-K and/or the furnishing of our earnings release, which has historically been greater than four days.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Committee may also make off-cycle grants throughout the year in connection with new hires, promotions or role transitions. The timing of the grant is generally tied to the event giving rise to the award, such as an executive officer’s commencement of employment or a promotion effective date. As a result, the timing of the grant occurs independent of the release of any MNPI. During fiscal 2024, we had no grants of stock options or similar equity instruments.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plan-based awards granted to the Named Executive Officers in fiscal 2024.</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GRANTS OF PLAN-BASED AWARDS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6"/>
            <w:vMerge w:val="restart"/>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9"/>
              </w:rPr>
              <w:t>Estimated Future Payouts</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Estimated Future Payouts</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0"/>
        </w:trPr>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6"/>
            <w:vMerge w:val="continue"/>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00" w:type="dxa"/>
            <w:vAlign w:val="bottom"/>
          </w:tcPr>
          <w:p>
            <w:pPr>
              <w:spacing w:after="0"/>
              <w:rPr>
                <w:sz w:val="9"/>
                <w:szCs w:val="9"/>
                <w:color w:val="auto"/>
              </w:rPr>
            </w:pPr>
          </w:p>
        </w:tc>
        <w:tc>
          <w:tcPr>
            <w:tcW w:w="5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9"/>
                <w:szCs w:val="9"/>
                <w:color w:val="auto"/>
              </w:rPr>
            </w:pPr>
          </w:p>
        </w:tc>
        <w:tc>
          <w:tcPr>
            <w:tcW w:w="5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 Equity</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Underlyin</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Incentive Plan Awards</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w:t>
            </w:r>
          </w:p>
        </w:tc>
        <w:tc>
          <w:tcPr>
            <w:tcW w:w="2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99"/>
        </w:trPr>
        <w:tc>
          <w:tcPr>
            <w:tcW w:w="2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Maximu</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Inception</w:t>
            </w:r>
          </w:p>
        </w:tc>
        <w:tc>
          <w:tcPr>
            <w:tcW w:w="120" w:type="dxa"/>
            <w:vAlign w:val="bottom"/>
          </w:tcPr>
          <w:p>
            <w:pPr>
              <w:spacing w:after="0"/>
              <w:rPr>
                <w:sz w:val="10"/>
                <w:szCs w:val="10"/>
                <w:color w:val="auto"/>
              </w:rPr>
            </w:pPr>
          </w:p>
        </w:tc>
        <w:tc>
          <w:tcPr>
            <w:tcW w:w="5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Threshold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58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240" w:type="dxa"/>
            <w:vAlign w:val="bottom"/>
          </w:tcPr>
          <w:p>
            <w:pPr>
              <w:spacing w:after="0"/>
              <w:rPr>
                <w:sz w:val="10"/>
                <w:szCs w:val="10"/>
                <w:color w:val="auto"/>
              </w:rPr>
            </w:pPr>
          </w:p>
        </w:tc>
        <w:tc>
          <w:tcPr>
            <w:tcW w:w="62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10"/>
                <w:szCs w:val="10"/>
                <w:color w:val="auto"/>
              </w:rPr>
            </w:pPr>
          </w:p>
        </w:tc>
        <w:tc>
          <w:tcPr>
            <w:tcW w:w="4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m</w:t>
            </w:r>
          </w:p>
        </w:tc>
        <w:tc>
          <w:tcPr>
            <w:tcW w:w="2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or Units</w:t>
            </w:r>
          </w:p>
        </w:tc>
        <w:tc>
          <w:tcPr>
            <w:tcW w:w="20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37"/>
        </w:trPr>
        <w:tc>
          <w:tcPr>
            <w:tcW w:w="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Date</w:t>
            </w: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93"/>
              </w:rPr>
              <w:t>)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7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 Sh)</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20" w:type="dxa"/>
            <w:vAlign w:val="bottom"/>
            <w:gridSpan w:val="2"/>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Harvey S. Kanter</w:t>
            </w:r>
          </w:p>
        </w:tc>
        <w:tc>
          <w:tcPr>
            <w:tcW w:w="62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850,000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1,700,000</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4/1/2024</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2/4/2024</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101,760</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361,249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4/1/2024</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2/4/2024</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180,625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4"/>
              </w:rPr>
              <w:t>180,625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361,250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541,875</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w w:val="88"/>
              </w:rPr>
              <w:t>Peter</w:t>
            </w:r>
          </w:p>
        </w:tc>
        <w:tc>
          <w:tcPr>
            <w:tcW w:w="21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H. Stratton, Jr.</w:t>
            </w: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49,911</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249,554</w:t>
            </w:r>
          </w:p>
        </w:tc>
        <w:tc>
          <w:tcPr>
            <w:tcW w:w="260" w:type="dxa"/>
            <w:vAlign w:val="bottom"/>
          </w:tcPr>
          <w:p>
            <w:pPr>
              <w:spacing w:after="0"/>
              <w:rPr>
                <w:sz w:val="10"/>
                <w:szCs w:val="10"/>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374,331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91,575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25,795</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91,571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137,363</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45,788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91,575</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137,363</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Anthony J. Gaeta</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40,877</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204,385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306,577</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19,718</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Robert S. Molloy</w:t>
            </w: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39,446</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197,231</w:t>
            </w:r>
          </w:p>
        </w:tc>
        <w:tc>
          <w:tcPr>
            <w:tcW w:w="260" w:type="dxa"/>
            <w:vAlign w:val="bottom"/>
          </w:tcPr>
          <w:p>
            <w:pPr>
              <w:spacing w:after="0"/>
              <w:rPr>
                <w:sz w:val="10"/>
                <w:szCs w:val="10"/>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295,847</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0" w:type="dxa"/>
            <w:vAlign w:val="bottom"/>
          </w:tcPr>
          <w:p>
            <w:pPr>
              <w:spacing w:after="0"/>
              <w:rPr>
                <w:sz w:val="10"/>
                <w:szCs w:val="10"/>
                <w:color w:val="auto"/>
              </w:rPr>
            </w:pPr>
          </w:p>
        </w:tc>
        <w:tc>
          <w:tcPr>
            <w:tcW w:w="21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67,550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19,028</w:t>
            </w:r>
          </w:p>
        </w:tc>
        <w:tc>
          <w:tcPr>
            <w:tcW w:w="200" w:type="dxa"/>
            <w:vAlign w:val="bottom"/>
          </w:tcPr>
          <w:p>
            <w:pPr>
              <w:spacing w:after="0"/>
              <w:rPr>
                <w:sz w:val="10"/>
                <w:szCs w:val="10"/>
                <w:color w:val="auto"/>
              </w:rPr>
            </w:pPr>
          </w:p>
        </w:tc>
        <w:tc>
          <w:tcPr>
            <w:tcW w:w="500" w:type="dxa"/>
            <w:vAlign w:val="bottom"/>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520" w:type="dxa"/>
            <w:vAlign w:val="bottom"/>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67,550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60" w:type="dxa"/>
            <w:vAlign w:val="bottom"/>
          </w:tcPr>
          <w:p>
            <w:pPr>
              <w:spacing w:after="0"/>
              <w:rPr>
                <w:sz w:val="11"/>
                <w:szCs w:val="11"/>
                <w:color w:val="auto"/>
              </w:rPr>
            </w:pPr>
          </w:p>
        </w:tc>
        <w:tc>
          <w:tcPr>
            <w:tcW w:w="100" w:type="dxa"/>
            <w:vAlign w:val="bottom"/>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101,325</w:t>
            </w:r>
          </w:p>
        </w:tc>
        <w:tc>
          <w:tcPr>
            <w:tcW w:w="50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33,775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67,550</w:t>
            </w:r>
          </w:p>
        </w:tc>
        <w:tc>
          <w:tcPr>
            <w:tcW w:w="22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101,325</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32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James F. Reath</w:t>
            </w:r>
          </w:p>
        </w:tc>
        <w:tc>
          <w:tcPr>
            <w:tcW w:w="6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 AIP (2)</w:t>
            </w:r>
          </w:p>
        </w:tc>
        <w:tc>
          <w:tcPr>
            <w:tcW w:w="6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4/27/2023</w:t>
            </w:r>
          </w:p>
        </w:tc>
        <w:tc>
          <w:tcPr>
            <w:tcW w:w="24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40,877</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204,385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306,577</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2024-2026 LTIP, Time-Based (3)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1/29/2023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19,718</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2024-2026 LTIP, Performance-Based (3)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5/1/2023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1/29/2023</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50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right="40" w:hanging="378"/>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and are accounted for as a liability during the performance period. The actual grant date of equity awards, if any, will occur only if the performance targets are achieved and only if the Compensation Committee were to decide to grant a portion or all of the award in the form of equity. For purposes of this table, it is assumed that any performance-based award earned under the 2024-2026 LTIP would be granted in a combination of 50% cash and 50% equity. See footnote 3 below for additional information on the 2024-2026 LTIP.</w:t>
      </w:r>
    </w:p>
    <w:p>
      <w:pPr>
        <w:spacing w:after="0" w:line="183"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the target payout assumes 100%, and the maximum payout assumes 150% of the payout targets under the 2024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2024 Compensation Decisions - Performance-based annual incentive plan – 2024 AIP</w:t>
      </w:r>
      <w:r>
        <w:rPr>
          <w:rFonts w:ascii="Times New Roman" w:cs="Times New Roman" w:eastAsia="Times New Roman" w:hAnsi="Times New Roman"/>
          <w:sz w:val="18"/>
          <w:szCs w:val="18"/>
          <w:color w:val="auto"/>
        </w:rPr>
        <w:t>” for more information on the targets set under the 2024 AIP. The respective actual cash payment made to each of the Named Executive Officers under the 2024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2024.</w:t>
      </w:r>
    </w:p>
    <w:p>
      <w:pPr>
        <w:spacing w:after="0" w:line="183" w:lineRule="exact"/>
        <w:rPr>
          <w:rFonts w:ascii="Times New Roman" w:cs="Times New Roman" w:eastAsia="Times New Roman" w:hAnsi="Times New Roman"/>
          <w:sz w:val="18"/>
          <w:szCs w:val="18"/>
          <w:color w:val="auto"/>
        </w:rPr>
      </w:pPr>
    </w:p>
    <w:p>
      <w:pPr>
        <w:ind w:left="760" w:right="20" w:hanging="378"/>
        <w:spacing w:after="0" w:line="253"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 2024, the Compensation Committee approved the performance target for the 2024-2026 LTIP. The performance-based awards represent 50% of the total potential payout under the 2024-2026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and only if the Compensation Committee decides to grant a portion or all of the award in equity. The remaining 50% of the total potential payout under the 2024-2026 LTIP represents time-based awards, which were granted 50% cash and 50% in RSUs. The above table reflects the cash award and the RSUs that were granted on April 1, 2024. The cash award and the RSUs vest in four equal tranches, with the first tranche vesting on April 1, 2025 and the remaining tranches vesting on April 1, 2026, April 1, 2027, and April 1, 2028. See “</w:t>
      </w:r>
      <w:r>
        <w:rPr>
          <w:rFonts w:ascii="Times New Roman" w:cs="Times New Roman" w:eastAsia="Times New Roman" w:hAnsi="Times New Roman"/>
          <w:sz w:val="18"/>
          <w:szCs w:val="18"/>
          <w:i w:val="1"/>
          <w:iCs w:val="1"/>
          <w:color w:val="auto"/>
        </w:rPr>
        <w:t>Compensation Components and Fiscal 2024 Compensation Decisions - Long-term incentive plans - 2024-2026 Performance Period</w:t>
      </w:r>
      <w:r>
        <w:rPr>
          <w:rFonts w:ascii="Times New Roman" w:cs="Times New Roman" w:eastAsia="Times New Roman" w:hAnsi="Times New Roman"/>
          <w:sz w:val="18"/>
          <w:szCs w:val="18"/>
          <w:color w:val="auto"/>
        </w:rPr>
        <w:t>” above for more information on the targets.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held by the Named Executive Officers at the end of fiscal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OUTSTANDING EQUITY AWARDS AT FISCAL YEAR-END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9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1140" w:type="dxa"/>
            <w:vAlign w:val="bottom"/>
          </w:tcPr>
          <w:p>
            <w:pPr>
              <w:jc w:val="center"/>
              <w:ind w:left="173"/>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Plan</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of</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Payout Value</w:t>
            </w:r>
          </w:p>
        </w:tc>
        <w:tc>
          <w:tcPr>
            <w:tcW w:w="0" w:type="dxa"/>
            <w:vAlign w:val="bottom"/>
          </w:tcPr>
          <w:p>
            <w:pPr>
              <w:spacing w:after="0"/>
              <w:rPr>
                <w:sz w:val="1"/>
                <w:szCs w:val="1"/>
                <w:color w:val="auto"/>
              </w:rPr>
            </w:pPr>
          </w:p>
        </w:tc>
      </w:tr>
      <w:tr>
        <w:trPr>
          <w:trHeight w:val="138"/>
        </w:trPr>
        <w:tc>
          <w:tcPr>
            <w:tcW w:w="1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line="139"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1080" w:type="dxa"/>
            <w:vAlign w:val="bottom"/>
          </w:tcPr>
          <w:p>
            <w:pPr>
              <w:jc w:val="center"/>
              <w:ind w:lef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140" w:type="dxa"/>
            <w:vAlign w:val="bottom"/>
          </w:tcPr>
          <w:p>
            <w:pPr>
              <w:jc w:val="center"/>
              <w:ind w:left="173"/>
              <w:spacing w:after="0" w:line="139" w:lineRule="exact"/>
              <w:rPr>
                <w:sz w:val="20"/>
                <w:szCs w:val="20"/>
                <w:color w:val="auto"/>
              </w:rPr>
            </w:pPr>
            <w:r>
              <w:rPr>
                <w:rFonts w:ascii="Times New Roman" w:cs="Times New Roman" w:eastAsia="Times New Roman" w:hAnsi="Times New Roman"/>
                <w:sz w:val="13"/>
                <w:szCs w:val="13"/>
                <w:b w:val="1"/>
                <w:bCs w:val="1"/>
                <w:color w:val="auto"/>
              </w:rPr>
              <w:t>of Unearned</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114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or</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94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That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 That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86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2"/>
                <w:szCs w:val="12"/>
                <w:color w:val="auto"/>
              </w:rPr>
            </w:pPr>
          </w:p>
        </w:tc>
        <w:tc>
          <w:tcPr>
            <w:tcW w:w="86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Have</w:t>
            </w: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0" w:type="dxa"/>
            <w:vAlign w:val="bottom"/>
            <w:tcBorders>
              <w:bottom w:val="single" w:sz="8" w:color="auto"/>
            </w:tcBorders>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Price</w:t>
            </w:r>
          </w:p>
        </w:tc>
        <w:tc>
          <w:tcPr>
            <w:tcW w:w="860" w:type="dxa"/>
            <w:vAlign w:val="bottom"/>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20" w:type="dxa"/>
            <w:vAlign w:val="bottom"/>
          </w:tcPr>
          <w:p>
            <w:pPr>
              <w:spacing w:after="0"/>
              <w:rPr>
                <w:sz w:val="14"/>
                <w:szCs w:val="14"/>
                <w:color w:val="auto"/>
              </w:rPr>
            </w:pPr>
          </w:p>
        </w:tc>
        <w:tc>
          <w:tcPr>
            <w:tcW w:w="860" w:type="dxa"/>
            <w:vAlign w:val="bottom"/>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0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14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42"/>
        </w:trPr>
        <w:tc>
          <w:tcPr>
            <w:tcW w:w="14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Unexercisable</w:t>
            </w:r>
          </w:p>
        </w:tc>
        <w:tc>
          <w:tcPr>
            <w:tcW w:w="8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left="3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left="73"/>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c>
          <w:tcPr>
            <w:tcW w:w="980" w:type="dxa"/>
            <w:vAlign w:val="bottom"/>
            <w:gridSpan w:val="2"/>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ind w:left="1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center"/>
              <w:ind w:left="193"/>
              <w:spacing w:after="0" w:line="142" w:lineRule="exact"/>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340" w:type="dxa"/>
            <w:vAlign w:val="bottom"/>
            <w:tcBorders>
              <w:top w:val="single" w:sz="8" w:color="auto"/>
            </w:tcBorders>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Harvey S. Kanter</w:t>
            </w: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573,000</w:t>
            </w:r>
          </w:p>
        </w:tc>
        <w:tc>
          <w:tcPr>
            <w:tcW w:w="440" w:type="dxa"/>
            <w:vAlign w:val="bottom"/>
            <w:shd w:val="clear" w:color="auto" w:fill="CFF0FC"/>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182,086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35,981</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97,868</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61,717</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167,870</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101,760</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276,787</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0.64</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6/10/2030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167,980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83,990</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70,843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Peter H. Stratton, Jr.</w:t>
            </w:r>
          </w:p>
        </w:tc>
        <w:tc>
          <w:tcPr>
            <w:tcW w:w="12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175,636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10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55,758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18,586</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9,121</w:t>
            </w:r>
          </w:p>
        </w:tc>
        <w:tc>
          <w:tcPr>
            <w:tcW w:w="400" w:type="dxa"/>
            <w:vAlign w:val="bottom"/>
            <w:vMerge w:val="continue"/>
          </w:tcPr>
          <w:p>
            <w:pPr>
              <w:spacing w:after="0"/>
              <w:rPr>
                <w:sz w:val="9"/>
                <w:szCs w:val="9"/>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24,809</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15,644</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42,552</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25,795</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70,162</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Anthony J. Gaeta</w:t>
            </w:r>
          </w:p>
        </w:tc>
        <w:tc>
          <w:tcPr>
            <w:tcW w:w="112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146,108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ind w:left="76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shd w:val="clear" w:color="auto" w:fill="CFF0FC"/>
          </w:tcPr>
          <w:p>
            <w:pPr>
              <w:jc w:val="center"/>
              <w:ind w:left="128"/>
              <w:spacing w:after="0" w:line="126" w:lineRule="exact"/>
              <w:rPr>
                <w:sz w:val="20"/>
                <w:szCs w:val="20"/>
                <w:color w:val="auto"/>
              </w:rPr>
            </w:pPr>
            <w:r>
              <w:rPr>
                <w:rFonts w:ascii="Times New Roman" w:cs="Times New Roman" w:eastAsia="Times New Roman" w:hAnsi="Times New Roman"/>
                <w:sz w:val="14"/>
                <w:szCs w:val="14"/>
                <w:color w:val="auto"/>
              </w:rPr>
              <w:t>6/11/2030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41,642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7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13,880</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shd w:val="clear" w:color="auto" w:fill="CFF0FC"/>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15,406</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9,716</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26,428</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19,718</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53,633</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1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125,731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6/11/2030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112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32,934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7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17,645</w:t>
            </w:r>
          </w:p>
        </w:tc>
        <w:tc>
          <w:tcPr>
            <w:tcW w:w="320" w:type="dxa"/>
            <w:vAlign w:val="bottom"/>
          </w:tcPr>
          <w:p>
            <w:pPr>
              <w:jc w:val="center"/>
              <w:ind w:left="28"/>
              <w:spacing w:after="0" w:line="151" w:lineRule="exact"/>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18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0.69</w:t>
            </w:r>
          </w:p>
        </w:tc>
        <w:tc>
          <w:tcPr>
            <w:tcW w:w="920" w:type="dxa"/>
            <w:vAlign w:val="bottom"/>
            <w:gridSpan w:val="2"/>
          </w:tcPr>
          <w:p>
            <w:pPr>
              <w:jc w:val="center"/>
              <w:ind w:left="128"/>
              <w:spacing w:after="0" w:line="151" w:lineRule="exact"/>
              <w:rPr>
                <w:sz w:val="20"/>
                <w:szCs w:val="20"/>
                <w:color w:val="auto"/>
              </w:rPr>
            </w:pPr>
            <w:r>
              <w:rPr>
                <w:rFonts w:ascii="Times New Roman" w:cs="Times New Roman" w:eastAsia="Times New Roman" w:hAnsi="Times New Roman"/>
                <w:sz w:val="14"/>
                <w:szCs w:val="14"/>
                <w:color w:val="auto"/>
              </w:rPr>
              <w:t>3/8/2031</w:t>
            </w:r>
          </w:p>
        </w:tc>
        <w:tc>
          <w:tcPr>
            <w:tcW w:w="12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3"/>
                <w:szCs w:val="13"/>
                <w:color w:val="auto"/>
              </w:rPr>
            </w:pPr>
          </w:p>
        </w:tc>
        <w:tc>
          <w:tcPr>
            <w:tcW w:w="10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14,287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9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3/9/2031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6,728</w:t>
            </w:r>
          </w:p>
        </w:tc>
        <w:tc>
          <w:tcPr>
            <w:tcW w:w="400" w:type="dxa"/>
            <w:vAlign w:val="bottom"/>
            <w:vMerge w:val="continue"/>
          </w:tcPr>
          <w:p>
            <w:pPr>
              <w:spacing w:after="0"/>
              <w:rPr>
                <w:sz w:val="9"/>
                <w:szCs w:val="9"/>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9"/>
                <w:szCs w:val="9"/>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31,389</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19,028</w:t>
            </w:r>
          </w:p>
        </w:tc>
        <w:tc>
          <w:tcPr>
            <w:tcW w:w="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51,756</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James F. Reath</w:t>
            </w:r>
          </w:p>
        </w:tc>
        <w:tc>
          <w:tcPr>
            <w:tcW w:w="11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center"/>
              <w:ind w:left="28"/>
              <w:spacing w:after="0" w:line="126"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9/26/2032</w:t>
            </w:r>
          </w:p>
        </w:tc>
        <w:tc>
          <w:tcPr>
            <w:tcW w:w="12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120" w:type="dxa"/>
            <w:vAlign w:val="bottom"/>
            <w:gridSpan w:val="3"/>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320" w:type="dxa"/>
            <w:vAlign w:val="bottom"/>
            <w:shd w:val="clear" w:color="auto" w:fill="CFF0FC"/>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96"/>
              </w:rPr>
              <w:t>(10</w:t>
            </w:r>
          </w:p>
        </w:tc>
        <w:tc>
          <w:tcPr>
            <w:tcW w:w="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920" w:type="dxa"/>
            <w:vAlign w:val="bottom"/>
            <w:gridSpan w:val="2"/>
            <w:vMerge w:val="restart"/>
            <w:shd w:val="clear" w:color="auto" w:fill="CFF0FC"/>
          </w:tcPr>
          <w:p>
            <w:pPr>
              <w:jc w:val="center"/>
              <w:ind w:left="128"/>
              <w:spacing w:after="0"/>
              <w:rPr>
                <w:sz w:val="20"/>
                <w:szCs w:val="20"/>
                <w:color w:val="auto"/>
              </w:rPr>
            </w:pPr>
            <w:r>
              <w:rPr>
                <w:rFonts w:ascii="Times New Roman" w:cs="Times New Roman" w:eastAsia="Times New Roman" w:hAnsi="Times New Roman"/>
                <w:sz w:val="14"/>
                <w:szCs w:val="14"/>
                <w:color w:val="auto"/>
              </w:rPr>
              <w:t>9/26/2032</w:t>
            </w: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32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400" w:type="dxa"/>
            <w:vAlign w:val="bottom"/>
            <w:vMerge w:val="continue"/>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14,052</w:t>
            </w:r>
          </w:p>
        </w:tc>
        <w:tc>
          <w:tcPr>
            <w:tcW w:w="2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10,947</w:t>
            </w:r>
          </w:p>
        </w:tc>
        <w:tc>
          <w:tcPr>
            <w:tcW w:w="4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29,776</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11,959</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32,528</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19,718</w:t>
            </w:r>
          </w:p>
        </w:tc>
        <w:tc>
          <w:tcPr>
            <w:tcW w:w="40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53,633</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$2.72 on February 1, 2025.</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an award granted to Mr. Kanter in August 2023 in connection with the extension of his employment agreement. The award will vest, if at all, in nine installments when the trailing 30-day volume-weighted average closing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price of a share of the Company’s common stock meets or exceeds $6.50, $6.75, $7.00, $7.25, $7.50, $7.75, $8.00, $8.25 and $8.50, respectively, subject to a minimum one-year vesting from the date of grant. Any unvested PSUs will expire on August 11, 2026. The fair value of the PSUs at February 1, 2025 was determined using a Monte Carlo valuation model.</w:t>
      </w:r>
    </w:p>
    <w:p>
      <w:pPr>
        <w:spacing w:after="0" w:line="68" w:lineRule="exact"/>
        <w:rPr>
          <w:sz w:val="20"/>
          <w:szCs w:val="20"/>
          <w:color w:val="auto"/>
        </w:rPr>
      </w:pPr>
    </w:p>
    <w:p>
      <w:pPr>
        <w:ind w:left="760" w:right="24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April 9, 2022 in connection with our 2022-2024 LTIP. These awards vest in two remaining equal tranches on April 1, 2025 and April 1, 2026.</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May 1, 2023 in connection with our 2023-2025 LTIP. These awards vest in three remaining equal tranches on April 1, 2025, April 1, 2026 and April 1, 2027.</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RSUs granted on April 1, 2024 in connection with our 2024-2026 LTIP. These awards vest in four equal tranches on April 1, 2025, April 1, 2026, April 1, 2027 and April 1, 2028.</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vested in three equal tranches.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The last tranche of these awards became fully vested on April 1, 2025.</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the active members of management who were participants in the 2018-2020 LTIP. All remaining outstanding stock options are fully vested.</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pro-rata grant of stock options on September 26, 2022 to Mr. Reath in connection with his hiring related to the time-based portion of the 2020-2022 LTIP, the 2021-2023 LTIP and the 2022-2024 LTIP.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the unvested portion of Mr. Reath's new hire award, which will vest in October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Table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Named Executive Officers with respect to the exercise of option awards and the vesting of stock awards during fiscal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OPTION EXERCISES AND STOCK VESTED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680" w:type="dxa"/>
            <w:vAlign w:val="bottom"/>
            <w:gridSpan w:val="5"/>
          </w:tcPr>
          <w:p>
            <w:pPr>
              <w:ind w:left="88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125"/>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Value Realized</w:t>
            </w: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on Exercise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on Vesting</w:t>
            </w:r>
          </w:p>
        </w:tc>
      </w:tr>
      <w:tr>
        <w:trPr>
          <w:trHeight w:val="165"/>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($)(1)</w:t>
            </w: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 (3)</w:t>
            </w:r>
          </w:p>
        </w:tc>
        <w:tc>
          <w:tcPr>
            <w:tcW w:w="100" w:type="dxa"/>
            <w:vAlign w:val="bottom"/>
          </w:tcPr>
          <w:p>
            <w:pPr>
              <w:spacing w:after="0"/>
              <w:rPr>
                <w:sz w:val="14"/>
                <w:szCs w:val="14"/>
                <w:color w:val="auto"/>
              </w:rPr>
            </w:pPr>
          </w:p>
        </w:tc>
      </w:tr>
      <w:tr>
        <w:trPr>
          <w:trHeight w:val="210"/>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38,562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130,800</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9,775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33,156</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20,596</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69,406</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24,459</w:t>
            </w: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F. Reath</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17,515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53,618</w:t>
            </w:r>
          </w:p>
        </w:tc>
      </w:tr>
    </w:tbl>
    <w:p>
      <w:pPr>
        <w:spacing w:after="0" w:line="211" w:lineRule="exact"/>
        <w:rPr>
          <w:sz w:val="20"/>
          <w:szCs w:val="20"/>
          <w:color w:val="auto"/>
        </w:rPr>
      </w:pPr>
    </w:p>
    <w:p>
      <w:pPr>
        <w:ind w:left="1140" w:right="20" w:hanging="383"/>
        <w:spacing w:after="0" w:line="26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the market price of the underlying security on the date of exercise, minus the exercise cost.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1"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2024 include the time-based awards granted under the 2022-2024 LTIP and the 2023-2025 LTIP. The stock awards that vested for Mr. Reath also include the second tranche of his new hire time-based award from fiscal 2022.</w:t>
      </w:r>
    </w:p>
    <w:p>
      <w:pPr>
        <w:spacing w:after="0" w:line="53" w:lineRule="exact"/>
        <w:rPr>
          <w:rFonts w:ascii="Times New Roman" w:cs="Times New Roman" w:eastAsia="Times New Roman" w:hAnsi="Times New Roman"/>
          <w:sz w:val="18"/>
          <w:szCs w:val="18"/>
          <w:color w:val="auto"/>
        </w:rPr>
      </w:pPr>
    </w:p>
    <w:p>
      <w:pPr>
        <w:ind w:left="1140" w:right="60" w:hanging="383"/>
        <w:spacing w:after="0" w:line="26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information with respect to our equity compensation plans as of February 1, 2025: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63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4"/>
          <w:szCs w:val="24"/>
          <w:color w:val="auto"/>
          <w:vertAlign w:val="superscript"/>
        </w:rPr>
        <w:t>(1)</w:t>
      </w:r>
    </w:p>
    <w:p>
      <w:pPr>
        <w:spacing w:after="0" w:line="212" w:lineRule="auto"/>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(3)</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 of securities</w:t>
            </w:r>
          </w:p>
        </w:tc>
      </w:tr>
      <w:tr>
        <w:trPr>
          <w:trHeight w:val="14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remaining available for</w:t>
            </w:r>
          </w:p>
        </w:tc>
      </w:tr>
      <w:tr>
        <w:trPr>
          <w:trHeight w:val="148"/>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Number of securities to be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exercise price of</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future issuance under</w:t>
            </w:r>
          </w:p>
        </w:tc>
      </w:tr>
      <w:tr>
        <w:trPr>
          <w:trHeight w:val="148"/>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issued upon exercise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3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equity compensation plans</w:t>
            </w:r>
          </w:p>
        </w:tc>
      </w:tr>
      <w:tr>
        <w:trPr>
          <w:trHeight w:val="149"/>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outstanding 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options, warrants</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(excluding securities</w:t>
            </w:r>
          </w:p>
        </w:tc>
      </w:tr>
      <w:tr>
        <w:trPr>
          <w:trHeight w:val="148"/>
        </w:trPr>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warrants and rights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and rights</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reflected in column (a))</w:t>
            </w:r>
          </w:p>
        </w:tc>
      </w:tr>
      <w:tr>
        <w:trPr>
          <w:trHeight w:val="165"/>
        </w:trPr>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rPr>
              <w:t>(b)</w:t>
            </w: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(c)</w:t>
            </w:r>
          </w:p>
        </w:tc>
      </w:tr>
      <w:tr>
        <w:trPr>
          <w:trHeight w:val="191"/>
        </w:trPr>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4,769,236</w:t>
            </w:r>
          </w:p>
        </w:tc>
        <w:tc>
          <w:tcPr>
            <w:tcW w:w="120" w:type="dxa"/>
            <w:vAlign w:val="bottom"/>
          </w:tcPr>
          <w:p>
            <w:pPr>
              <w:spacing w:after="0"/>
              <w:rPr>
                <w:sz w:val="18"/>
                <w:szCs w:val="18"/>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0.65 )</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7,481,525</w:t>
            </w:r>
          </w:p>
        </w:tc>
      </w:tr>
      <w:tr>
        <w:trPr>
          <w:trHeight w:val="234"/>
        </w:trPr>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591,925</w:t>
            </w:r>
          </w:p>
        </w:tc>
      </w:tr>
      <w:tr>
        <w:trPr>
          <w:trHeight w:val="210"/>
        </w:trPr>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88"/>
              </w:rPr>
              <w:t>0.65</w:t>
            </w:r>
          </w:p>
        </w:tc>
        <w:tc>
          <w:tcPr>
            <w:tcW w:w="26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8,073,450</w:t>
            </w:r>
          </w:p>
        </w:tc>
        <w:tc>
          <w:tcPr>
            <w:tcW w:w="20" w:type="dxa"/>
            <w:vAlign w:val="bottom"/>
          </w:tcPr>
          <w:p>
            <w:pPr>
              <w:spacing w:after="0"/>
              <w:rPr>
                <w:sz w:val="18"/>
                <w:szCs w:val="18"/>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-719455</wp:posOffset>
            </wp:positionV>
            <wp:extent cx="71323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-161925</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60"/>
          </w:cols>
          <w:pgMar w:left="320" w:top="1202" w:right="339" w:bottom="1440" w:gutter="0" w:footer="0" w:header="0"/>
        </w:sectPr>
      </w:pPr>
    </w:p>
    <w:p>
      <w:pPr>
        <w:spacing w:after="0" w:line="214" w:lineRule="exact"/>
        <w:rPr>
          <w:sz w:val="20"/>
          <w:szCs w:val="20"/>
          <w:color w:val="auto"/>
        </w:rPr>
      </w:pPr>
    </w:p>
    <w:p>
      <w:pPr>
        <w:ind w:left="760" w:right="30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2,971,460 outstanding stock options, 761,081 outstanding RSUs, 573,000 outstanding PSUs and 479,900 outstanding deferred stock awards.</w:t>
      </w:r>
    </w:p>
    <w:p>
      <w:pPr>
        <w:spacing w:after="0" w:line="161"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solely based upon outstanding stock options and excludes RSUs, PSUs and deferred stock awards.</w:t>
      </w:r>
    </w:p>
    <w:p>
      <w:pPr>
        <w:spacing w:after="0" w:line="16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Director Plan, we have 1,500,000 shares authorized for stock issuances in lieu of cash director fees, of which 591,925 shares were available at February 1, 2025. The 16,005 shares outstanding represent RSUs issued in connection with inducement awards that remained outstanding at February 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 Related Party Transactions in Fiscal 2024. </w:t>
      </w:r>
      <w:r>
        <w:rPr>
          <w:rFonts w:ascii="Times New Roman" w:cs="Times New Roman" w:eastAsia="Times New Roman" w:hAnsi="Times New Roman"/>
          <w:sz w:val="18"/>
          <w:szCs w:val="18"/>
          <w:color w:val="auto"/>
        </w:rPr>
        <w:t>Since February 3, 2024, we have not had any relationships or transactions with any of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directors, beneficial owners of more than 5% of our common stock or any immediate family member of such persons that were required to be reported pursuant to Item 404(a) of Regulation S-K. As permitted by SEC rules, discussion of employment relationships or transactions involving the Company’s executive officers and directors, and compensation solely resulting from such employment relationships or transactions, or service as a director of the Company, as the case may be, has been omitted to the extent disclosed in the “Executive Compensation” section or the “Director Compensation” section of this Proxy Statement, as applicable.</w:t>
      </w:r>
    </w:p>
    <w:p>
      <w:pPr>
        <w:spacing w:after="0" w:line="7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Review, Approval or Ratification of Transactions with Related Persons</w:t>
      </w:r>
      <w:r>
        <w:rPr>
          <w:rFonts w:ascii="Times New Roman" w:cs="Times New Roman" w:eastAsia="Times New Roman" w:hAnsi="Times New Roman"/>
          <w:sz w:val="18"/>
          <w:szCs w:val="18"/>
          <w:color w:val="auto"/>
        </w:rPr>
        <w:t>. Pursuant to its charter, the Audit Committee reviews all related-party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ongoing basis and, to the extent required by the Sarbanes-Oxley Act, the SEC or Nasdaq, all such transactions must be approved by the Audit Committee except as otherwise delegated by the Audit Committee to another independent body of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type w:val="continuous"/>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t>Forms 3, 4 and 5 and amendments thereto furnished to us by our officers and directors during fiscal 2024, we believe that the Reporting Persons complied with all applicable Section 16(a) reporting requirements and that all required reports were filed in a timely manner, except that (i) Fund 1 Investments, LLC filed a late Form 3 on May 3, 2024 to report transactions dated March 21, 2024, (ii) Fund 1 Investments, LLC filed a late Form 4 on May 3, 2024 to report transactions dated March 28, 2024, April 12, 2024, April 23, 2024, April 25, 2024, April 26, 2024, April 29, 2024, and May 3, 2024, and (iii) each of Messrs. Gaeta, Kanter, Molloy, Reath and Stratton, Ms. Surette, John F. Cooney, and Stacey A. Jones filed a late Form 4 on April 10, 2024 to report RSUs that vested on April 1, 2024.</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required under the Dodd-Frank Act, and in accordance with the recommendation by our Board and approval by our stockholders in 2023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seek to align the interests of our Named Executive Officers with the interests of our stockholders. The Compensation Committee focuses on total direct compensation paid to our executives, which includes both our annual and long-term incentive programs. A substantial portion of our Named Executive Officers' target compensation is performance based. As such, every year, the Compensation Committee reassesses the effectiveness of our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"Executive Compensation" section of this Proxy Statement, including the "Compensation Discussion and Analysis" section, provides a summary of our financial performance in fiscal 2024 and describes our executive compensation programs and the decisions made by the Compensation Committee with respect to compensation for fiscal 2024. We encourage you to read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for a complete discussion of our executive compensation program, including detailed information about the fiscal 2024 compensation of our Named Executive Officers.</w:t>
      </w:r>
    </w:p>
    <w:p>
      <w:pPr>
        <w:spacing w:after="0" w:line="18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on an advisory basis,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Subject to ratification by our stockholders, the Audit Committee has appointed KPMG LLP (“KPMG”) as our independent registered public accounting firm for the fiscal year ending January 31, 2026, subject to completion of KPMG’s customary client acceptance procedures. KPMG has served as our independent registered public accounting firm since June 6, 2013.</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Representatives of KPMG are expected to be present at the Annual Meeting to respond to appropriate stockholders' questions and to make any statements they consider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fiscal 2024 and fiscal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Fiscal 2023</w:t>
            </w:r>
          </w:p>
        </w:tc>
        <w:tc>
          <w:tcPr>
            <w:tcW w:w="100" w:type="dxa"/>
            <w:vAlign w:val="bottom"/>
          </w:tcPr>
          <w:p>
            <w:pPr>
              <w:spacing w:after="0"/>
              <w:rPr>
                <w:sz w:val="14"/>
                <w:szCs w:val="14"/>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1,084,576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1,025,678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 (2)</w:t>
            </w:r>
          </w:p>
        </w:tc>
        <w:tc>
          <w:tcPr>
            <w:tcW w:w="3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212,407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236,622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3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8"/>
                <w:szCs w:val="18"/>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3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1,298,763</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1,264,080</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760" w:right="40" w:hanging="378"/>
        <w:spacing w:after="0" w:line="26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related to professional services rendered in connection with the audits of our financial statements included in our Annual Report on Form 10-K and services performed related to compliance with Section 404 of the Sarbanes-Oxley Act, reviews of the financial statements included in each of our Quarterly Reports on Form 10-Q, and </w:t>
      </w:r>
      <w:r>
        <w:rPr>
          <w:rFonts w:ascii="Times New Roman" w:cs="Times New Roman" w:eastAsia="Times New Roman" w:hAnsi="Times New Roman"/>
          <w:sz w:val="18"/>
          <w:szCs w:val="18"/>
          <w:color w:val="212121"/>
        </w:rPr>
        <w:t>services normally provided by the independent auditor in connection with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and regulatory filings </w:t>
      </w:r>
      <w:r>
        <w:rPr>
          <w:rFonts w:ascii="Times New Roman" w:cs="Times New Roman" w:eastAsia="Times New Roman" w:hAnsi="Times New Roman"/>
          <w:sz w:val="18"/>
          <w:szCs w:val="18"/>
          <w:color w:val="252525"/>
        </w:rPr>
        <w:t>in each fiscal year.</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professional services rendered in connection with income tax return preparation and compliance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services provided in fiscal 2024 and fiscal 2023 under Audit Fees, Tax Fees and All Other Fees were pre-approved by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ratification of the appointment of KPMG as our independent registered public accounting firm for the fiscal year ending January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recommend that you vote “FOR” the ratification of the appointment of KPMG LLP as our independent registered public accounting firm for the fiscal year ending January 31, 2026.</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February 1, 2025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February 1, 2025 with U.S. generally accepted accounting principles, its judgments as to the quality, not just the acceptability, of our accounting principles and such other matters as are required to be discussed with the Audit Committee by the applicable requirements of the Public Company Accounting Oversight Board (the “PCAOB”) and the SEC. In addition, the Audit Committee has discussed with KPMG LLP the firm’s independence from our management and our Company, including the matters in the letter from KPMG LLP required by applicable requirements of the PCAOB regarding KPMG LLP’s communications with the Audit Committee concerning independence. The Audit Committee also considered the compatibility of non-audit services with KPMG LLP’s independence.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discussed with KPMG LLP the overall scope and plans for its audit. The Audit Committee meets with the independent registered public accounting firm, with and without management present, to discuss the results of its examinations, its evaluations of our internal controls (including internal control over financial reporting), matters required to be discussed by PCAOB Auditing Standard No. 1301, </w:t>
      </w:r>
      <w:r>
        <w:rPr>
          <w:rFonts w:ascii="Times New Roman" w:cs="Times New Roman" w:eastAsia="Times New Roman" w:hAnsi="Times New Roman"/>
          <w:sz w:val="18"/>
          <w:szCs w:val="18"/>
          <w:i w:val="1"/>
          <w:iCs w:val="1"/>
          <w:color w:val="auto"/>
        </w:rPr>
        <w:t>Communications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and the overall quality of our financial reporting. The Audit Committee held six meetings during the fiscal year ended February 1, 2025.</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(and the Board approved) that the audited consolidated financial statements be included in our Annual Report on Form 10-K for the fiscal year ended February 1, 2025 for filing with the SEC.</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management was required to prepare as part of our Annual Report on Form 10-K for the fiscal year ended February 1, 2025 a report on its assessment of our internal control over financial reporting, including management’s assessment of the effectiveness of such internal controls. KPMG LLP issued an audit report relative to our internal control over financial reporting at February 1, 2025. During the course of the fiscal year ended February 1, 2025,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were included as part of our Annual Report on Form 10-K for the fiscal year ended February 1, 2025.</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is governed by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The members of the Audit Committee are considered independent because they satisfy the independence requirements for Board members prescribed by Nasdaq listing standards and Rule 10A-3 of the Exchange Act.</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Lionel F. Conacher, Chair of the Audit Committee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Ivy Ross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persons known to us to be the beneficial owners of more than 5% of the issued and outstanding shares of our common stock as of June 13, 2025. We were informed that, except as indicated, each person has sole voting and investment power with respect to all shares of our common stock shown as beneficially owned by such person, subject to community property laws where applicable.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8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r>
      <w:tr>
        <w:trPr>
          <w:trHeight w:val="215"/>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r>
      <w:tr>
        <w:trPr>
          <w:trHeight w:val="185"/>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AWM Investment Company, Inc.</w:t>
            </w:r>
          </w:p>
        </w:tc>
        <w:tc>
          <w:tcPr>
            <w:tcW w:w="16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9,399,297</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 Special Situations Funds</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527 Madison Avenue, Suite 2600</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York, New York 10022</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Fund 1 Investments, LLC</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5,758,261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100 Carr 115 Unit 1900</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Rincon, Puerto Rico 00677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BlackRock, Inc.</w:t>
            </w:r>
          </w:p>
        </w:tc>
        <w:tc>
          <w:tcPr>
            <w:tcW w:w="16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3,863,613</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50 Hudson Yards</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New York, New York 10001</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Seymour Holtzman, Estate of</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3,667,591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100 N Wilkes Barre Blvd.</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Wilkes Barre, PA 18702</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2"/>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Nomura Holdings, Inc.</w:t>
            </w:r>
          </w:p>
        </w:tc>
        <w:tc>
          <w:tcPr>
            <w:tcW w:w="16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2,808,157</w:t>
            </w:r>
          </w:p>
        </w:tc>
        <w:tc>
          <w:tcPr>
            <w:tcW w:w="3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13-1, Nihonbashi 1-chome</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Chuo-ku</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Tokyo 103-8645, Japan</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The Vanguard Group</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2,801,445</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100 Vanguard Blvd.</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Malvern, Pennsylvania 19355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4" w:lineRule="exact"/>
        <w:rPr>
          <w:sz w:val="20"/>
          <w:szCs w:val="20"/>
          <w:color w:val="auto"/>
        </w:rPr>
      </w:pPr>
    </w:p>
    <w:p>
      <w:pPr>
        <w:ind w:left="760" w:right="2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53,815,004 shares of our common stock outstanding as of June 13, 2025.</w:t>
      </w:r>
    </w:p>
    <w:p>
      <w:pPr>
        <w:spacing w:after="0" w:line="183"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4 to Schedule 13G dated February 14, 2025. AWM Investment Company, Inc. ("AWM")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5 to Schedule 13D dated January 22, 2025.</w:t>
      </w:r>
    </w:p>
    <w:p>
      <w:pPr>
        <w:spacing w:after="0" w:line="225"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dated January 29, 2024. BlackRock Inc. had sole voting power for 3,779,796 shares and sole dispositive power for 3,863,613 shares.</w:t>
      </w:r>
    </w:p>
    <w:p>
      <w:pPr>
        <w:spacing w:after="0" w:line="161" w:lineRule="exact"/>
        <w:rPr>
          <w:rFonts w:ascii="Times New Roman" w:cs="Times New Roman" w:eastAsia="Times New Roman" w:hAnsi="Times New Roman"/>
          <w:sz w:val="18"/>
          <w:szCs w:val="18"/>
          <w:color w:val="auto"/>
        </w:rPr>
      </w:pPr>
    </w:p>
    <w:p>
      <w:pPr>
        <w:jc w:val="both"/>
        <w:ind w:left="760" w:right="1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63 to Schedule 13D dated January 12, 2023. Of these shares, 278,733 shares are held by Jewelcor Management, Inc. Mr. Holtzman is the chairman, chief executive officer and president and, together with his wife, indirectly, the majority shareholder of Jewelcor Management, Inc.</w:t>
      </w:r>
    </w:p>
    <w:p>
      <w:pPr>
        <w:spacing w:after="0" w:line="17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dated February 14, 2025. Nomura Global Financial Products, Inc., a wholly-owned subsidiary of Nomura Holdings, Inc., possesses shared voting and dispositive power for 2,808,157 shares.</w:t>
      </w:r>
    </w:p>
    <w:p>
      <w:pPr>
        <w:spacing w:after="0" w:line="161" w:lineRule="exact"/>
        <w:rPr>
          <w:rFonts w:ascii="Times New Roman" w:cs="Times New Roman" w:eastAsia="Times New Roman" w:hAnsi="Times New Roman"/>
          <w:sz w:val="18"/>
          <w:szCs w:val="18"/>
          <w:color w:val="auto"/>
        </w:rPr>
      </w:pPr>
    </w:p>
    <w:p>
      <w:pPr>
        <w:ind w:left="760" w:right="360" w:hanging="378"/>
        <w:spacing w:after="0" w:line="26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in the table is based on information contained in a Form 13F filed by The Vanguard Group on May 9, 2025 for the quarter ended March 31, 2025. A Schedule 13G, dated January 30, 2025, indicated that The Vanguard Group had beneficial ownership of 2,824,847 shares, of which The Vanguard Group possessed shared dispositive power for 42,882 shares, sole dispositive power for 2,781,965 shares of common stock and shared voting power of 23,572 shares.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13, 2025, with respect to our directors, our Named Executive Officers (as defined above under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and our directors and current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4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Percent of Class</w:t>
            </w:r>
          </w:p>
        </w:tc>
      </w:tr>
      <w:tr>
        <w:trPr>
          <w:trHeight w:val="215"/>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40" w:type="dxa"/>
            <w:vAlign w:val="bottom"/>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18"/>
                <w:szCs w:val="18"/>
                <w:color w:val="auto"/>
              </w:rPr>
            </w:pPr>
          </w:p>
        </w:tc>
      </w:tr>
      <w:tr>
        <w:trPr>
          <w:trHeight w:val="19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Lionel F. Conacher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341,046</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Chairman of the Board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Harvey S. Kanter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1,397,279</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H. Stratton, Jr.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539,484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J. Gaeta</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380,944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Stores and Real Estate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Robert S. Molloy</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450,185</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James F. Reath</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35,484</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2"/>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Marketing Officer</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Jack Boyle,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545,893</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Carmen R. Bauza,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82,542</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Willem Mesdag,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3,118,067</w:t>
            </w:r>
          </w:p>
        </w:tc>
        <w:tc>
          <w:tcPr>
            <w:tcW w:w="4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Ivy Ross, Director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238,758</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Elaine K. Rubin, Director</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149,830</w:t>
            </w:r>
          </w:p>
        </w:tc>
        <w:tc>
          <w:tcPr>
            <w:tcW w:w="4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(14 persons)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8,049,364</w:t>
            </w:r>
          </w:p>
        </w:tc>
        <w:tc>
          <w:tcPr>
            <w:tcW w:w="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14.3%</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w:t>
      </w:r>
    </w:p>
    <w:p>
      <w:pPr>
        <w:spacing w:after="0" w:line="36" w:lineRule="exact"/>
        <w:rPr>
          <w:sz w:val="20"/>
          <w:szCs w:val="20"/>
          <w:color w:val="auto"/>
        </w:rPr>
      </w:pPr>
    </w:p>
    <w:p>
      <w:pPr>
        <w:ind w:left="380" w:right="80" w:hanging="372"/>
        <w:spacing w:after="0" w:line="254"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53,815,004 shares of our common stock outstanding as of June 13, 2025.</w:t>
      </w:r>
    </w:p>
    <w:p>
      <w:pPr>
        <w:spacing w:after="0" w:line="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914,853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286,096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217,688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190,597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6,639 shares subject to stock options exercisable within 60 days.</w:t>
      </w:r>
    </w:p>
    <w:p>
      <w:pPr>
        <w:spacing w:after="0" w:line="9" w:lineRule="exact"/>
        <w:rPr>
          <w:rFonts w:ascii="Times New Roman" w:cs="Times New Roman" w:eastAsia="Times New Roman" w:hAnsi="Times New Roman"/>
          <w:sz w:val="18"/>
          <w:szCs w:val="18"/>
          <w:color w:val="auto"/>
        </w:rPr>
      </w:pPr>
    </w:p>
    <w:p>
      <w:pPr>
        <w:ind w:left="380" w:right="120" w:hanging="372"/>
        <w:spacing w:after="0" w:line="250"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524,309 shares of deferred stock receivable upon Mr. Mesdag’s separation from the Board.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2,121,759 shares subject to stock options exercisable within 60 days and 524,309 shares of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-2333625</wp:posOffset>
            </wp:positionV>
            <wp:extent cx="95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Access to this information, as well as other information on our Company, is also available on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will furnish without charge to each person whose proxy is being solicited, upon request of any such person, a copy of our Annual Report on Form 10-K for the fiscal year ended February 1, 2025, as filed with the SEC, including the financial statements and schedules thereto. A request for a copy of such report should be directed to Destination XL Group, Inc., 555 Turnpike Street, Canton, Massachusetts 02021, Attention: Investor Relations.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$7,000, to aid in solicitation of proxies.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Only one copy of this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this Proxy Statement or if you would like to request that we send you a separate copy of annual reports or proxy statements, as applicable, in the future, please contact us at 555 Turnpike Street, Canton, Massachusetts 02021, by telephone at (781) 828-9300 or under “Company Overview – Contact Us”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We will send you a copy of this Proxy Statement promptly after we receive your request.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Proposals for Inclusion in our Proxy Statement</w:t>
      </w:r>
      <w:r>
        <w:rPr>
          <w:rFonts w:ascii="Times New Roman" w:cs="Times New Roman" w:eastAsia="Times New Roman" w:hAnsi="Times New Roman"/>
          <w:sz w:val="18"/>
          <w:szCs w:val="18"/>
          <w:color w:val="auto"/>
        </w:rPr>
        <w:t>. Under the rules of the SEC, in order for any stockholder proposal to be included in 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and proxy card for presentation at the 2026 Annual Meeting of Stockholders, the proposal must be received by the Secretary of our Company at our principal executive offices by March 2, 2026 (120 days before the anniversary of the date this Proxy Statement is being mailed to our stockholders).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Other Stockholder Proposal.</w:t>
      </w:r>
      <w:r>
        <w:rPr>
          <w:rFonts w:ascii="Times New Roman" w:cs="Times New Roman" w:eastAsia="Times New Roman" w:hAnsi="Times New Roman"/>
          <w:sz w:val="18"/>
          <w:szCs w:val="18"/>
          <w:color w:val="auto"/>
        </w:rPr>
        <w:t>: Our By-Laws provide that for business to be properly brought before an Annual Meeting of Stockholders (or any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2026 Annual Meeting of Stockholders, a stockholder must deliver the requisite notice of such item to the Secretary of our Company not before April 9, 2026 or after May 9, 2026.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 In order for stockholders to give timely notice of nominations for directors for inclusion on a universal proxy card in connection with the 2026 Annual Meeting of Stockholders, notice must be submitted by the same deadline as disclosed above under the advance notice provisions of our By-Laws and must include the information in the notice required by our By-Laws and by Rule 14a-19(b)(2) and Rule 14a-19(b)(3) under the Exchange Act.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9" w:name="page50"/>
    <w:bookmarkEnd w:id="49"/>
    <w:p>
      <w:pPr>
        <w:ind w:left="500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Notice of 2025 Annual Meeting of</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Stockholders and Proxy Statement</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Thursday, August 7, 2025</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11:30 A.M. local time</w:t>
      </w:r>
    </w:p>
    <w:p>
      <w:pPr>
        <w:spacing w:after="0" w:line="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Please sign your proxy and</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return it in the enclosed</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postage-paid envelope so</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that you may be represented</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859155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50" w:name="page51"/>
    <w:bookmarkEnd w:id="50"/>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2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DESTINATION XL GROUP, INC.</w:t>
      </w: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August 7, 2025</w:t>
      </w:r>
    </w:p>
    <w:p>
      <w:pPr>
        <w:spacing w:after="0" w:line="8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1"/>
          <w:szCs w:val="11"/>
          <w:b w:val="1"/>
          <w:bCs w:val="1"/>
          <w:color w:val="auto"/>
        </w:rPr>
        <w:t>GO GREEN</w:t>
      </w:r>
    </w:p>
    <w:p>
      <w:pPr>
        <w:spacing w:after="0" w:line="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1"/>
          <w:szCs w:val="11"/>
          <w:color w:val="auto"/>
        </w:rPr>
        <w:t>e-consent makes it easy to go paperless. With e-consent, you can quickly access your proxy material, statements and other eligible documents online,</w:t>
      </w:r>
    </w:p>
    <w:p>
      <w:pPr>
        <w:jc w:val="center"/>
        <w:ind w:right="-539"/>
        <w:spacing w:after="0"/>
        <w:rPr>
          <w:sz w:val="20"/>
          <w:szCs w:val="20"/>
          <w:color w:val="auto"/>
        </w:rPr>
      </w:pPr>
      <w:r>
        <w:rPr>
          <w:rFonts w:ascii="Times New Roman" w:cs="Times New Roman" w:eastAsia="Times New Roman" w:hAnsi="Times New Roman"/>
          <w:sz w:val="11"/>
          <w:szCs w:val="11"/>
          <w:color w:val="auto"/>
        </w:rPr>
        <w:t>while reducing costs, clutter and paper waste. Enroll today via www.astfinancial.com to enjoy online access.</w:t>
      </w:r>
    </w:p>
    <w:p>
      <w:pPr>
        <w:spacing w:after="0" w:line="1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u w:val="single" w:color="auto"/>
          <w:color w:val="auto"/>
        </w:rPr>
        <w:t>Important Notice Regarding Internet Availability of Proxy Materials for the Annual Meeting of Stockholders to be Held on August 7, 2025</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The Proxy Statement and 2025 Annual Report to Stockholders are available at https://investor.dxl.com/financial-information/annual-reports.</w:t>
      </w:r>
    </w:p>
    <w:p>
      <w:pPr>
        <w:spacing w:after="0" w:line="15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PLEASE SIGN, DATE AND MAIL</w:t>
      </w:r>
    </w:p>
    <w:p>
      <w:pPr>
        <w:jc w:val="center"/>
        <w:ind w:right="-539"/>
        <w:spacing w:after="0" w:line="226" w:lineRule="auto"/>
        <w:rPr>
          <w:sz w:val="20"/>
          <w:szCs w:val="20"/>
          <w:color w:val="auto"/>
        </w:rPr>
      </w:pPr>
      <w:r>
        <w:rPr>
          <w:rFonts w:ascii="Times New Roman" w:cs="Times New Roman" w:eastAsia="Times New Roman" w:hAnsi="Times New Roman"/>
          <w:sz w:val="14"/>
          <w:szCs w:val="14"/>
          <w:color w:val="auto"/>
        </w:rPr>
        <w:t>YOUR PROXY CARD IN THE ENVELOPE</w:t>
      </w:r>
    </w:p>
    <w:p>
      <w:pPr>
        <w:jc w:val="center"/>
        <w:ind w:right="-539"/>
        <w:spacing w:after="0"/>
        <w:rPr>
          <w:sz w:val="20"/>
          <w:szCs w:val="20"/>
          <w:color w:val="auto"/>
        </w:rPr>
      </w:pPr>
      <w:r>
        <w:rPr>
          <w:rFonts w:ascii="Times New Roman" w:cs="Times New Roman" w:eastAsia="Times New Roman" w:hAnsi="Times New Roman"/>
          <w:sz w:val="14"/>
          <w:szCs w:val="14"/>
          <w:color w:val="auto"/>
        </w:rPr>
        <w:t>PROVIDED AS SOON AS POSSIBLE.</w:t>
      </w:r>
    </w:p>
    <w:p>
      <w:pPr>
        <w:spacing w:after="0" w:line="1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1"/>
          <w:szCs w:val="11"/>
          <w:color w:val="auto"/>
        </w:rPr>
        <w:t>Please detach along perforated line and mail in the envelope provided</w:t>
      </w:r>
      <w:r>
        <w:rPr>
          <w:rFonts w:ascii="Times New Roman" w:cs="Times New Roman" w:eastAsia="Times New Roman" w:hAnsi="Times New Roman"/>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160020</wp:posOffset>
            </wp:positionV>
            <wp:extent cx="713232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THE ELECTION OF DIRECTORS AND "FOR" PROPOSALS 2 AND 3.</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3"/>
          <w:szCs w:val="13"/>
          <w:b w:val="1"/>
          <w:bCs w:val="1"/>
          <w:color w:val="auto"/>
        </w:rPr>
        <w:t>PLEASE SIGN, DATE AND RETURN PROMPTLY IN THE ENCLOSED ENVELOPE. PLEASE MARK YOUR VOTE IN BLUE OR BLACK INK AS SHOWN HERE</w:t>
      </w:r>
    </w:p>
    <w:p>
      <w:pPr>
        <w:spacing w:after="0" w:line="69" w:lineRule="exact"/>
        <w:rPr>
          <w:sz w:val="20"/>
          <w:szCs w:val="20"/>
          <w:color w:val="auto"/>
        </w:rPr>
      </w:pPr>
    </w:p>
    <w:p>
      <w:pPr>
        <w:ind w:left="680" w:hanging="666"/>
        <w:spacing w:after="0"/>
        <w:tabs>
          <w:tab w:leader="none" w:pos="680" w:val="left"/>
        </w:tabs>
        <w:numPr>
          <w:ilvl w:val="0"/>
          <w:numId w:val="4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4"/>
          <w:szCs w:val="14"/>
          <w:b w:val="1"/>
          <w:bCs w:val="1"/>
          <w:color w:val="auto"/>
        </w:rPr>
        <w:t xml:space="preserve">Election of Directors. </w:t>
      </w:r>
      <w:r>
        <w:rPr>
          <w:rFonts w:ascii="Times New Roman" w:cs="Times New Roman" w:eastAsia="Times New Roman" w:hAnsi="Times New Roman"/>
          <w:sz w:val="14"/>
          <w:szCs w:val="14"/>
          <w:color w:val="auto"/>
        </w:rPr>
        <w:t>THE BOARD OF DIRECTORS RECOMMENDS A VOTE “FOR”</w:t>
      </w:r>
    </w:p>
    <w:p>
      <w:pPr>
        <w:ind w:left="68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4"/>
          <w:szCs w:val="14"/>
          <w:color w:val="auto"/>
        </w:rPr>
        <w:t>EACH OF THE NOMINEES 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-251460</wp:posOffset>
            </wp:positionV>
            <wp:extent cx="7132320" cy="5572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5572125"/>
                    </a:xfrm>
                    <a:prstGeom prst="rect">
                      <a:avLst/>
                    </a:prstGeom>
                    <a:noFill/>
                  </pic:spPr>
                </pic:pic>
              </a:graphicData>
            </a:graphic>
          </wp:anchor>
        </w:drawing>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1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2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Lionel F. Conacher</w:t>
            </w:r>
          </w:p>
        </w:tc>
        <w:tc>
          <w:tcPr>
            <w:tcW w:w="10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10"/>
        </w:trPr>
        <w:tc>
          <w:tcPr>
            <w:tcW w:w="400" w:type="dxa"/>
            <w:vAlign w:val="bottom"/>
          </w:tcPr>
          <w:p>
            <w:pPr>
              <w:spacing w:after="0"/>
              <w:rPr>
                <w:sz w:val="24"/>
                <w:szCs w:val="2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Harvey S. Kanter</w:t>
            </w:r>
          </w:p>
        </w:tc>
        <w:tc>
          <w:tcPr>
            <w:tcW w:w="10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1420" w:type="dxa"/>
            <w:vAlign w:val="bottom"/>
          </w:tcPr>
          <w:p>
            <w:pPr>
              <w:jc w:val="center"/>
              <w:ind w:left="90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500"/>
        </w:trPr>
        <w:tc>
          <w:tcPr>
            <w:tcW w:w="400" w:type="dxa"/>
            <w:vAlign w:val="bottom"/>
          </w:tcPr>
          <w:p>
            <w:pPr>
              <w:spacing w:after="0"/>
              <w:rPr>
                <w:sz w:val="24"/>
                <w:szCs w:val="2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Carmen R. Bauza</w:t>
            </w:r>
          </w:p>
        </w:tc>
        <w:tc>
          <w:tcPr>
            <w:tcW w:w="10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10"/>
        </w:trPr>
        <w:tc>
          <w:tcPr>
            <w:tcW w:w="400" w:type="dxa"/>
            <w:vAlign w:val="bottom"/>
          </w:tcPr>
          <w:p>
            <w:pPr>
              <w:spacing w:after="0"/>
              <w:rPr>
                <w:sz w:val="24"/>
                <w:szCs w:val="2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Jack Boyle</w:t>
            </w:r>
          </w:p>
        </w:tc>
        <w:tc>
          <w:tcPr>
            <w:tcW w:w="10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10"/>
        </w:trPr>
        <w:tc>
          <w:tcPr>
            <w:tcW w:w="400" w:type="dxa"/>
            <w:vAlign w:val="bottom"/>
          </w:tcPr>
          <w:p>
            <w:pPr>
              <w:spacing w:after="0"/>
              <w:rPr>
                <w:sz w:val="24"/>
                <w:szCs w:val="2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Willem Mesdag</w:t>
            </w:r>
          </w:p>
        </w:tc>
        <w:tc>
          <w:tcPr>
            <w:tcW w:w="10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10"/>
        </w:trPr>
        <w:tc>
          <w:tcPr>
            <w:tcW w:w="400" w:type="dxa"/>
            <w:vAlign w:val="bottom"/>
          </w:tcPr>
          <w:p>
            <w:pPr>
              <w:spacing w:after="0"/>
              <w:rPr>
                <w:sz w:val="24"/>
                <w:szCs w:val="2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Ivy Ross</w:t>
            </w:r>
          </w:p>
        </w:tc>
        <w:tc>
          <w:tcPr>
            <w:tcW w:w="10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810"/>
        </w:trPr>
        <w:tc>
          <w:tcPr>
            <w:tcW w:w="400" w:type="dxa"/>
            <w:vAlign w:val="bottom"/>
          </w:tcPr>
          <w:p>
            <w:pPr>
              <w:spacing w:after="0"/>
              <w:rPr>
                <w:sz w:val="24"/>
                <w:szCs w:val="2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Elaine K. Rubin</w:t>
            </w:r>
          </w:p>
        </w:tc>
        <w:tc>
          <w:tcPr>
            <w:tcW w:w="10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p>
        </w:tc>
        <w:tc>
          <w:tcPr>
            <w:tcW w:w="1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645"/>
        </w:trPr>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73"/>
              </w:rPr>
              <w:t>2.</w:t>
            </w: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 approve, on an advisory basis, named executive officer compensation</w:t>
            </w:r>
            <w:r>
              <w:rPr>
                <w:rFonts w:ascii="Times New Roman" w:cs="Times New Roman" w:eastAsia="Times New Roman" w:hAnsi="Times New Roman"/>
                <w:sz w:val="14"/>
                <w:szCs w:val="14"/>
                <w:color w:val="auto"/>
              </w:rPr>
              <w:t>. THE BOARD</w:t>
            </w: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1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2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242"/>
        </w:trPr>
        <w:tc>
          <w:tcPr>
            <w:tcW w:w="400" w:type="dxa"/>
            <w:vAlign w:val="bottom"/>
            <w:vMerge w:val="continue"/>
          </w:tcPr>
          <w:p>
            <w:pPr>
              <w:spacing w:after="0"/>
              <w:rPr>
                <w:sz w:val="21"/>
                <w:szCs w:val="21"/>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OF DIRECTORS RECOMMENDS A VOTE "FOR" PROPOSAL 2.</w:t>
            </w:r>
          </w:p>
        </w:tc>
        <w:tc>
          <w:tcPr>
            <w:tcW w:w="102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66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420" w:type="dxa"/>
            <w:vAlign w:val="bottom"/>
          </w:tcPr>
          <w:p>
            <w:pPr>
              <w:jc w:val="center"/>
              <w:ind w:left="84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0" w:type="dxa"/>
            <w:vAlign w:val="bottom"/>
          </w:tcPr>
          <w:p>
            <w:pPr>
              <w:spacing w:after="0"/>
              <w:rPr>
                <w:sz w:val="1"/>
                <w:szCs w:val="1"/>
                <w:color w:val="auto"/>
              </w:rPr>
            </w:pPr>
          </w:p>
        </w:tc>
      </w:tr>
      <w:tr>
        <w:trPr>
          <w:trHeight w:val="207"/>
        </w:trPr>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73"/>
              </w:rPr>
              <w:t>3.</w:t>
            </w:r>
          </w:p>
        </w:tc>
        <w:tc>
          <w:tcPr>
            <w:tcW w:w="59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 ratify the appointment of KPMG LLP as the Company’s independent registered</w:t>
            </w: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For</w:t>
            </w:r>
          </w:p>
        </w:tc>
        <w:tc>
          <w:tcPr>
            <w:tcW w:w="1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2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07"/>
        </w:trPr>
        <w:tc>
          <w:tcPr>
            <w:tcW w:w="400" w:type="dxa"/>
            <w:vAlign w:val="bottom"/>
            <w:vMerge w:val="continue"/>
          </w:tcPr>
          <w:p>
            <w:pPr>
              <w:spacing w:after="0"/>
              <w:rPr>
                <w:sz w:val="9"/>
                <w:szCs w:val="9"/>
                <w:color w:val="auto"/>
              </w:rPr>
            </w:pPr>
          </w:p>
        </w:tc>
        <w:tc>
          <w:tcPr>
            <w:tcW w:w="5940" w:type="dxa"/>
            <w:vAlign w:val="bottom"/>
            <w:vMerge w:val="continue"/>
          </w:tcPr>
          <w:p>
            <w:pPr>
              <w:spacing w:after="0"/>
              <w:rPr>
                <w:sz w:val="9"/>
                <w:szCs w:val="9"/>
                <w:color w:val="auto"/>
              </w:rPr>
            </w:pPr>
          </w:p>
        </w:tc>
        <w:tc>
          <w:tcPr>
            <w:tcW w:w="1020" w:type="dxa"/>
            <w:vAlign w:val="bottom"/>
            <w:vMerge w:val="restart"/>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660" w:type="dxa"/>
            <w:vAlign w:val="bottom"/>
            <w:vMerge w:val="restart"/>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vMerge w:val="restart"/>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59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public accounting firm for fiscal year ending January 31, 2026. </w:t>
            </w:r>
            <w:r>
              <w:rPr>
                <w:rFonts w:ascii="Times New Roman" w:cs="Times New Roman" w:eastAsia="Times New Roman" w:hAnsi="Times New Roman"/>
                <w:sz w:val="14"/>
                <w:szCs w:val="14"/>
                <w:color w:val="auto"/>
              </w:rPr>
              <w:t>THE BOARD OF</w:t>
            </w:r>
          </w:p>
        </w:tc>
        <w:tc>
          <w:tcPr>
            <w:tcW w:w="10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680"/>
        <w:spacing w:after="0"/>
        <w:rPr>
          <w:sz w:val="20"/>
          <w:szCs w:val="20"/>
          <w:color w:val="auto"/>
        </w:rPr>
      </w:pPr>
      <w:r>
        <w:rPr>
          <w:rFonts w:ascii="Times New Roman" w:cs="Times New Roman" w:eastAsia="Times New Roman" w:hAnsi="Times New Roman"/>
          <w:sz w:val="14"/>
          <w:szCs w:val="14"/>
          <w:color w:val="auto"/>
        </w:rPr>
        <w:t>DIRECTORS RECOMMENDS A VOTE “FOR” PROPOSAL 3.</w:t>
      </w:r>
    </w:p>
    <w:p>
      <w:pPr>
        <w:spacing w:after="0" w:line="255" w:lineRule="exact"/>
        <w:rPr>
          <w:sz w:val="20"/>
          <w:szCs w:val="20"/>
          <w:color w:val="auto"/>
        </w:rPr>
      </w:pPr>
    </w:p>
    <w:p>
      <w:pPr>
        <w:ind w:right="4380"/>
        <w:spacing w:after="0" w:line="233" w:lineRule="auto"/>
        <w:rPr>
          <w:sz w:val="20"/>
          <w:szCs w:val="20"/>
          <w:color w:val="auto"/>
        </w:rPr>
      </w:pPr>
      <w:r>
        <w:rPr>
          <w:rFonts w:ascii="Times New Roman" w:cs="Times New Roman" w:eastAsia="Times New Roman" w:hAnsi="Times New Roman"/>
          <w:sz w:val="14"/>
          <w:szCs w:val="14"/>
          <w:color w:val="auto"/>
        </w:rPr>
        <w:t>IF THIS PROXY IS PROPERLY EXECUTED AND RETURNED, IT WILL BE VOTED AS SPECIFIED HEREIN. IF NO SPECIFIC DIRECTION IS GIVEN, IT WILL BE VOTED “FOR” EACH DIRECTOR NOMINEE, AND “FOR” EACH OF THE OTHER PROPOSALS. RECEIPT IS HEREBY ACKNOWLEDGED OF THE NOTICE OF ANNUAL MEETING AND PROXY STATEMENT OF DESTINATION XL GROUP, INC. DATED June 30, 2025.</w:t>
      </w:r>
    </w:p>
    <w:p>
      <w:pPr>
        <w:spacing w:after="0" w:line="51" w:lineRule="exact"/>
        <w:rPr>
          <w:sz w:val="20"/>
          <w:szCs w:val="20"/>
          <w:color w:val="auto"/>
        </w:rPr>
      </w:pPr>
    </w:p>
    <w:p>
      <w:pPr>
        <w:ind w:left="68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858520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440" w:top="1049" w:right="999" w:bottom="1440" w:gutter="0" w:footer="0" w:header="0"/>
        </w:sectPr>
      </w:pPr>
    </w:p>
    <w:bookmarkStart w:id="51" w:name="page52"/>
    <w:bookmarkEnd w:id="51"/>
    <w:p>
      <w:pPr>
        <w:ind w:right="4640"/>
        <w:spacing w:after="0" w:line="241"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-292735</wp:posOffset>
            </wp:positionV>
            <wp:extent cx="7132320" cy="15005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0050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“X” HERE IF YOU PLAN TO ATTEND THE ANNUAL MEETING.</w:t>
      </w:r>
    </w:p>
    <w:p>
      <w:pPr>
        <w:ind w:left="72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84"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85" w:lineRule="exact"/>
        <w:rPr>
          <w:sz w:val="20"/>
          <w:szCs w:val="20"/>
          <w:color w:val="auto"/>
        </w:rPr>
      </w:pPr>
    </w:p>
    <w:p>
      <w:pPr>
        <w:ind w:left="240"/>
        <w:spacing w:after="0"/>
        <w:tabs>
          <w:tab w:leader="none" w:pos="2620" w:val="left"/>
          <w:tab w:leader="none" w:pos="4320" w:val="left"/>
          <w:tab w:leader="none" w:pos="8220" w:val="left"/>
        </w:tabs>
        <w:rPr>
          <w:sz w:val="20"/>
          <w:szCs w:val="20"/>
          <w:color w:val="auto"/>
        </w:rPr>
      </w:pP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-172085</wp:posOffset>
            </wp:positionV>
            <wp:extent cx="7132320" cy="19799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979930"/>
                    </a:xfrm>
                    <a:prstGeom prst="rect">
                      <a:avLst/>
                    </a:prstGeom>
                    <a:noFill/>
                  </pic:spPr>
                </pic:pic>
              </a:graphicData>
            </a:graphic>
          </wp:anchor>
        </w:drawing>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August 7, 2025</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undersigned stockholder(s) of Destination XL Group, Inc. (the “Company”) hereby appoint(s) Lionel F. Conacher and Harvey S. Kanter, and each of them, as proxies, with full power of substitution to each and to each substitute appointed pursuant to such power, to vote all shares of Common Stock of the Company that the undersigned would be entitled to vote if personally present at the 2025 Annual Meeting of Stockholders (the “Annual Meeting”) to be held on Thursday, August 7, 2025 at 11:30 A.M. local time at the corporate offices of the Company, 555 Turnpike Street, Canton, Massachusetts 02021, and any adjournment or postponement thereof, with all powers that the undersigned would possess if personally present, as set forth on the reverse hereof, upon the matters set forth thereon and more fully described in the Notice and Proxy Statement for the Annual Meeting, and, in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598805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981" w:right="51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discretion, upon all such other matters as may properly come before the Annual Meeting. The undersigned hereby revoke(s) all proxies, if any, hitherto given by the undersigned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-305435</wp:posOffset>
            </wp:positionV>
            <wp:extent cx="7132320" cy="11144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907415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999" w:right="5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3"/>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2"/>
    </w:lvl>
  </w:abstractNum>
  <w:abstractNum w:abstractNumId="30">
    <w:nsid w:val="5C482A97"/>
    <w:multiLevelType w:val="hybridMultilevel"/>
    <w:lvl w:ilvl="0">
      <w:lvlJc w:val="left"/>
      <w:lvlText w:val="(%1)"/>
      <w:numFmt w:val="decimal"/>
      <w:start w:val="3"/>
    </w:lvl>
  </w:abstractNum>
  <w:abstractNum w:abstractNumId="31">
    <w:nsid w:val="2463B9EA"/>
    <w:multiLevelType w:val="hybridMultilevel"/>
    <w:lvl w:ilvl="0">
      <w:lvlJc w:val="left"/>
      <w:lvlText w:val="(%1)"/>
      <w:numFmt w:val="decimal"/>
      <w:start w:val="4"/>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lowerRoman"/>
      <w:start w:val="1"/>
    </w:lvl>
  </w:abstractNum>
  <w:abstractNum w:abstractNumId="34">
    <w:nsid w:val="2D517796"/>
    <w:multiLevelType w:val="hybridMultilevel"/>
    <w:lvl w:ilvl="0">
      <w:lvlJc w:val="left"/>
      <w:lvlText w:val="(%1)"/>
      <w:numFmt w:val="lowerRoman"/>
      <w:start w:val="3"/>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3"/>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2025-06-30T06:24:17Z</dcterms:created>
  <dcterms:modified xsi:type="dcterms:W3CDTF">2025-06-30T06:24:17Z</dcterms:modified>
</cp:coreProperties>
</file>