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CASUAL MALE RETAIL GROUP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#148711302</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857,290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6,975,703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6,975,703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14.790%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#148711302</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6,975,703</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6,975,703</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14.790%</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CASUAL MALE RETAIL GROUP</w:t>
      </w:r>
    </w:p>
    <w:p>
      <w:pPr>
        <w:spacing w:after="0" w:line="238" w:lineRule="auto"/>
        <w:rPr>
          <w:sz w:val="20"/>
          <w:szCs w:val="20"/>
          <w:color w:val="auto"/>
        </w:rPr>
      </w:pPr>
      <w:r>
        <w:rPr>
          <w:rFonts w:ascii="Courier New" w:cs="Courier New" w:eastAsia="Courier New" w:hAnsi="Courier New"/>
          <w:sz w:val="18"/>
          <w:szCs w:val="18"/>
          <w:color w:val="auto"/>
        </w:rPr>
        <w:t>INC</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555 Turnpike Street</w:t>
      </w:r>
    </w:p>
    <w:p>
      <w:pPr>
        <w:spacing w:after="0" w:line="201" w:lineRule="exact"/>
        <w:rPr>
          <w:sz w:val="24"/>
          <w:szCs w:val="24"/>
          <w:color w:val="auto"/>
        </w:rPr>
      </w:pP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Canton, MA</w:t>
      </w:r>
      <w:r>
        <w:rPr>
          <w:sz w:val="20"/>
          <w:szCs w:val="20"/>
          <w:color w:val="auto"/>
        </w:rPr>
        <w:tab/>
      </w:r>
      <w:r>
        <w:rPr>
          <w:rFonts w:ascii="Courier New" w:cs="Courier New" w:eastAsia="Courier New" w:hAnsi="Courier New"/>
          <w:sz w:val="16"/>
          <w:szCs w:val="16"/>
          <w:color w:val="auto"/>
        </w:rPr>
        <w:t>02021</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148711302</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6,975,703</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14.790%</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857,290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6,975,703</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CASUAL MALE RETAIL</w:t>
      </w:r>
    </w:p>
    <w:p>
      <w:pPr>
        <w:spacing w:after="0" w:line="6" w:lineRule="exact"/>
        <w:rPr>
          <w:sz w:val="20"/>
          <w:szCs w:val="20"/>
          <w:color w:val="auto"/>
        </w:rPr>
      </w:pPr>
    </w:p>
    <w:p>
      <w:pPr>
        <w:ind w:right="4319"/>
        <w:spacing w:after="0" w:line="236" w:lineRule="auto"/>
        <w:rPr>
          <w:sz w:val="20"/>
          <w:szCs w:val="20"/>
          <w:color w:val="auto"/>
        </w:rPr>
      </w:pPr>
      <w:r>
        <w:rPr>
          <w:rFonts w:ascii="Courier New" w:cs="Courier New" w:eastAsia="Courier New" w:hAnsi="Courier New"/>
          <w:sz w:val="18"/>
          <w:szCs w:val="18"/>
          <w:color w:val="auto"/>
        </w:rPr>
        <w:t>GROUP INC. No one person's interest in the Common Stock of CASUAL MALE RETAIL GROUP INC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12, 2010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136" w:right="1440" w:bottom="0"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of 1940, is the beneficial owner of 6,118,413 shares or 12.972% of the Common Stock outstanding of CASUAL MALE RETAIL GROUP INC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6,118,413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7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36"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857,290 shares or 1.818% of the outstanding Common Stock of the CASUAL MALE RETAIL</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GROUP INC as a result of its serving as investment manager of institutional accounts owning such shares.</w:t>
      </w:r>
    </w:p>
    <w:p>
      <w:pPr>
        <w:spacing w:after="0" w:line="208"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857,290 shares and sole power to vote or to direct the voting of 857,290 shares of Common Stock owned by the institutional accounts managed by PGATC as reported above.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12, 2010, agree and consent to the joint filing on their behalf of this Schedule 13G in connection with their beneficial ownership of the Common Stock of CASUAL MALE RETAIL GROUP INC at December 31, 2009.</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ectPr>
          <w:pgSz w:w="11900" w:h="16838" w:orient="portrait"/>
          <w:cols w:equalWidth="0" w:num="1">
            <w:col w:w="10219"/>
          </w:cols>
          <w:pgMar w:left="240" w:top="750" w:right="1440" w:bottom="0" w:gutter="0" w:footer="0" w:header="0"/>
        </w:sectPr>
      </w:pPr>
    </w:p>
    <w:bookmarkStart w:id="3" w:name="page4"/>
    <w:bookmarkEnd w:id="3"/>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2019-12-10T06:18:59Z</dcterms:created>
  <dcterms:modified xsi:type="dcterms:W3CDTF">2019-12-10T06:18:59Z</dcterms:modified>
</cp:coreProperties>
</file>