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16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CASUAL MALE RETAIL GROUP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148711104</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12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 to Schedule 13G (continued)</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148711104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2,257,353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440" w:right="5259" w:hanging="536"/>
        <w:spacing w:after="0" w:line="235" w:lineRule="auto"/>
        <w:tabs>
          <w:tab w:leader="none" w:pos="24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2,257,353</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2,257,353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ectPr>
          <w:pgSz w:w="11900" w:h="16838" w:orient="portrait"/>
          <w:cols w:equalWidth="0" w:num="1">
            <w:col w:w="10219"/>
          </w:cols>
          <w:pgMar w:left="240" w:top="244" w:right="1440" w:bottom="0" w:gutter="0" w:footer="0" w:header="0"/>
        </w:sectPr>
      </w:pPr>
    </w:p>
    <w:bookmarkStart w:id="1" w:name="page2"/>
    <w:bookmarkEnd w:id="1"/>
    <w:p>
      <w:pPr>
        <w:ind w:left="732"/>
        <w:spacing w:after="0"/>
        <w:rPr>
          <w:sz w:val="20"/>
          <w:szCs w:val="20"/>
          <w:color w:val="auto"/>
        </w:rPr>
      </w:pPr>
      <w:r>
        <w:rPr>
          <w:rFonts w:ascii="Courier New" w:cs="Courier New" w:eastAsia="Courier New" w:hAnsi="Courier New"/>
          <w:sz w:val="18"/>
          <w:szCs w:val="18"/>
          <w:color w:val="auto"/>
        </w:rPr>
        <w:t>6.2%</w:t>
      </w:r>
    </w:p>
    <w:p>
      <w:pPr>
        <w:spacing w:after="0" w:line="4"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2,257,353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2,257,353</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2,257,353</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6.2%</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3" w:name="page4"/>
    <w:bookmarkEnd w:id="3"/>
    <w:p>
      <w:pPr>
        <w:ind w:left="4640"/>
        <w:spacing w:after="0"/>
        <w:rPr>
          <w:sz w:val="20"/>
          <w:szCs w:val="20"/>
          <w:color w:val="auto"/>
        </w:rPr>
      </w:pPr>
      <w:r>
        <w:rPr>
          <w:rFonts w:ascii="Courier New" w:cs="Courier New" w:eastAsia="Courier New" w:hAnsi="Courier New"/>
          <w:sz w:val="18"/>
          <w:szCs w:val="18"/>
          <w:color w:val="auto"/>
        </w:rPr>
        <w:t>Page 5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Small Cap Fund</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2,257,353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2,257,353</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2,257,353</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6.2%</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6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2,257,353</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2,257,353</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2,257,353</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6.2%</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580"/>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line="207" w:lineRule="exact"/>
        <w:rPr>
          <w:sz w:val="20"/>
          <w:szCs w:val="20"/>
          <w:color w:val="auto"/>
        </w:rPr>
      </w:pPr>
    </w:p>
    <w:p>
      <w:pPr>
        <w:ind w:left="1580" w:right="3779" w:hanging="729"/>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555 Turnpike Street</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Canton, MA</w:t>
      </w: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ind w:left="1380" w:hanging="529"/>
        <w:spacing w:after="0"/>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4" w:lineRule="exact"/>
        <w:rPr>
          <w:rFonts w:ascii="Courier New" w:cs="Courier New" w:eastAsia="Courier New" w:hAnsi="Courier New"/>
          <w:sz w:val="18"/>
          <w:szCs w:val="18"/>
          <w:color w:val="auto"/>
        </w:rPr>
      </w:pPr>
    </w:p>
    <w:p>
      <w:pPr>
        <w:ind w:left="138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Capital Group, Inc. ("BCG") BAMCO, Inc. ("BAMCO")</w:t>
      </w:r>
    </w:p>
    <w:p>
      <w:pPr>
        <w:spacing w:after="0" w:line="5" w:lineRule="exact"/>
        <w:rPr>
          <w:rFonts w:ascii="Courier New" w:cs="Courier New" w:eastAsia="Courier New" w:hAnsi="Courier New"/>
          <w:sz w:val="18"/>
          <w:szCs w:val="18"/>
          <w:color w:val="auto"/>
        </w:rPr>
      </w:pPr>
    </w:p>
    <w:p>
      <w:pPr>
        <w:ind w:left="13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Small Cap Fund ("BSC") Ronald Baron</w:t>
      </w:r>
    </w:p>
    <w:p>
      <w:pPr>
        <w:spacing w:after="0" w:line="5" w:lineRule="exact"/>
        <w:rPr>
          <w:rFonts w:ascii="Courier New" w:cs="Courier New" w:eastAsia="Courier New" w:hAnsi="Courier New"/>
          <w:sz w:val="18"/>
          <w:szCs w:val="18"/>
          <w:color w:val="auto"/>
        </w:rPr>
      </w:pPr>
    </w:p>
    <w:p>
      <w:pPr>
        <w:ind w:left="1580" w:right="4939" w:hanging="729"/>
        <w:spacing w:after="0" w:line="235"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rPr>
          <w:sz w:val="20"/>
          <w:szCs w:val="20"/>
          <w:color w:val="auto"/>
        </w:rPr>
      </w:pPr>
      <w:r>
        <w:rPr>
          <w:rFonts w:ascii="Courier New" w:cs="Courier New" w:eastAsia="Courier New" w:hAnsi="Courier New"/>
          <w:sz w:val="18"/>
          <w:szCs w:val="18"/>
          <w:color w:val="auto"/>
        </w:rPr>
        <w:t>BCG and BAMCO are New York corporations.</w:t>
      </w:r>
    </w:p>
    <w:p>
      <w:pPr>
        <w:spacing w:after="0" w:line="3" w:lineRule="exact"/>
        <w:rPr>
          <w:sz w:val="20"/>
          <w:szCs w:val="20"/>
          <w:color w:val="auto"/>
        </w:rPr>
      </w:pPr>
    </w:p>
    <w:p>
      <w:pPr>
        <w:ind w:left="1580" w:right="3259"/>
        <w:spacing w:after="0" w:line="268" w:lineRule="auto"/>
        <w:rPr>
          <w:sz w:val="20"/>
          <w:szCs w:val="20"/>
          <w:color w:val="auto"/>
        </w:rPr>
      </w:pPr>
      <w:r>
        <w:rPr>
          <w:rFonts w:ascii="Courier New" w:cs="Courier New" w:eastAsia="Courier New" w:hAnsi="Courier New"/>
          <w:sz w:val="16"/>
          <w:szCs w:val="16"/>
          <w:color w:val="auto"/>
        </w:rPr>
        <w:t>BSC is a series of a Massachusetts business trust and Ronald Baron is a citizen of the United States.</w:t>
      </w:r>
    </w:p>
    <w:p>
      <w:pPr>
        <w:ind w:left="1380" w:hanging="529"/>
        <w:spacing w:after="0" w:line="233" w:lineRule="auto"/>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ind w:left="1380" w:hanging="529"/>
        <w:spacing w:after="0" w:line="238" w:lineRule="auto"/>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700"/>
        <w:spacing w:after="0"/>
        <w:rPr>
          <w:sz w:val="20"/>
          <w:szCs w:val="20"/>
          <w:color w:val="auto"/>
        </w:rPr>
      </w:pPr>
      <w:r>
        <w:rPr>
          <w:rFonts w:ascii="Courier New" w:cs="Courier New" w:eastAsia="Courier New" w:hAnsi="Courier New"/>
          <w:sz w:val="18"/>
          <w:szCs w:val="18"/>
          <w:color w:val="auto"/>
        </w:rPr>
        <w:t>148711104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ind w:left="1480"/>
        <w:spacing w:after="0" w:line="238" w:lineRule="auto"/>
        <w:rPr>
          <w:sz w:val="20"/>
          <w:szCs w:val="20"/>
          <w:color w:val="auto"/>
        </w:rPr>
      </w:pPr>
      <w:r>
        <w:rPr>
          <w:rFonts w:ascii="Courier New" w:cs="Courier New" w:eastAsia="Courier New" w:hAnsi="Courier New"/>
          <w:sz w:val="18"/>
          <w:szCs w:val="18"/>
          <w:color w:val="auto"/>
        </w:rPr>
        <w:t>(g) Parent holding companies, in accordance with</w:t>
      </w:r>
    </w:p>
    <w:p>
      <w:pPr>
        <w:ind w:left="1900"/>
        <w:spacing w:after="0"/>
        <w:rPr>
          <w:sz w:val="20"/>
          <w:szCs w:val="20"/>
          <w:color w:val="auto"/>
        </w:rPr>
      </w:pPr>
      <w:r>
        <w:rPr>
          <w:rFonts w:ascii="Courier New" w:cs="Courier New" w:eastAsia="Courier New" w:hAnsi="Courier New"/>
          <w:sz w:val="18"/>
          <w:szCs w:val="18"/>
          <w:color w:val="auto"/>
        </w:rPr>
        <w:t>Section 240.13d-1(b)(ii)(G)</w:t>
      </w:r>
    </w:p>
    <w:p>
      <w:pPr>
        <w:ind w:left="860"/>
        <w:spacing w:after="0" w:line="237" w:lineRule="auto"/>
        <w:rPr>
          <w:sz w:val="20"/>
          <w:szCs w:val="20"/>
          <w:color w:val="auto"/>
        </w:rPr>
      </w:pPr>
      <w:r>
        <w:rPr>
          <w:rFonts w:ascii="Courier New" w:cs="Courier New" w:eastAsia="Courier New" w:hAnsi="Courier New"/>
          <w:sz w:val="18"/>
          <w:szCs w:val="18"/>
          <w:color w:val="auto"/>
        </w:rPr>
        <w:t>BAMCO is:</w:t>
      </w:r>
    </w:p>
    <w:p>
      <w:pPr>
        <w:spacing w:after="0" w:line="5" w:lineRule="exact"/>
        <w:rPr>
          <w:sz w:val="20"/>
          <w:szCs w:val="20"/>
          <w:color w:val="auto"/>
        </w:rPr>
      </w:pPr>
    </w:p>
    <w:p>
      <w:pPr>
        <w:ind w:left="1800" w:right="2939" w:hanging="317"/>
        <w:spacing w:after="0" w:line="235" w:lineRule="auto"/>
        <w:tabs>
          <w:tab w:leader="none" w:pos="190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Advisers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BSC is:</w:t>
      </w:r>
    </w:p>
    <w:p>
      <w:pPr>
        <w:spacing w:after="0" w:line="4" w:lineRule="exact"/>
        <w:rPr>
          <w:sz w:val="20"/>
          <w:szCs w:val="20"/>
          <w:color w:val="auto"/>
        </w:rPr>
      </w:pPr>
    </w:p>
    <w:p>
      <w:pPr>
        <w:ind w:left="1900" w:right="2839" w:hanging="417"/>
        <w:spacing w:after="0" w:line="235"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(h) Group, in accordance with Rule 13d-1(b)(1)(ii)(F)</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8 of 12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ind w:left="1580"/>
              <w:spacing w:after="0"/>
              <w:rPr>
                <w:sz w:val="20"/>
                <w:szCs w:val="20"/>
                <w:color w:val="auto"/>
              </w:rPr>
            </w:pPr>
            <w:r>
              <w:rPr>
                <w:rFonts w:ascii="Courier New" w:cs="Courier New" w:eastAsia="Courier New" w:hAnsi="Courier New"/>
                <w:sz w:val="18"/>
                <w:szCs w:val="18"/>
                <w:color w:val="auto"/>
              </w:rPr>
              <w:t>BCG:</w:t>
            </w:r>
          </w:p>
        </w:tc>
        <w:tc>
          <w:tcPr>
            <w:tcW w:w="940" w:type="dxa"/>
            <w:vAlign w:val="bottom"/>
          </w:tcPr>
          <w:p>
            <w:pPr>
              <w:spacing w:after="0"/>
              <w:rPr>
                <w:sz w:val="17"/>
                <w:szCs w:val="17"/>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2,257,353</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BAMCO:</w:t>
            </w:r>
          </w:p>
        </w:tc>
        <w:tc>
          <w:tcPr>
            <w:tcW w:w="9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2,257,353</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BSC:</w:t>
            </w:r>
          </w:p>
        </w:tc>
        <w:tc>
          <w:tcPr>
            <w:tcW w:w="9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2,257,353</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2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Ronald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Baron:</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2,257,353</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405"/>
        </w:trPr>
        <w:tc>
          <w:tcPr>
            <w:tcW w:w="3220" w:type="dxa"/>
            <w:vAlign w:val="bottom"/>
            <w:gridSpan w:val="2"/>
          </w:tcPr>
          <w:p>
            <w:pPr>
              <w:ind w:left="960"/>
              <w:spacing w:after="0"/>
              <w:rPr>
                <w:sz w:val="20"/>
                <w:szCs w:val="20"/>
                <w:color w:val="auto"/>
              </w:rPr>
            </w:pPr>
            <w:r>
              <w:rPr>
                <w:rFonts w:ascii="Courier New" w:cs="Courier New" w:eastAsia="Courier New" w:hAnsi="Courier New"/>
                <w:sz w:val="18"/>
                <w:szCs w:val="18"/>
                <w:color w:val="auto"/>
                <w:w w:val="98"/>
              </w:rPr>
              <w:t>(b) Percent of Class:</w:t>
            </w: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05"/>
        </w:trPr>
        <w:tc>
          <w:tcPr>
            <w:tcW w:w="2280" w:type="dxa"/>
            <w:vAlign w:val="bottom"/>
          </w:tcPr>
          <w:p>
            <w:pPr>
              <w:ind w:left="1580"/>
              <w:spacing w:after="0"/>
              <w:rPr>
                <w:sz w:val="20"/>
                <w:szCs w:val="20"/>
                <w:color w:val="auto"/>
              </w:rPr>
            </w:pPr>
            <w:r>
              <w:rPr>
                <w:rFonts w:ascii="Courier New" w:cs="Courier New" w:eastAsia="Courier New" w:hAnsi="Courier New"/>
                <w:sz w:val="18"/>
                <w:szCs w:val="18"/>
                <w:color w:val="auto"/>
              </w:rPr>
              <w:t>BCG:</w:t>
            </w:r>
          </w:p>
        </w:tc>
        <w:tc>
          <w:tcPr>
            <w:tcW w:w="94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6.2%</w:t>
            </w:r>
          </w:p>
        </w:tc>
        <w:tc>
          <w:tcPr>
            <w:tcW w:w="2040" w:type="dxa"/>
            <w:vAlign w:val="bottom"/>
          </w:tcPr>
          <w:p>
            <w:pPr>
              <w:spacing w:after="0"/>
              <w:rPr>
                <w:sz w:val="24"/>
                <w:szCs w:val="24"/>
                <w:color w:val="auto"/>
              </w:rPr>
            </w:pPr>
          </w:p>
        </w:tc>
      </w:tr>
      <w:tr>
        <w:trPr>
          <w:trHeight w:val="203"/>
        </w:trPr>
        <w:tc>
          <w:tcPr>
            <w:tcW w:w="22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BAMCO:</w:t>
            </w:r>
          </w:p>
        </w:tc>
        <w:tc>
          <w:tcPr>
            <w:tcW w:w="9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6.2%</w:t>
            </w:r>
          </w:p>
        </w:tc>
        <w:tc>
          <w:tcPr>
            <w:tcW w:w="2040" w:type="dxa"/>
            <w:vAlign w:val="bottom"/>
          </w:tcPr>
          <w:p>
            <w:pPr>
              <w:spacing w:after="0"/>
              <w:rPr>
                <w:sz w:val="17"/>
                <w:szCs w:val="17"/>
                <w:color w:val="auto"/>
              </w:rPr>
            </w:pPr>
          </w:p>
        </w:tc>
      </w:tr>
      <w:tr>
        <w:trPr>
          <w:trHeight w:val="203"/>
        </w:trPr>
        <w:tc>
          <w:tcPr>
            <w:tcW w:w="22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BSC:</w:t>
            </w:r>
          </w:p>
        </w:tc>
        <w:tc>
          <w:tcPr>
            <w:tcW w:w="9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6.2%</w:t>
            </w:r>
          </w:p>
        </w:tc>
        <w:tc>
          <w:tcPr>
            <w:tcW w:w="2040" w:type="dxa"/>
            <w:vAlign w:val="bottom"/>
          </w:tcPr>
          <w:p>
            <w:pPr>
              <w:spacing w:after="0"/>
              <w:rPr>
                <w:sz w:val="17"/>
                <w:szCs w:val="17"/>
                <w:color w:val="auto"/>
              </w:rPr>
            </w:pPr>
          </w:p>
        </w:tc>
      </w:tr>
      <w:tr>
        <w:trPr>
          <w:trHeight w:val="203"/>
        </w:trPr>
        <w:tc>
          <w:tcPr>
            <w:tcW w:w="22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Ronald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Baron:</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6.2%</w:t>
            </w:r>
          </w:p>
        </w:tc>
        <w:tc>
          <w:tcPr>
            <w:tcW w:w="2040" w:type="dxa"/>
            <w:vAlign w:val="bottom"/>
          </w:tcPr>
          <w:p>
            <w:pPr>
              <w:spacing w:after="0"/>
              <w:rPr>
                <w:sz w:val="17"/>
                <w:szCs w:val="17"/>
                <w:color w:val="auto"/>
              </w:rPr>
            </w:pPr>
          </w:p>
        </w:tc>
      </w:tr>
      <w:tr>
        <w:trPr>
          <w:trHeight w:val="608"/>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w w:val="96"/>
              </w:rPr>
              <w:t>^BCG and Ronald Baron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disclaim</w:t>
            </w:r>
          </w:p>
        </w:tc>
        <w:tc>
          <w:tcPr>
            <w:tcW w:w="3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beneficial ownership of</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held by their</w:t>
            </w:r>
          </w:p>
        </w:tc>
        <w:tc>
          <w:tcPr>
            <w:tcW w:w="4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controlled entities (or the investment</w:t>
            </w:r>
          </w:p>
        </w:tc>
      </w:tr>
    </w:tbl>
    <w:p>
      <w:pPr>
        <w:spacing w:after="0" w:line="4" w:lineRule="exact"/>
        <w:rPr>
          <w:sz w:val="20"/>
          <w:szCs w:val="20"/>
          <w:color w:val="auto"/>
        </w:rPr>
      </w:pPr>
    </w:p>
    <w:p>
      <w:pPr>
        <w:ind w:left="120" w:right="3579"/>
        <w:spacing w:after="0" w:line="237" w:lineRule="auto"/>
        <w:rPr>
          <w:sz w:val="20"/>
          <w:szCs w:val="20"/>
          <w:color w:val="auto"/>
        </w:rPr>
      </w:pPr>
      <w:r>
        <w:rPr>
          <w:rFonts w:ascii="Courier New" w:cs="Courier New" w:eastAsia="Courier New" w:hAnsi="Courier New"/>
          <w:sz w:val="18"/>
          <w:szCs w:val="18"/>
          <w:color w:val="auto"/>
        </w:rPr>
        <w:t>advisory clients thereof) to the extent such shares are held by persons other than BCG and Ronald Baron. BAMCO disclaim beneficial ownership of shares held by their investment advisory clients to the extent such shares are held by persons other than BAMCO and their affiliates.</w:t>
      </w:r>
    </w:p>
    <w:p>
      <w:pPr>
        <w:sectPr>
          <w:pgSz w:w="11900" w:h="16838" w:orient="portrait"/>
          <w:cols w:equalWidth="0" w:num="1">
            <w:col w:w="10219"/>
          </w:cols>
          <w:pgMar w:left="240" w:top="514"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9 of 12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Courier New" w:cs="Courier New" w:eastAsia="Courier New" w:hAnsi="Courier New"/>
                <w:sz w:val="18"/>
                <w:szCs w:val="18"/>
                <w:color w:val="auto"/>
              </w:rPr>
              <w:t>Ronald Baron:</w:t>
            </w:r>
          </w:p>
        </w:tc>
        <w:tc>
          <w:tcPr>
            <w:tcW w:w="5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ind w:left="2320" w:hanging="627"/>
        <w:spacing w:after="0" w:line="238" w:lineRule="auto"/>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2,257,353</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2,257,353</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2,257,353</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2,257,353</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0</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Courier New" w:cs="Courier New" w:eastAsia="Courier New" w:hAnsi="Courier New"/>
                <w:sz w:val="18"/>
                <w:szCs w:val="18"/>
                <w:color w:val="auto"/>
              </w:rPr>
              <w:t>Ronald Baron:</w:t>
            </w:r>
          </w:p>
        </w:tc>
        <w:tc>
          <w:tcPr>
            <w:tcW w:w="5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2,257,353</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2,257,353</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2,257,353</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2,257,353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No Material Change</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2419"/>
        <w:spacing w:after="0" w:line="290" w:lineRule="auto"/>
        <w:rPr>
          <w:sz w:val="20"/>
          <w:szCs w:val="20"/>
          <w:color w:val="auto"/>
        </w:rPr>
      </w:pPr>
      <w:r>
        <w:rPr>
          <w:rFonts w:ascii="Courier New" w:cs="Courier New" w:eastAsia="Courier New" w:hAnsi="Courier New"/>
          <w:sz w:val="16"/>
          <w:szCs w:val="16"/>
          <w:color w:val="auto"/>
        </w:rPr>
        <w:t>BAMCO is a subsidiary of BCG. BSC is an investment advisory client of BAMCO. Ronald Baron owns a controlling interest in BCG.</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220" w:right="3159" w:hanging="212"/>
        <w:spacing w:after="0" w:line="268" w:lineRule="auto"/>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their respective clients, BAMCO has been given the discretion to dispose</w:t>
      </w:r>
    </w:p>
    <w:p>
      <w:pPr>
        <w:ind w:left="220" w:right="34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the disposition of the securities in the advisory accounts. All such discretionary agreements, are however, revocable.</w:t>
      </w:r>
    </w:p>
    <w:p>
      <w:pPr>
        <w:sectPr>
          <w:pgSz w:w="11900" w:h="16838" w:orient="portrait"/>
          <w:cols w:equalWidth="0" w:num="1">
            <w:col w:w="10219"/>
          </w:cols>
          <w:pgMar w:left="240" w:top="514" w:right="1440" w:bottom="1440" w:gutter="0" w:footer="0" w:header="0"/>
        </w:sectPr>
      </w:pPr>
    </w:p>
    <w:bookmarkStart w:id="8" w:name="page9"/>
    <w:bookmarkEnd w:id="8"/>
    <w:p>
      <w:pPr>
        <w:ind w:left="5160"/>
        <w:spacing w:after="0"/>
        <w:rPr>
          <w:sz w:val="20"/>
          <w:szCs w:val="20"/>
          <w:color w:val="auto"/>
        </w:rPr>
      </w:pPr>
      <w:r>
        <w:rPr>
          <w:rFonts w:ascii="Courier New" w:cs="Courier New" w:eastAsia="Courier New" w:hAnsi="Courier New"/>
          <w:sz w:val="18"/>
          <w:szCs w:val="18"/>
          <w:color w:val="auto"/>
        </w:rPr>
        <w:t>Page 10 of 12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2004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Baron Small Cap Fund and</w:t>
      </w:r>
    </w:p>
    <w:p>
      <w:pPr>
        <w:ind w:left="2540"/>
        <w:spacing w:after="0"/>
        <w:rPr>
          <w:sz w:val="20"/>
          <w:szCs w:val="20"/>
          <w:color w:val="auto"/>
        </w:rPr>
      </w:pPr>
      <w:r>
        <w:rPr>
          <w:rFonts w:ascii="Courier New" w:cs="Courier New" w:eastAsia="Courier New" w:hAnsi="Courier New"/>
          <w:sz w:val="18"/>
          <w:szCs w:val="18"/>
          <w:color w:val="auto"/>
        </w:rPr>
        <w:t>Baron Capital Management, Inc.</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11 of 12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each hereby agree that the Schedule 13G dated February 13, 2004, which relates to the common stock of Casual Male Retail Group Inc., is to be filed jointly on behalf of each of them for the reasons stated therein, and any amendments thereto shall be filed jointly by the undersigned.</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13, 2004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Baron Asset Fund</w:t>
      </w:r>
    </w:p>
    <w:p>
      <w:pPr>
        <w:ind w:left="2540"/>
        <w:spacing w:after="0"/>
        <w:rPr>
          <w:sz w:val="20"/>
          <w:szCs w:val="20"/>
          <w:color w:val="auto"/>
        </w:rPr>
      </w:pPr>
      <w:r>
        <w:rPr>
          <w:rFonts w:ascii="Courier New" w:cs="Courier New" w:eastAsia="Courier New" w:hAnsi="Courier New"/>
          <w:sz w:val="18"/>
          <w:szCs w:val="18"/>
          <w:color w:val="auto"/>
        </w:rPr>
        <w:t>and Baron Capital Management, Inc.</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2"/>
      <w:numFmt w:val="decimal"/>
      <w:start w:val="1"/>
    </w:lvl>
  </w:abstractNum>
  <w:abstractNum w:abstractNumId="1">
    <w:nsid w:val="431BD7B7"/>
    <w:multiLevelType w:val="hybridMultilevel"/>
    <w:lvl w:ilvl="0">
      <w:lvlJc w:val="left"/>
      <w:lvlText w:val="-"/>
      <w:numFmt w:val="bullet"/>
      <w:start w:val="1"/>
    </w:lvl>
    <w:lvl w:ilvl="1">
      <w:lvlJc w:val="left"/>
      <w:lvlText w:val="(%2)"/>
      <w:numFmt w:val="lowerLetter"/>
      <w:start w:val="1"/>
    </w:lvl>
  </w:abstractNum>
  <w:abstractNum w:abstractNumId="2">
    <w:nsid w:val="3F2DBA31"/>
    <w:multiLevelType w:val="hybridMultilevel"/>
    <w:lvl w:ilvl="0">
      <w:lvlJc w:val="left"/>
      <w:lvlText w:val="-"/>
      <w:numFmt w:val="bullet"/>
      <w:start w:val="1"/>
    </w:lvl>
    <w:lvl w:ilvl="1">
      <w:lvlJc w:val="left"/>
      <w:lvlText w:val="8"/>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lvl w:ilvl="1">
      <w:lvlJc w:val="left"/>
      <w:lvlText w:val="%2"/>
      <w:numFmt w:val="decimal"/>
      <w:start w:val="1"/>
    </w:lvl>
  </w:abstractNum>
  <w:abstractNum w:abstractNumId="7">
    <w:nsid w:val="628C895D"/>
    <w:multiLevelType w:val="hybridMultilevel"/>
    <w:lvl w:ilvl="0">
      <w:lvlJc w:val="left"/>
      <w:lvlText w:val="-"/>
      <w:numFmt w:val="bullet"/>
      <w:start w:val="1"/>
    </w:lvl>
    <w:lvl w:ilvl="1">
      <w:lvlJc w:val="left"/>
      <w:lvlText w:val="(%2)"/>
      <w:numFmt w:val="lowerLetter"/>
      <w:start w:val="1"/>
    </w:lvl>
  </w:abstractNum>
  <w:abstractNum w:abstractNumId="8">
    <w:nsid w:val="333AB105"/>
    <w:multiLevelType w:val="hybridMultilevel"/>
    <w:lvl w:ilvl="0">
      <w:lvlJc w:val="left"/>
      <w:lvlText w:val="-"/>
      <w:numFmt w:val="bullet"/>
      <w:start w:val="1"/>
    </w:lvl>
    <w:lvl w:ilvl="1">
      <w:lvlJc w:val="left"/>
      <w:lvlText w:val="8"/>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lvl w:ilvl="1">
      <w:lvlJc w:val="left"/>
      <w:lvlText w:val="%2"/>
      <w:numFmt w:val="decimal"/>
      <w:start w:val="1"/>
    </w:lvl>
  </w:abstractNum>
  <w:abstractNum w:abstractNumId="13">
    <w:nsid w:val="75A2A8D4"/>
    <w:multiLevelType w:val="hybridMultilevel"/>
    <w:lvl w:ilvl="0">
      <w:lvlJc w:val="left"/>
      <w:lvlText w:val="-"/>
      <w:numFmt w:val="bullet"/>
      <w:start w:val="1"/>
    </w:lvl>
    <w:lvl w:ilvl="1">
      <w:lvlJc w:val="left"/>
      <w:lvlText w:val="(%2)"/>
      <w:numFmt w:val="lowerLetter"/>
      <w:start w:val="1"/>
    </w:lvl>
  </w:abstractNum>
  <w:abstractNum w:abstractNumId="14">
    <w:nsid w:val="8EDBDAB"/>
    <w:multiLevelType w:val="hybridMultilevel"/>
    <w:lvl w:ilvl="0">
      <w:lvlJc w:val="left"/>
      <w:lvlText w:val="-"/>
      <w:numFmt w:val="bullet"/>
      <w:start w:val="1"/>
    </w:lvl>
    <w:lvl w:ilvl="1">
      <w:lvlJc w:val="left"/>
      <w:lvlText w:val="8"/>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lvl w:ilvl="1">
      <w:lvlJc w:val="left"/>
      <w:lvlText w:val="%2"/>
      <w:numFmt w:val="decimal"/>
      <w:start w:val="1"/>
    </w:lvl>
  </w:abstractNum>
  <w:abstractNum w:abstractNumId="19">
    <w:nsid w:val="54E49EB4"/>
    <w:multiLevelType w:val="hybridMultilevel"/>
    <w:lvl w:ilvl="0">
      <w:lvlJc w:val="left"/>
      <w:lvlText w:val="-"/>
      <w:numFmt w:val="bullet"/>
      <w:start w:val="1"/>
    </w:lvl>
    <w:lvl w:ilvl="1">
      <w:lvlJc w:val="left"/>
      <w:lvlText w:val="(%2)"/>
      <w:numFmt w:val="lowerLetter"/>
      <w:start w:val="1"/>
    </w:lvl>
  </w:abstractNum>
  <w:abstractNum w:abstractNumId="20">
    <w:nsid w:val="71F32454"/>
    <w:multiLevelType w:val="hybridMultilevel"/>
    <w:lvl w:ilvl="0">
      <w:lvlJc w:val="left"/>
      <w:lvlText w:val="-"/>
      <w:numFmt w:val="bullet"/>
      <w:start w:val="1"/>
    </w:lvl>
    <w:lvl w:ilvl="1">
      <w:lvlJc w:val="left"/>
      <w:lvlText w:val="8"/>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2"/>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4"/>
    </w:lvl>
  </w:abstractNum>
  <w:abstractNum w:abstractNumId="28">
    <w:nsid w:val="737B8DDC"/>
    <w:multiLevelType w:val="hybridMultilevel"/>
    <w:lvl w:ilvl="0">
      <w:lvlJc w:val="left"/>
      <w:lvlText w:val="(%1)"/>
      <w:numFmt w:val="lowerLetter"/>
      <w:start w:val="5"/>
    </w:lvl>
  </w:abstractNum>
  <w:abstractNum w:abstractNumId="29">
    <w:nsid w:val="6CEAF087"/>
    <w:multiLevelType w:val="hybridMultilevel"/>
    <w:lvl w:ilvl="0">
      <w:lvlJc w:val="left"/>
      <w:lvlText w:val="(%1)"/>
      <w:numFmt w:val="lowerLetter"/>
      <w:start w:val="4"/>
    </w:lvl>
  </w:abstractNum>
  <w:abstractNum w:abstractNumId="30">
    <w:nsid w:val="22221A70"/>
    <w:multiLevelType w:val="hybridMultilevel"/>
    <w:lvl w:ilvl="0">
      <w:lvlJc w:val="left"/>
      <w:lvlText w:val="(%1)"/>
      <w:numFmt w:val="lowerRoman"/>
      <w:start w:val="1"/>
    </w:lvl>
  </w:abstractNum>
  <w:abstractNum w:abstractNumId="31">
    <w:nsid w:val="4516DDE9"/>
    <w:multiLevelType w:val="hybridMultilevel"/>
    <w:lvl w:ilvl="0">
      <w:lvlJc w:val="left"/>
      <w:lvlText w:val="(%1)"/>
      <w:numFmt w:val="lowerRoman"/>
      <w:start w:val="2"/>
    </w:lvl>
  </w:abstractNum>
  <w:abstractNum w:abstractNumId="32">
    <w:nsid w:val="3006C83E"/>
    <w:multiLevelType w:val="hybridMultilevel"/>
    <w:lvl w:ilvl="0">
      <w:lvlJc w:val="left"/>
      <w:lvlText w:val="(%1)"/>
      <w:numFmt w:val="lowerRoman"/>
      <w:start w:val="4"/>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2019-12-20T06:44:14Z</dcterms:created>
  <dcterms:modified xsi:type="dcterms:W3CDTF">2019-12-20T06:44:14Z</dcterms:modified>
</cp:coreProperties>
</file>