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June 15,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429"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429"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Definitive Material Contract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 (the "Company") and Jewelcor Management,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("JMI") entered into an Amendment to Consulting Agreement dated as of June 15,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2005, to increase JMI's annual compensation, effective May 9, 2005, to</w:t>
      </w:r>
    </w:p>
    <w:p>
      <w:pPr>
        <w:spacing w:after="0"/>
        <w:tabs>
          <w:tab w:leader="none" w:pos="2620" w:val="left"/>
        </w:tabs>
        <w:rPr>
          <w:sz w:val="20"/>
          <w:szCs w:val="20"/>
          <w:color w:val="auto"/>
        </w:rPr>
      </w:pPr>
      <w:r>
        <w:rPr>
          <w:rFonts w:ascii="Courier New" w:cs="Courier New" w:eastAsia="Courier New" w:hAnsi="Courier New"/>
          <w:sz w:val="18"/>
          <w:szCs w:val="18"/>
          <w:color w:val="auto"/>
        </w:rPr>
        <w:t>$412,000 from $392,000.</w:t>
      </w:r>
      <w:r>
        <w:rPr>
          <w:sz w:val="20"/>
          <w:szCs w:val="20"/>
          <w:color w:val="auto"/>
        </w:rPr>
        <w:tab/>
      </w:r>
      <w:r>
        <w:rPr>
          <w:rFonts w:ascii="Courier New" w:cs="Courier New" w:eastAsia="Courier New" w:hAnsi="Courier New"/>
          <w:sz w:val="16"/>
          <w:szCs w:val="16"/>
          <w:color w:val="auto"/>
        </w:rPr>
        <w:t>The Amendment to Consulting Agreement also permits</w:t>
      </w:r>
    </w:p>
    <w:p>
      <w:pPr>
        <w:spacing w:after="0"/>
        <w:rPr>
          <w:sz w:val="20"/>
          <w:szCs w:val="20"/>
          <w:color w:val="auto"/>
        </w:rPr>
      </w:pPr>
      <w:r>
        <w:rPr>
          <w:rFonts w:ascii="Courier New" w:cs="Courier New" w:eastAsia="Courier New" w:hAnsi="Courier New"/>
          <w:sz w:val="18"/>
          <w:szCs w:val="18"/>
          <w:color w:val="auto"/>
        </w:rPr>
        <w:t>JMI's participation in the Company's Executive Incentive Plan for the year</w:t>
      </w:r>
    </w:p>
    <w:p>
      <w:pPr>
        <w:spacing w:after="0" w:line="237" w:lineRule="auto"/>
        <w:rPr>
          <w:sz w:val="20"/>
          <w:szCs w:val="20"/>
          <w:color w:val="auto"/>
        </w:rPr>
      </w:pPr>
      <w:r>
        <w:rPr>
          <w:rFonts w:ascii="Courier New" w:cs="Courier New" w:eastAsia="Courier New" w:hAnsi="Courier New"/>
          <w:sz w:val="18"/>
          <w:szCs w:val="18"/>
          <w:color w:val="auto"/>
        </w:rPr>
        <w:t>ending January 28, 2006.</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 copy of the Amendment to Consulting Agreement dated June 15, 2005 is attached hereto as Exhibit 10.1.</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sectPr>
          <w:pgSz w:w="11900" w:h="16838" w:orient="portrait"/>
          <w:cols w:equalWidth="0" w:num="1">
            <w:col w:w="10219"/>
          </w:cols>
          <w:pgMar w:left="240" w:top="447" w:right="1440" w:bottom="429" w:gutter="0" w:footer="0" w:header="0"/>
          <w:type w:val="continuous"/>
        </w:sectPr>
      </w:pPr>
    </w:p>
    <w:p>
      <w:pPr>
        <w:spacing w:after="0" w:line="207" w:lineRule="exact"/>
        <w:rPr>
          <w:sz w:val="24"/>
          <w:szCs w:val="24"/>
          <w:color w:val="auto"/>
        </w:rPr>
      </w:pPr>
    </w:p>
    <w:p>
      <w:pPr>
        <w:spacing w:after="0" w:line="236" w:lineRule="auto"/>
        <w:rPr>
          <w:sz w:val="20"/>
          <w:szCs w:val="20"/>
          <w:color w:val="auto"/>
        </w:rPr>
      </w:pPr>
      <w:r>
        <w:rPr>
          <w:rFonts w:ascii="Courier New" w:cs="Courier New" w:eastAsia="Courier New" w:hAnsi="Courier New"/>
          <w:sz w:val="18"/>
          <w:szCs w:val="18"/>
          <w:color w:val="auto"/>
        </w:rPr>
        <w:t>Exhibit No. - ----------- 10.1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Amendment to Consulting Agreement, effective May 9, 2005,</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between the Company and Jewelcor Management, Inc.</w:t>
      </w:r>
    </w:p>
    <w:p>
      <w:pPr>
        <w:sectPr>
          <w:pgSz w:w="11900" w:h="16838" w:orient="portrait"/>
          <w:cols w:equalWidth="0" w:num="2">
            <w:col w:w="1380" w:space="420"/>
            <w:col w:w="8419"/>
          </w:cols>
          <w:pgMar w:left="240" w:top="447" w:right="1440" w:bottom="429"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20, 2005</w:t>
      </w:r>
    </w:p>
    <w:p>
      <w:pPr>
        <w:sectPr>
          <w:pgSz w:w="11900" w:h="16838" w:orient="portrait"/>
          <w:cols w:equalWidth="0" w:num="1">
            <w:col w:w="10219"/>
          </w:cols>
          <w:pgMar w:left="240" w:top="1440" w:right="1440" w:bottom="1440" w:gutter="0" w:footer="0" w:header="0"/>
        </w:sectPr>
      </w:pPr>
    </w:p>
    <w:bookmarkStart w:id="2" w:name="page3"/>
    <w:bookmarkEnd w:id="2"/>
    <w:p>
      <w:pPr>
        <w:jc w:val="center"/>
        <w:ind w:right="2519"/>
        <w:spacing w:after="0"/>
        <w:rPr>
          <w:sz w:val="20"/>
          <w:szCs w:val="20"/>
          <w:color w:val="auto"/>
        </w:rPr>
      </w:pPr>
      <w:r>
        <w:rPr>
          <w:rFonts w:ascii="Courier New" w:cs="Courier New" w:eastAsia="Courier New" w:hAnsi="Courier New"/>
          <w:sz w:val="18"/>
          <w:szCs w:val="18"/>
          <w:color w:val="auto"/>
        </w:rPr>
        <w:t>AMENDMENT TO CONSULTING AGREEMENT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June 15, 2005</w:t>
      </w:r>
    </w:p>
    <w:p>
      <w:pPr>
        <w:spacing w:after="0" w:line="200" w:lineRule="exact"/>
        <w:rPr>
          <w:sz w:val="20"/>
          <w:szCs w:val="20"/>
          <w:color w:val="auto"/>
        </w:rPr>
      </w:pPr>
    </w:p>
    <w:p>
      <w:pPr>
        <w:spacing w:after="0" w:line="209"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WHEREAS, Casual Male Retail Group, Inc., (formerly Designs, Inc., the "Corporation") and Jewelcor Management, Inc. (the "Independent Contractor") entered into a certain Consulting Agreement dated as of April 29, 2000, as amended by Letter Agreement dated April 28, 2001, by Letter Agreement dated as of April 28, 2002, by Amendment to Consulting Agreement dated as of April 29, 2003, by Amendment to Consulting Agreement dated as of April 26, 2004, and by Amendment to Consulting Agreement dated as of August 26, 2004 (hereinafter referred to as the "Agreement"), and</w:t>
      </w:r>
    </w:p>
    <w:p>
      <w:pPr>
        <w:spacing w:after="0" w:line="200" w:lineRule="exact"/>
        <w:rPr>
          <w:sz w:val="20"/>
          <w:szCs w:val="20"/>
          <w:color w:val="auto"/>
        </w:rPr>
      </w:pPr>
    </w:p>
    <w:p>
      <w:pPr>
        <w:spacing w:after="0" w:line="216"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WHEREAS, Corporation and Independent Contractor wish to amend, modify and/or restate certain terms, provisions, conditions and covenants of the Agreement.</w:t>
      </w:r>
    </w:p>
    <w:p>
      <w:pPr>
        <w:spacing w:after="0" w:line="200" w:lineRule="exact"/>
        <w:rPr>
          <w:sz w:val="20"/>
          <w:szCs w:val="20"/>
          <w:color w:val="auto"/>
        </w:rPr>
      </w:pPr>
    </w:p>
    <w:p>
      <w:pPr>
        <w:spacing w:after="0" w:line="21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for and in consideration of the mutual promises and covenants set forth in this Agreement, and for other good and valuable consideration, the receipt and sufficiency of which are hereby expressly acknowledged, the Corporation and the Independent Contractor hereby agree to amend the Agreement as follows:</w:t>
      </w:r>
    </w:p>
    <w:p>
      <w:pPr>
        <w:spacing w:after="0" w:line="200" w:lineRule="exact"/>
        <w:rPr>
          <w:sz w:val="20"/>
          <w:szCs w:val="20"/>
          <w:color w:val="auto"/>
        </w:rPr>
      </w:pPr>
    </w:p>
    <w:p>
      <w:pPr>
        <w:spacing w:after="0" w:line="212" w:lineRule="exact"/>
        <w:rPr>
          <w:sz w:val="20"/>
          <w:szCs w:val="20"/>
          <w:color w:val="auto"/>
        </w:rPr>
      </w:pPr>
    </w:p>
    <w:p>
      <w:pPr>
        <w:ind w:right="293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May 9, 2005, subject to the provisions of Section 4 of the Agreement, the consideration to be furnished to the Independent Contractor by the Corporation for the Services rendered by the Independent Contractor under the Agreement</w:t>
      </w:r>
    </w:p>
    <w:p>
      <w:pPr>
        <w:spacing w:after="0" w:line="4" w:lineRule="exact"/>
        <w:rPr>
          <w:rFonts w:ascii="Courier New" w:cs="Courier New" w:eastAsia="Courier New" w:hAnsi="Courier New"/>
          <w:sz w:val="18"/>
          <w:szCs w:val="18"/>
          <w:color w:val="auto"/>
        </w:rPr>
      </w:pPr>
    </w:p>
    <w:p>
      <w:pPr>
        <w:ind w:right="36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shall consist of (a) annual compensation of $412,000 payable, at the election of the Independent Contractor, either in cash or in non-forfeitable, fully paid and non-assessable shares of Common Stock of the Corporation, the number of which shares of Common Stock shall be valued as of, and determined by, the last closing price on May 9, 2005, and (b) an annual amount of $24,000 payable in monthly installments of $2,000 per month for the reimbursement of expenses incurred by the Independent Contractor in the rendering of Services under the Agreement.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 of the Agreement is further amended as follows:</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Bonus</w:t>
      </w:r>
    </w:p>
    <w:p>
      <w:pPr>
        <w:spacing w:after="0" w:line="207"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The Independent Contractor is eligible to participate in the Company's 2005 Executive Incentive Program, pursuant to which the Independent Contractor may receive a Bonus Award</w:t>
      </w:r>
    </w:p>
    <w:p>
      <w:pPr>
        <w:spacing w:after="0" w:line="6" w:lineRule="exact"/>
        <w:rPr>
          <w:sz w:val="20"/>
          <w:szCs w:val="20"/>
          <w:color w:val="auto"/>
        </w:rPr>
      </w:pPr>
    </w:p>
    <w:p>
      <w:pPr>
        <w:ind w:right="3579"/>
        <w:spacing w:after="0" w:line="272" w:lineRule="auto"/>
        <w:rPr>
          <w:sz w:val="20"/>
          <w:szCs w:val="20"/>
          <w:color w:val="auto"/>
        </w:rPr>
      </w:pPr>
      <w:r>
        <w:rPr>
          <w:rFonts w:ascii="Courier New" w:cs="Courier New" w:eastAsia="Courier New" w:hAnsi="Courier New"/>
          <w:sz w:val="16"/>
          <w:szCs w:val="16"/>
          <w:color w:val="auto"/>
        </w:rPr>
        <w:t>Payout up to $460,000, if the Company achieves certain specific sales and EBITDA thresholds as described in the 2005 Executive Incentive Program. A copy of the 2005 Executive Incentive Program is attached hereto. This Agreement must be in force at the end of the respective fiscal year and at the time the bonus is distributed to be eligible to receive such payout.</w:t>
      </w:r>
    </w:p>
    <w:p>
      <w:pPr>
        <w:spacing w:after="0" w:line="388"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pacing w:after="0" w:line="38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IN WITNESS WHEREOF, the parties hereto have executed this Amendment to Consulting Agreement as a sealed instrument, in any number of counterpart copies, each of which shall be deemed an original for all purposes, as of the day and year first written above.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THE CORPORATION:</w:t>
      </w:r>
    </w:p>
    <w:p>
      <w:pPr>
        <w:jc w:val="right"/>
        <w:ind w:right="1999"/>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4"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By:</w:t>
        <w:tab/>
        <w:t>/s/ DAVID LEVIN</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Levin</w:t>
      </w: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Title:</w:t>
        <w:tab/>
        <w:t>President and Chief</w:t>
      </w:r>
    </w:p>
    <w:p>
      <w:pPr>
        <w:ind w:left="5060"/>
        <w:spacing w:after="0" w:line="237" w:lineRule="auto"/>
        <w:rPr>
          <w:sz w:val="20"/>
          <w:szCs w:val="20"/>
          <w:color w:val="auto"/>
        </w:rPr>
      </w:pPr>
      <w:r>
        <w:rPr>
          <w:rFonts w:ascii="Courier New" w:cs="Courier New" w:eastAsia="Courier New" w:hAnsi="Courier New"/>
          <w:sz w:val="18"/>
          <w:szCs w:val="18"/>
          <w:color w:val="auto"/>
        </w:rPr>
        <w:t>Executive Officer</w:t>
      </w:r>
    </w:p>
    <w:p>
      <w:pPr>
        <w:sectPr>
          <w:pgSz w:w="11900" w:h="16838" w:orient="portrait"/>
          <w:cols w:equalWidth="0" w:num="1">
            <w:col w:w="10219"/>
          </w:cols>
          <w:pgMar w:left="240" w:top="339" w:right="1440" w:bottom="0" w:gutter="0" w:footer="0" w:header="0"/>
        </w:sectPr>
      </w:pPr>
    </w:p>
    <w:bookmarkStart w:id="3" w:name="page4"/>
    <w:bookmarkEnd w:id="3"/>
    <w:p>
      <w:pPr>
        <w:ind w:left="3860"/>
        <w:spacing w:after="0"/>
        <w:tabs>
          <w:tab w:leader="none" w:pos="4380" w:val="left"/>
        </w:tabs>
        <w:rPr>
          <w:sz w:val="20"/>
          <w:szCs w:val="20"/>
          <w:color w:val="auto"/>
        </w:rPr>
      </w:pPr>
      <w:r>
        <w:rPr>
          <w:rFonts w:ascii="Courier New" w:cs="Courier New" w:eastAsia="Courier New" w:hAnsi="Courier New"/>
          <w:sz w:val="16"/>
          <w:szCs w:val="16"/>
          <w:color w:val="auto"/>
        </w:rPr>
        <w:t>By:</w:t>
        <w:tab/>
        <w:t>/s/ DENNIS R. HERNREICH</w:t>
      </w:r>
    </w:p>
    <w:p>
      <w:pPr>
        <w:spacing w:after="0" w:line="16" w:lineRule="exact"/>
        <w:rPr>
          <w:sz w:val="20"/>
          <w:szCs w:val="20"/>
          <w:color w:val="auto"/>
        </w:rPr>
      </w:pPr>
    </w:p>
    <w:p>
      <w:pPr>
        <w:ind w:left="2600"/>
        <w:spacing w:after="0"/>
        <w:tabs>
          <w:tab w:leader="none" w:pos="33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ind w:left="2600"/>
        <w:spacing w:after="0"/>
        <w:tabs>
          <w:tab w:leader="none" w:pos="34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w:t>
      </w:r>
    </w:p>
    <w:p>
      <w:pPr>
        <w:ind w:left="2600"/>
        <w:spacing w:after="0"/>
        <w:rPr>
          <w:sz w:val="20"/>
          <w:szCs w:val="20"/>
          <w:color w:val="auto"/>
        </w:rPr>
      </w:pPr>
      <w:r>
        <w:rPr>
          <w:rFonts w:ascii="Courier New" w:cs="Courier New" w:eastAsia="Courier New" w:hAnsi="Courier New"/>
          <w:sz w:val="18"/>
          <w:szCs w:val="18"/>
          <w:color w:val="auto"/>
        </w:rPr>
        <w:t>Chief Operating Officer, Chief</w:t>
      </w:r>
    </w:p>
    <w:p>
      <w:pPr>
        <w:ind w:left="2600"/>
        <w:spacing w:after="0" w:line="237" w:lineRule="auto"/>
        <w:rPr>
          <w:sz w:val="20"/>
          <w:szCs w:val="20"/>
          <w:color w:val="auto"/>
        </w:rPr>
      </w:pPr>
      <w:r>
        <w:rPr>
          <w:rFonts w:ascii="Courier New" w:cs="Courier New" w:eastAsia="Courier New" w:hAnsi="Courier New"/>
          <w:sz w:val="18"/>
          <w:szCs w:val="18"/>
          <w:color w:val="auto"/>
        </w:rPr>
        <w:t>Financial Officer, Treasurer and</w:t>
      </w:r>
    </w:p>
    <w:p>
      <w:pPr>
        <w:ind w:left="260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INDEPENDENT CONTRACTOR:</w:t>
      </w:r>
    </w:p>
    <w:p>
      <w:pPr>
        <w:ind w:left="2600"/>
        <w:spacing w:after="0" w:line="238" w:lineRule="auto"/>
        <w:rPr>
          <w:sz w:val="20"/>
          <w:szCs w:val="20"/>
          <w:color w:val="auto"/>
        </w:rPr>
      </w:pPr>
      <w:r>
        <w:rPr>
          <w:rFonts w:ascii="Courier New" w:cs="Courier New" w:eastAsia="Courier New" w:hAnsi="Courier New"/>
          <w:sz w:val="18"/>
          <w:szCs w:val="18"/>
          <w:color w:val="auto"/>
        </w:rPr>
        <w:t>JEWELCOR MANAGEMENT, INC.</w:t>
      </w:r>
    </w:p>
    <w:p>
      <w:pPr>
        <w:spacing w:after="0" w:line="202" w:lineRule="exact"/>
        <w:rPr>
          <w:sz w:val="20"/>
          <w:szCs w:val="20"/>
          <w:color w:val="auto"/>
        </w:rPr>
      </w:pPr>
    </w:p>
    <w:p>
      <w:pPr>
        <w:ind w:left="2600"/>
        <w:spacing w:after="0"/>
        <w:tabs>
          <w:tab w:leader="none" w:pos="3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SEYMOUR HOLTZMAN</w:t>
      </w:r>
    </w:p>
    <w:p>
      <w:pPr>
        <w:ind w:left="2600"/>
        <w:spacing w:after="0"/>
        <w:tabs>
          <w:tab w:leader="none" w:pos="33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Seymour Holtzman</w:t>
      </w:r>
    </w:p>
    <w:p>
      <w:pPr>
        <w:ind w:left="2600"/>
        <w:spacing w:after="0"/>
        <w:tabs>
          <w:tab w:leader="none" w:pos="34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Chief Executive Officer</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2019-12-19T22:00:38Z</dcterms:created>
  <dcterms:modified xsi:type="dcterms:W3CDTF">2019-12-19T22:00:38Z</dcterms:modified>
</cp:coreProperties>
</file>