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5</w:t>
      </w:r>
    </w:p>
    <w:p>
      <w:pPr>
        <w:spacing w:after="0" w:line="238" w:lineRule="auto"/>
        <w:rPr>
          <w:sz w:val="20"/>
          <w:szCs w:val="20"/>
          <w:color w:val="auto"/>
        </w:rPr>
      </w:pPr>
      <w:r>
        <w:rPr>
          <w:rFonts w:ascii="Courier New" w:cs="Courier New" w:eastAsia="Courier New" w:hAnsi="Courier New"/>
          <w:sz w:val="18"/>
          <w:szCs w:val="18"/>
          <w:color w:val="auto"/>
        </w:rPr>
        <w:t>CASUAL MALE RETAIL GROUP INC</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#148711302</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#148711302</w:t>
      </w:r>
    </w:p>
    <w:p>
      <w:pPr>
        <w:spacing w:after="0" w:line="238" w:lineRule="auto"/>
        <w:rPr>
          <w:sz w:val="20"/>
          <w:szCs w:val="20"/>
          <w:color w:val="auto"/>
        </w:rPr>
      </w:pPr>
      <w:r>
        <w:rPr>
          <w:rFonts w:ascii="Courier New" w:cs="Courier New" w:eastAsia="Courier New" w:hAnsi="Courier New"/>
          <w:sz w:val="18"/>
          <w:szCs w:val="18"/>
          <w:color w:val="auto"/>
        </w:rPr>
        <w:t>Item 1: Reporting Person - FMR LLC</w:t>
      </w:r>
    </w:p>
    <w:tbl>
      <w:tblPr>
        <w:tblLayout w:type="fixed"/>
        <w:tblInd w:w="0" w:type="dxa"/>
        <w:tblCellMar>
          <w:top w:w="0" w:type="dxa"/>
          <w:left w:w="0" w:type="dxa"/>
          <w:bottom w:w="0" w:type="dxa"/>
          <w:right w:w="0" w:type="dxa"/>
        </w:tblCellMar>
      </w:tblPr>
      <w:tr>
        <w:trPr>
          <w:trHeight w:val="203"/>
        </w:trPr>
        <w:tc>
          <w:tcPr>
            <w:tcW w:w="1700" w:type="dxa"/>
            <w:vAlign w:val="bottom"/>
          </w:tcPr>
          <w:p>
            <w:pPr>
              <w:spacing w:after="0"/>
              <w:rPr>
                <w:sz w:val="20"/>
                <w:szCs w:val="20"/>
                <w:color w:val="auto"/>
              </w:rPr>
            </w:pPr>
            <w:r>
              <w:rPr>
                <w:rFonts w:ascii="Courier New" w:cs="Courier New" w:eastAsia="Courier New" w:hAnsi="Courier New"/>
                <w:sz w:val="18"/>
                <w:szCs w:val="18"/>
                <w:color w:val="auto"/>
                <w:w w:val="97"/>
              </w:rPr>
              <w:t>Item 4: Delaware</w:t>
            </w:r>
          </w:p>
        </w:tc>
        <w:tc>
          <w:tcPr>
            <w:tcW w:w="620" w:type="dxa"/>
            <w:vAlign w:val="bottom"/>
          </w:tcPr>
          <w:p>
            <w:pPr>
              <w:spacing w:after="0"/>
              <w:rPr>
                <w:sz w:val="17"/>
                <w:szCs w:val="17"/>
                <w:color w:val="auto"/>
              </w:rPr>
            </w:pP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 16,951</w:t>
            </w:r>
          </w:p>
        </w:tc>
        <w:tc>
          <w:tcPr>
            <w:tcW w:w="620" w:type="dxa"/>
            <w:vAlign w:val="bottom"/>
          </w:tcPr>
          <w:p>
            <w:pPr>
              <w:spacing w:after="0"/>
              <w:rPr>
                <w:sz w:val="17"/>
                <w:szCs w:val="17"/>
                <w:color w:val="auto"/>
              </w:rPr>
            </w:pP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 0</w:t>
            </w:r>
          </w:p>
        </w:tc>
        <w:tc>
          <w:tcPr>
            <w:tcW w:w="620" w:type="dxa"/>
            <w:vAlign w:val="bottom"/>
          </w:tcPr>
          <w:p>
            <w:pPr>
              <w:spacing w:after="0"/>
              <w:rPr>
                <w:sz w:val="17"/>
                <w:szCs w:val="17"/>
                <w:color w:val="auto"/>
              </w:rPr>
            </w:pP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 250,659</w:t>
            </w:r>
          </w:p>
        </w:tc>
        <w:tc>
          <w:tcPr>
            <w:tcW w:w="620" w:type="dxa"/>
            <w:vAlign w:val="bottom"/>
          </w:tcPr>
          <w:p>
            <w:pPr>
              <w:spacing w:after="0"/>
              <w:rPr>
                <w:sz w:val="17"/>
                <w:szCs w:val="17"/>
                <w:color w:val="auto"/>
              </w:rPr>
            </w:pP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 0</w:t>
            </w:r>
          </w:p>
        </w:tc>
        <w:tc>
          <w:tcPr>
            <w:tcW w:w="620" w:type="dxa"/>
            <w:vAlign w:val="bottom"/>
          </w:tcPr>
          <w:p>
            <w:pPr>
              <w:spacing w:after="0"/>
              <w:rPr>
                <w:sz w:val="17"/>
                <w:szCs w:val="17"/>
                <w:color w:val="auto"/>
              </w:rPr>
            </w:pP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 250,659</w:t>
            </w:r>
          </w:p>
        </w:tc>
        <w:tc>
          <w:tcPr>
            <w:tcW w:w="620" w:type="dxa"/>
            <w:vAlign w:val="bottom"/>
          </w:tcPr>
          <w:p>
            <w:pPr>
              <w:spacing w:after="0"/>
              <w:rPr>
                <w:sz w:val="17"/>
                <w:szCs w:val="17"/>
                <w:color w:val="auto"/>
              </w:rPr>
            </w:pP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11:</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0.517%</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12:</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HC</w:t>
            </w:r>
          </w:p>
        </w:tc>
      </w:tr>
    </w:tbl>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#148711302</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1: Reporting Person - Edward C. Johnson 3d</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United States of America</w:t>
      </w:r>
    </w:p>
    <w:p>
      <w:pPr>
        <w:sectPr>
          <w:pgSz w:w="11900" w:h="16838" w:orient="portrait"/>
          <w:cols w:equalWidth="0" w:num="1">
            <w:col w:w="10219"/>
          </w:cols>
          <w:pgMar w:left="240" w:top="244" w:right="1440" w:bottom="0" w:gutter="0" w:footer="0" w:header="0"/>
        </w:sectPr>
      </w:pPr>
    </w:p>
    <w:p>
      <w:pPr>
        <w:spacing w:after="0" w:line="238" w:lineRule="auto"/>
        <w:rPr>
          <w:sz w:val="20"/>
          <w:szCs w:val="20"/>
          <w:color w:val="auto"/>
        </w:rPr>
      </w:pPr>
      <w:r>
        <w:rPr>
          <w:rFonts w:ascii="Courier New" w:cs="Courier New" w:eastAsia="Courier New" w:hAnsi="Courier New"/>
          <w:sz w:val="18"/>
          <w:szCs w:val="18"/>
          <w:color w:val="auto"/>
        </w:rPr>
        <w:t>Item 5: 0</w:t>
      </w:r>
    </w:p>
    <w:p>
      <w:pPr>
        <w:spacing w:after="0"/>
        <w:rPr>
          <w:sz w:val="20"/>
          <w:szCs w:val="20"/>
          <w:color w:val="auto"/>
        </w:rPr>
      </w:pPr>
      <w:r>
        <w:rPr>
          <w:rFonts w:ascii="Courier New" w:cs="Courier New" w:eastAsia="Courier New" w:hAnsi="Courier New"/>
          <w:sz w:val="18"/>
          <w:szCs w:val="18"/>
          <w:color w:val="auto"/>
        </w:rPr>
        <w:t>Item 6: 0</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7: 250,659</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8: 0</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9: 250,659</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11:</w:t>
      </w:r>
    </w:p>
    <w:p>
      <w:pPr>
        <w:spacing w:after="0" w:line="238" w:lineRule="auto"/>
        <w:rPr>
          <w:sz w:val="20"/>
          <w:szCs w:val="20"/>
          <w:color w:val="auto"/>
        </w:rPr>
      </w:pPr>
      <w:r>
        <w:rPr>
          <w:rFonts w:ascii="Courier New" w:cs="Courier New" w:eastAsia="Courier New" w:hAnsi="Courier New"/>
          <w:sz w:val="18"/>
          <w:szCs w:val="18"/>
          <w:color w:val="auto"/>
        </w:rPr>
        <w:t>Item 12: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0.517%</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IN</w:t>
      </w:r>
    </w:p>
    <w:p>
      <w:pPr>
        <w:spacing w:after="0" w:line="200" w:lineRule="exact"/>
        <w:rPr>
          <w:sz w:val="24"/>
          <w:szCs w:val="24"/>
          <w:color w:val="auto"/>
        </w:rPr>
      </w:pPr>
    </w:p>
    <w:p>
      <w:pPr>
        <w:sectPr>
          <w:pgSz w:w="11900" w:h="16838" w:orient="portrait"/>
          <w:cols w:equalWidth="0" w:num="2">
            <w:col w:w="1580" w:space="120"/>
            <w:col w:w="8519"/>
          </w:cols>
          <w:pgMar w:left="240" w:top="244" w:right="1440"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CASUAL MALE RETAIL GROUP</w:t>
      </w:r>
    </w:p>
    <w:p>
      <w:pPr>
        <w:spacing w:after="0" w:line="238" w:lineRule="auto"/>
        <w:rPr>
          <w:sz w:val="20"/>
          <w:szCs w:val="20"/>
          <w:color w:val="auto"/>
        </w:rPr>
      </w:pPr>
      <w:r>
        <w:rPr>
          <w:rFonts w:ascii="Courier New" w:cs="Courier New" w:eastAsia="Courier New" w:hAnsi="Courier New"/>
          <w:sz w:val="18"/>
          <w:szCs w:val="18"/>
          <w:color w:val="auto"/>
        </w:rPr>
        <w:t>INC</w:t>
      </w:r>
    </w:p>
    <w:p>
      <w:pPr>
        <w:spacing w:after="0" w:line="20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Name of Issuer's Principal Executive Offices: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555 Turnpike Street</w:t>
      </w:r>
    </w:p>
    <w:p>
      <w:pPr>
        <w:spacing w:after="0" w:line="201" w:lineRule="exact"/>
        <w:rPr>
          <w:sz w:val="24"/>
          <w:szCs w:val="24"/>
          <w:color w:val="auto"/>
        </w:rPr>
      </w:pPr>
    </w:p>
    <w:p>
      <w:pPr>
        <w:ind w:left="1700"/>
        <w:spacing w:after="0"/>
        <w:tabs>
          <w:tab w:leader="none" w:pos="2940" w:val="left"/>
        </w:tabs>
        <w:rPr>
          <w:sz w:val="20"/>
          <w:szCs w:val="20"/>
          <w:color w:val="auto"/>
        </w:rPr>
      </w:pPr>
      <w:r>
        <w:rPr>
          <w:rFonts w:ascii="Courier New" w:cs="Courier New" w:eastAsia="Courier New" w:hAnsi="Courier New"/>
          <w:sz w:val="18"/>
          <w:szCs w:val="18"/>
          <w:color w:val="auto"/>
        </w:rPr>
        <w:t>Canton, MA</w:t>
      </w:r>
      <w:r>
        <w:rPr>
          <w:sz w:val="20"/>
          <w:szCs w:val="20"/>
          <w:color w:val="auto"/>
        </w:rPr>
        <w:tab/>
      </w:r>
      <w:r>
        <w:rPr>
          <w:rFonts w:ascii="Courier New" w:cs="Courier New" w:eastAsia="Courier New" w:hAnsi="Courier New"/>
          <w:sz w:val="16"/>
          <w:szCs w:val="16"/>
          <w:color w:val="auto"/>
        </w:rPr>
        <w:t>02021</w:t>
      </w:r>
    </w:p>
    <w:p>
      <w:pPr>
        <w:spacing w:after="0" w:line="200" w:lineRule="exact"/>
        <w:rPr>
          <w:sz w:val="24"/>
          <w:szCs w:val="24"/>
          <w:color w:val="auto"/>
        </w:rPr>
      </w:pPr>
    </w:p>
    <w:p>
      <w:pPr>
        <w:spacing w:after="0" w:line="204"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FMR LLC</w:t>
      </w:r>
    </w:p>
    <w:p>
      <w:pPr>
        <w:spacing w:after="0" w:line="207" w:lineRule="exact"/>
        <w:rPr>
          <w:sz w:val="24"/>
          <w:szCs w:val="24"/>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3"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82 Devonshire Street, Boston,</w:t>
      </w:r>
    </w:p>
    <w:p>
      <w:pPr>
        <w:spacing w:after="0" w:line="238" w:lineRule="auto"/>
        <w:tabs>
          <w:tab w:leader="none" w:pos="1560" w:val="left"/>
        </w:tabs>
        <w:rPr>
          <w:sz w:val="20"/>
          <w:szCs w:val="20"/>
          <w:color w:val="auto"/>
        </w:rPr>
      </w:pPr>
      <w:r>
        <w:rPr>
          <w:rFonts w:ascii="Courier New" w:cs="Courier New" w:eastAsia="Courier New" w:hAnsi="Courier New"/>
          <w:sz w:val="18"/>
          <w:szCs w:val="18"/>
          <w:color w:val="auto"/>
        </w:rPr>
        <w:t>Massachusetts</w:t>
        <w:tab/>
        <w:t>02109</w:t>
      </w:r>
    </w:p>
    <w:p>
      <w:pPr>
        <w:spacing w:after="0" w:line="20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4"/>
          <w:szCs w:val="24"/>
          <w:color w:val="auto"/>
        </w:rPr>
      </w:pPr>
    </w:p>
    <w:p>
      <w:pPr>
        <w:jc w:val="center"/>
        <w:ind w:right="535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148711302</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3. This statement is filed pursuant to Rule 13d-1(b) or 13d-2(b)</w:t>
      </w:r>
    </w:p>
    <w:p>
      <w:pPr>
        <w:spacing w:after="0" w:line="21" w:lineRule="exact"/>
        <w:rPr>
          <w:sz w:val="24"/>
          <w:szCs w:val="24"/>
          <w:color w:val="auto"/>
        </w:rPr>
      </w:pPr>
    </w:p>
    <w:p>
      <w:pPr>
        <w:ind w:right="3899"/>
        <w:spacing w:after="0" w:line="236" w:lineRule="auto"/>
        <w:rPr>
          <w:sz w:val="20"/>
          <w:szCs w:val="20"/>
          <w:color w:val="auto"/>
        </w:rPr>
      </w:pPr>
      <w:r>
        <w:rPr>
          <w:rFonts w:ascii="Courier New" w:cs="Courier New" w:eastAsia="Courier New" w:hAnsi="Courier New"/>
          <w:sz w:val="18"/>
          <w:szCs w:val="18"/>
          <w:color w:val="auto"/>
        </w:rPr>
        <w:t>and the person filing, FMR LLC, is a parent holding company in accordance with Section 240.13d-1(b)(ii)(G). (Note: See Item 7).</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ectPr>
          <w:pgSz w:w="11900" w:h="16838" w:orient="portrait"/>
          <w:cols w:equalWidth="0" w:num="1">
            <w:col w:w="10219"/>
          </w:cols>
          <w:pgMar w:left="240" w:top="244" w:right="1440" w:bottom="0" w:gutter="0" w:footer="0" w:header="0"/>
          <w:type w:val="continuous"/>
        </w:sectPr>
      </w:pPr>
    </w:p>
    <w:bookmarkStart w:id="1" w:name="page2"/>
    <w:bookmarkEnd w:id="1"/>
    <w:tbl>
      <w:tblPr>
        <w:tblLayout w:type="fixed"/>
        <w:tblInd w:w="860" w:type="dxa"/>
        <w:tblCellMar>
          <w:top w:w="0" w:type="dxa"/>
          <w:left w:w="0" w:type="dxa"/>
          <w:bottom w:w="0" w:type="dxa"/>
          <w:right w:w="0" w:type="dxa"/>
        </w:tblCellMar>
      </w:tblPr>
      <w:tr>
        <w:trPr>
          <w:trHeight w:val="204"/>
        </w:trPr>
        <w:tc>
          <w:tcPr>
            <w:tcW w:w="580" w:type="dxa"/>
            <w:vAlign w:val="bottom"/>
          </w:tcPr>
          <w:p>
            <w:pPr>
              <w:spacing w:after="0"/>
              <w:rPr>
                <w:sz w:val="20"/>
                <w:szCs w:val="20"/>
                <w:color w:val="auto"/>
              </w:rPr>
            </w:pPr>
            <w:r>
              <w:rPr>
                <w:rFonts w:ascii="Courier New" w:cs="Courier New" w:eastAsia="Courier New" w:hAnsi="Courier New"/>
                <w:sz w:val="18"/>
                <w:szCs w:val="18"/>
                <w:color w:val="auto"/>
              </w:rPr>
              <w:t>(a)</w:t>
            </w:r>
          </w:p>
        </w:tc>
        <w:tc>
          <w:tcPr>
            <w:tcW w:w="352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Amount Beneficially Owned:</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250,659</w:t>
            </w: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(b)</w:t>
            </w:r>
          </w:p>
        </w:tc>
        <w:tc>
          <w:tcPr>
            <w:tcW w:w="2420" w:type="dxa"/>
            <w:vAlign w:val="bottom"/>
          </w:tcPr>
          <w:p>
            <w:pPr>
              <w:ind w:left="260"/>
              <w:spacing w:after="0"/>
              <w:rPr>
                <w:sz w:val="20"/>
                <w:szCs w:val="20"/>
                <w:color w:val="auto"/>
              </w:rPr>
            </w:pPr>
            <w:r>
              <w:rPr>
                <w:rFonts w:ascii="Courier New" w:cs="Courier New" w:eastAsia="Courier New" w:hAnsi="Courier New"/>
                <w:sz w:val="18"/>
                <w:szCs w:val="18"/>
                <w:color w:val="auto"/>
              </w:rPr>
              <w:t>Percent of Class:</w:t>
            </w:r>
          </w:p>
        </w:tc>
        <w:tc>
          <w:tcPr>
            <w:tcW w:w="11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0.517%</w:t>
            </w:r>
          </w:p>
        </w:tc>
        <w:tc>
          <w:tcPr>
            <w:tcW w:w="840" w:type="dxa"/>
            <w:vAlign w:val="bottom"/>
          </w:tcPr>
          <w:p>
            <w:pPr>
              <w:spacing w:after="0"/>
              <w:rPr>
                <w:sz w:val="24"/>
                <w:szCs w:val="24"/>
                <w:color w:val="auto"/>
              </w:rPr>
            </w:pPr>
          </w:p>
        </w:tc>
      </w:tr>
    </w:tbl>
    <w:p>
      <w:pPr>
        <w:spacing w:after="0" w:line="201" w:lineRule="exact"/>
        <w:rPr>
          <w:sz w:val="20"/>
          <w:szCs w:val="20"/>
          <w:color w:val="auto"/>
        </w:rPr>
      </w:pPr>
    </w:p>
    <w:p>
      <w:pPr>
        <w:ind w:left="1700" w:hanging="849"/>
        <w:spacing w:after="0"/>
        <w:tabs>
          <w:tab w:leader="none" w:pos="17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person has:</w:t>
      </w:r>
    </w:p>
    <w:p>
      <w:pPr>
        <w:sectPr>
          <w:pgSz w:w="11900" w:h="16838" w:orient="portrait"/>
          <w:cols w:equalWidth="0" w:num="1">
            <w:col w:w="10219"/>
          </w:cols>
          <w:pgMar w:left="240" w:top="136" w:right="1440" w:bottom="131" w:gutter="0" w:footer="0" w:header="0"/>
        </w:sectPr>
      </w:pP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(i)</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vote: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sole power to vote or to direct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16,951</w:t>
      </w:r>
    </w:p>
    <w:p>
      <w:pPr>
        <w:spacing w:after="0" w:line="200" w:lineRule="exact"/>
        <w:rPr>
          <w:sz w:val="20"/>
          <w:szCs w:val="20"/>
          <w:color w:val="auto"/>
        </w:rPr>
      </w:pPr>
    </w:p>
    <w:p>
      <w:pPr>
        <w:sectPr>
          <w:pgSz w:w="11900" w:h="16838" w:orient="portrait"/>
          <w:cols w:equalWidth="0" w:num="2">
            <w:col w:w="1160" w:space="540"/>
            <w:col w:w="8519"/>
          </w:cols>
          <w:pgMar w:left="240" w:top="136" w:right="1440" w:bottom="131" w:gutter="0" w:footer="0" w:header="0"/>
          <w:type w:val="continuous"/>
        </w:sectPr>
      </w:pPr>
    </w:p>
    <w:p>
      <w:pPr>
        <w:spacing w:after="0" w:line="1" w:lineRule="exact"/>
        <w:rPr>
          <w:sz w:val="20"/>
          <w:szCs w:val="20"/>
          <w:color w:val="auto"/>
        </w:rPr>
      </w:pPr>
    </w:p>
    <w:p>
      <w:pPr>
        <w:ind w:left="1700" w:hanging="849"/>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w:t>
      </w:r>
    </w:p>
    <w:tbl>
      <w:tblPr>
        <w:tblLayout w:type="fixed"/>
        <w:tblInd w:w="0" w:type="dxa"/>
        <w:tblCellMar>
          <w:top w:w="0" w:type="dxa"/>
          <w:left w:w="0" w:type="dxa"/>
          <w:bottom w:w="0" w:type="dxa"/>
          <w:right w:w="0" w:type="dxa"/>
        </w:tblCellMar>
      </w:tblP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vote:</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1" w:lineRule="exact"/>
        <w:rPr>
          <w:sz w:val="20"/>
          <w:szCs w:val="20"/>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250,659</w:t>
            </w:r>
          </w:p>
        </w:tc>
      </w:tr>
    </w:tbl>
    <w:p>
      <w:pPr>
        <w:spacing w:after="0" w:line="201" w:lineRule="exact"/>
        <w:rPr>
          <w:sz w:val="20"/>
          <w:szCs w:val="20"/>
          <w:color w:val="auto"/>
        </w:rPr>
      </w:pPr>
    </w:p>
    <w:p>
      <w:pPr>
        <w:ind w:left="1700" w:hanging="849"/>
        <w:spacing w:after="0"/>
        <w:tabs>
          <w:tab w:leader="none" w:pos="17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7" w:lineRule="exact"/>
        <w:rPr>
          <w:sz w:val="20"/>
          <w:szCs w:val="20"/>
          <w:color w:val="auto"/>
        </w:rPr>
      </w:pPr>
    </w:p>
    <w:p>
      <w:pPr>
        <w:ind w:right="2419" w:firstLine="843"/>
        <w:spacing w:after="0" w:line="235"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w:t>
      </w:r>
    </w:p>
    <w:p>
      <w:pPr>
        <w:spacing w:after="0" w:line="6" w:lineRule="exact"/>
        <w:rPr>
          <w:sz w:val="20"/>
          <w:szCs w:val="20"/>
          <w:color w:val="auto"/>
        </w:rPr>
      </w:pPr>
    </w:p>
    <w:p>
      <w:pPr>
        <w:ind w:right="4099"/>
        <w:spacing w:after="0" w:line="235" w:lineRule="auto"/>
        <w:rPr>
          <w:sz w:val="20"/>
          <w:szCs w:val="20"/>
          <w:color w:val="auto"/>
        </w:rPr>
      </w:pPr>
      <w:r>
        <w:rPr>
          <w:rFonts w:ascii="Courier New" w:cs="Courier New" w:eastAsia="Courier New" w:hAnsi="Courier New"/>
          <w:sz w:val="18"/>
          <w:szCs w:val="18"/>
          <w:color w:val="auto"/>
        </w:rPr>
        <w:t>beneficial owner of more than five percent of the class of securities, check the following (X).</w:t>
      </w:r>
    </w:p>
    <w:p>
      <w:pPr>
        <w:spacing w:after="0" w:line="208"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attached Exhibit A.</w:t>
      </w:r>
    </w:p>
    <w:p>
      <w:pPr>
        <w:spacing w:after="0" w:line="207" w:lineRule="exact"/>
        <w:rPr>
          <w:sz w:val="20"/>
          <w:szCs w:val="20"/>
          <w:color w:val="auto"/>
        </w:rPr>
      </w:pPr>
    </w:p>
    <w:p>
      <w:pPr>
        <w:ind w:right="4419"/>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3" w:lineRule="exact"/>
        <w:rPr>
          <w:sz w:val="20"/>
          <w:szCs w:val="20"/>
          <w:color w:val="auto"/>
        </w:rPr>
      </w:pPr>
    </w:p>
    <w:p>
      <w:pPr>
        <w:ind w:left="860"/>
        <w:spacing w:after="0"/>
        <w:tabs>
          <w:tab w:leader="none" w:pos="2620" w:val="left"/>
        </w:tabs>
        <w:rPr>
          <w:sz w:val="20"/>
          <w:szCs w:val="20"/>
          <w:color w:val="auto"/>
        </w:rPr>
      </w:pPr>
      <w:r>
        <w:rPr>
          <w:rFonts w:ascii="Courier New" w:cs="Courier New" w:eastAsia="Courier New" w:hAnsi="Courier New"/>
          <w:sz w:val="18"/>
          <w:szCs w:val="18"/>
          <w:color w:val="auto"/>
        </w:rPr>
        <w:t>Not applicable.</w:t>
      </w:r>
      <w:r>
        <w:rPr>
          <w:sz w:val="20"/>
          <w:szCs w:val="20"/>
          <w:color w:val="auto"/>
        </w:rPr>
        <w:tab/>
      </w:r>
      <w:r>
        <w:rPr>
          <w:rFonts w:ascii="Courier New" w:cs="Courier New" w:eastAsia="Courier New" w:hAnsi="Courier New"/>
          <w:sz w:val="16"/>
          <w:szCs w:val="16"/>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2839" w:firstLine="843"/>
        <w:spacing w:after="0" w:line="237" w:lineRule="auto"/>
        <w:rPr>
          <w:sz w:val="20"/>
          <w:szCs w:val="20"/>
          <w:color w:val="auto"/>
        </w:rPr>
      </w:pPr>
      <w:r>
        <w:rPr>
          <w:rFonts w:ascii="Courier New" w:cs="Courier New" w:eastAsia="Courier New" w:hAnsi="Courier New"/>
          <w:sz w:val="18"/>
          <w:szCs w:val="18"/>
          <w:color w:val="auto"/>
        </w:rPr>
        <w:t>Inasmuch as the reporting persons are no longer the beneficial owners of more than five percent of the number of shares outstanding, the reporting persons have no further reporting obligation under Section 13(d) of the Securities and Exchange Commission thereunder, and the reporting persons have no</w:t>
      </w:r>
    </w:p>
    <w:p>
      <w:pPr>
        <w:spacing w:after="0" w:line="6" w:lineRule="exact"/>
        <w:rPr>
          <w:sz w:val="20"/>
          <w:szCs w:val="20"/>
          <w:color w:val="auto"/>
        </w:rPr>
      </w:pPr>
    </w:p>
    <w:p>
      <w:pPr>
        <w:ind w:right="4199"/>
        <w:spacing w:after="0" w:line="235" w:lineRule="auto"/>
        <w:rPr>
          <w:sz w:val="20"/>
          <w:szCs w:val="20"/>
          <w:color w:val="auto"/>
        </w:rPr>
      </w:pPr>
      <w:r>
        <w:rPr>
          <w:rFonts w:ascii="Courier New" w:cs="Courier New" w:eastAsia="Courier New" w:hAnsi="Courier New"/>
          <w:sz w:val="18"/>
          <w:szCs w:val="18"/>
          <w:color w:val="auto"/>
        </w:rPr>
        <w:t>obligation to amend this Statement if any material change occurs in the facts set forth herein.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039" w:firstLine="843"/>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May 09, 2012</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/s/ Scott C. Goebel</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Scott C. Goebel</w:t>
      </w:r>
    </w:p>
    <w:p>
      <w:pPr>
        <w:spacing w:after="0" w:line="238" w:lineRule="auto"/>
        <w:rPr>
          <w:sz w:val="20"/>
          <w:szCs w:val="20"/>
          <w:color w:val="auto"/>
        </w:rPr>
      </w:pPr>
      <w:r>
        <w:rPr>
          <w:rFonts w:ascii="Courier New" w:cs="Courier New" w:eastAsia="Courier New" w:hAnsi="Courier New"/>
          <w:sz w:val="18"/>
          <w:szCs w:val="18"/>
          <w:color w:val="auto"/>
        </w:rPr>
        <w:t>Duly authorized under Power of Attorney</w:t>
      </w:r>
    </w:p>
    <w:p>
      <w:pPr>
        <w:spacing w:after="0" w:line="5" w:lineRule="exact"/>
        <w:rPr>
          <w:sz w:val="20"/>
          <w:szCs w:val="20"/>
          <w:color w:val="auto"/>
        </w:rPr>
      </w:pPr>
    </w:p>
    <w:p>
      <w:pPr>
        <w:ind w:right="4319"/>
        <w:spacing w:after="0" w:line="235" w:lineRule="auto"/>
        <w:rPr>
          <w:sz w:val="20"/>
          <w:szCs w:val="20"/>
          <w:color w:val="auto"/>
        </w:rPr>
      </w:pPr>
      <w:r>
        <w:rPr>
          <w:rFonts w:ascii="Courier New" w:cs="Courier New" w:eastAsia="Courier New" w:hAnsi="Courier New"/>
          <w:sz w:val="18"/>
          <w:szCs w:val="18"/>
          <w:color w:val="auto"/>
        </w:rPr>
        <w:t>effective as of June 1, 2008 by and on behalf of FMR LLC and its direct and indirect subsidiaries</w:t>
      </w:r>
    </w:p>
    <w:p>
      <w:pPr>
        <w:spacing w:after="0" w:line="200" w:lineRule="exact"/>
        <w:rPr>
          <w:sz w:val="20"/>
          <w:szCs w:val="20"/>
          <w:color w:val="auto"/>
        </w:rPr>
      </w:pPr>
    </w:p>
    <w:p>
      <w:pPr>
        <w:spacing w:after="0" w:line="20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ectPr>
          <w:pgSz w:w="11900" w:h="16838" w:orient="portrait"/>
          <w:cols w:equalWidth="0" w:num="1">
            <w:col w:w="10219"/>
          </w:cols>
          <w:pgMar w:left="240" w:top="136" w:right="1440" w:bottom="131" w:gutter="0" w:footer="0" w:header="0"/>
          <w:type w:val="continuous"/>
        </w:sectPr>
      </w:pPr>
    </w:p>
    <w:bookmarkStart w:id="2" w:name="page3"/>
    <w:bookmarkEnd w:id="2"/>
    <w:p>
      <w:pPr>
        <w:ind w:right="3579" w:firstLine="843"/>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Fidelity Management &amp; Research Company ("Fidelity"), 82 Devonshire Street, Boston, Massachusetts 02109, a wholly-owned subsidiary of FMR LLC and an investment adviser registered under Section 203 of the Investment Advisers Act</w:t>
      </w:r>
    </w:p>
    <w:p>
      <w:pPr>
        <w:spacing w:after="0" w:line="6" w:lineRule="exact"/>
        <w:rPr>
          <w:sz w:val="20"/>
          <w:szCs w:val="20"/>
          <w:color w:val="auto"/>
        </w:rPr>
      </w:pPr>
    </w:p>
    <w:p>
      <w:pPr>
        <w:ind w:right="3899"/>
        <w:spacing w:after="0" w:line="235" w:lineRule="auto"/>
        <w:rPr>
          <w:sz w:val="20"/>
          <w:szCs w:val="20"/>
          <w:color w:val="auto"/>
        </w:rPr>
      </w:pPr>
      <w:r>
        <w:rPr>
          <w:rFonts w:ascii="Courier New" w:cs="Courier New" w:eastAsia="Courier New" w:hAnsi="Courier New"/>
          <w:sz w:val="18"/>
          <w:szCs w:val="18"/>
          <w:color w:val="auto"/>
        </w:rPr>
        <w:t>of 1940, is the beneficial owner of 233,708 shares or 0.482% of the Common Stock outstanding of CASUAL MALE</w:t>
      </w:r>
    </w:p>
    <w:p>
      <w:pPr>
        <w:spacing w:after="0" w:line="6" w:lineRule="exact"/>
        <w:rPr>
          <w:sz w:val="20"/>
          <w:szCs w:val="20"/>
          <w:color w:val="auto"/>
        </w:rPr>
      </w:pPr>
    </w:p>
    <w:p>
      <w:pPr>
        <w:ind w:right="3999"/>
        <w:spacing w:after="0" w:line="237" w:lineRule="auto"/>
        <w:rPr>
          <w:sz w:val="20"/>
          <w:szCs w:val="20"/>
          <w:color w:val="auto"/>
        </w:rPr>
      </w:pPr>
      <w:r>
        <w:rPr>
          <w:rFonts w:ascii="Courier New" w:cs="Courier New" w:eastAsia="Courier New" w:hAnsi="Courier New"/>
          <w:sz w:val="18"/>
          <w:szCs w:val="18"/>
          <w:color w:val="auto"/>
        </w:rPr>
        <w:t>RETAIL GROUP INC ("the Company") as a result of acting as investment adviser to various investment companies registered under Section 8 of the Investment Company Act of 1940.</w:t>
      </w:r>
    </w:p>
    <w:p>
      <w:pPr>
        <w:spacing w:after="0" w:line="207" w:lineRule="exact"/>
        <w:rPr>
          <w:sz w:val="20"/>
          <w:szCs w:val="20"/>
          <w:color w:val="auto"/>
        </w:rPr>
      </w:pPr>
    </w:p>
    <w:p>
      <w:pPr>
        <w:ind w:right="4199" w:firstLine="843"/>
        <w:spacing w:after="0" w:line="236" w:lineRule="auto"/>
        <w:rPr>
          <w:sz w:val="20"/>
          <w:szCs w:val="20"/>
          <w:color w:val="auto"/>
        </w:rPr>
      </w:pPr>
      <w:r>
        <w:rPr>
          <w:rFonts w:ascii="Courier New" w:cs="Courier New" w:eastAsia="Courier New" w:hAnsi="Courier New"/>
          <w:sz w:val="18"/>
          <w:szCs w:val="18"/>
          <w:color w:val="auto"/>
        </w:rPr>
        <w:t>Edward C. Johnson 3d and FMR LLC, through its control of Fidelity, and the funds each has sole power to dispose of the 233,708 shares owned by the Funds.</w:t>
      </w:r>
    </w:p>
    <w:p>
      <w:pPr>
        <w:spacing w:after="0" w:line="209" w:lineRule="exact"/>
        <w:rPr>
          <w:sz w:val="20"/>
          <w:szCs w:val="20"/>
          <w:color w:val="auto"/>
        </w:rPr>
      </w:pPr>
    </w:p>
    <w:p>
      <w:pPr>
        <w:ind w:right="4099" w:firstLine="843"/>
        <w:spacing w:after="0" w:line="268" w:lineRule="auto"/>
        <w:rPr>
          <w:sz w:val="20"/>
          <w:szCs w:val="20"/>
          <w:color w:val="auto"/>
        </w:rPr>
      </w:pPr>
      <w:r>
        <w:rPr>
          <w:rFonts w:ascii="Courier New" w:cs="Courier New" w:eastAsia="Courier New" w:hAnsi="Courier New"/>
          <w:sz w:val="16"/>
          <w:szCs w:val="16"/>
          <w:color w:val="auto"/>
        </w:rPr>
        <w:t>Members of the family of Edward C. Johnson 3d, Chairman of FMR LLC, are the predominant owners, directly or through trusts, of Series B voting common shares of FMR LLC, representing 49% of the voting power of FMR LLC.</w:t>
      </w:r>
    </w:p>
    <w:p>
      <w:pPr>
        <w:spacing w:after="0" w:line="1" w:lineRule="exact"/>
        <w:rPr>
          <w:sz w:val="20"/>
          <w:szCs w:val="20"/>
          <w:color w:val="auto"/>
        </w:rPr>
      </w:pPr>
    </w:p>
    <w:p>
      <w:pPr>
        <w:ind w:right="3899"/>
        <w:spacing w:after="0" w:line="237" w:lineRule="auto"/>
        <w:rPr>
          <w:sz w:val="20"/>
          <w:szCs w:val="20"/>
          <w:color w:val="auto"/>
        </w:rPr>
      </w:pPr>
      <w:r>
        <w:rPr>
          <w:rFonts w:ascii="Courier New" w:cs="Courier New" w:eastAsia="Courier New" w:hAnsi="Courier New"/>
          <w:sz w:val="18"/>
          <w:szCs w:val="18"/>
          <w:color w:val="auto"/>
        </w:rPr>
        <w:t>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208"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8"/>
          <w:szCs w:val="18"/>
          <w:color w:val="auto"/>
        </w:rPr>
        <w:t>Neither FMR LLC nor Edward C. Johnson 3d,</w:t>
      </w:r>
    </w:p>
    <w:p>
      <w:pPr>
        <w:spacing w:after="0" w:line="4"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6"/>
          <w:szCs w:val="16"/>
          <w:color w:val="auto"/>
        </w:rPr>
        <w:t>Chairman of FMR LLC, has the sole power to vote or direct</w:t>
      </w:r>
    </w:p>
    <w:p>
      <w:pPr>
        <w:spacing w:after="0" w:line="21" w:lineRule="exact"/>
        <w:rPr>
          <w:sz w:val="20"/>
          <w:szCs w:val="20"/>
          <w:color w:val="auto"/>
        </w:rPr>
      </w:pPr>
    </w:p>
    <w:p>
      <w:pPr>
        <w:ind w:right="3679"/>
        <w:spacing w:after="0" w:line="275" w:lineRule="auto"/>
        <w:rPr>
          <w:sz w:val="20"/>
          <w:szCs w:val="20"/>
          <w:color w:val="auto"/>
        </w:rPr>
      </w:pPr>
      <w:r>
        <w:rPr>
          <w:rFonts w:ascii="Courier New" w:cs="Courier New" w:eastAsia="Courier New" w:hAnsi="Courier New"/>
          <w:sz w:val="16"/>
          <w:szCs w:val="16"/>
          <w:color w:val="auto"/>
        </w:rPr>
        <w:t>the voting of the shares owned directly by the Fidelity Funds, which power resides with the Funds' Boards of Trustees. Fidelity carries out the voting of the shares under written guidelines established by the Funds' Boards of Trustees.</w:t>
      </w:r>
    </w:p>
    <w:p>
      <w:pPr>
        <w:spacing w:after="0" w:line="177"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Pyramis Global Advisors Trust Company ("PGATC"),</w:t>
      </w:r>
    </w:p>
    <w:p>
      <w:pPr>
        <w:spacing w:after="0" w:line="4" w:lineRule="exact"/>
        <w:rPr>
          <w:sz w:val="20"/>
          <w:szCs w:val="20"/>
          <w:color w:val="auto"/>
        </w:rPr>
      </w:pPr>
    </w:p>
    <w:p>
      <w:pPr>
        <w:ind w:right="3679"/>
        <w:spacing w:after="0" w:line="268" w:lineRule="auto"/>
        <w:rPr>
          <w:sz w:val="20"/>
          <w:szCs w:val="20"/>
          <w:color w:val="auto"/>
        </w:rPr>
      </w:pPr>
      <w:r>
        <w:rPr>
          <w:rFonts w:ascii="Courier New" w:cs="Courier New" w:eastAsia="Courier New" w:hAnsi="Courier New"/>
          <w:sz w:val="16"/>
          <w:szCs w:val="16"/>
          <w:color w:val="auto"/>
        </w:rPr>
        <w:t>900 Salem Street, Smithfield, Rhode Island, 02917, an indirect wholly-owned subsidiary of FMR LLC and a bank as defined</w:t>
      </w:r>
    </w:p>
    <w:p>
      <w:pPr>
        <w:ind w:right="3779"/>
        <w:spacing w:after="0" w:line="236" w:lineRule="auto"/>
        <w:rPr>
          <w:sz w:val="20"/>
          <w:szCs w:val="20"/>
          <w:color w:val="auto"/>
        </w:rPr>
      </w:pPr>
      <w:r>
        <w:rPr>
          <w:rFonts w:ascii="Courier New" w:cs="Courier New" w:eastAsia="Courier New" w:hAnsi="Courier New"/>
          <w:sz w:val="18"/>
          <w:szCs w:val="18"/>
          <w:color w:val="auto"/>
        </w:rPr>
        <w:t>in Section 3(a)(6) of the Securities Exchange Act of 1934, is the beneficial owner of 16,951 shares or 0.035% of the outstanding Common Stock of the CASUAL MALE RETAIL</w:t>
      </w:r>
    </w:p>
    <w:p>
      <w:pPr>
        <w:spacing w:after="0" w:line="6" w:lineRule="exact"/>
        <w:rPr>
          <w:sz w:val="20"/>
          <w:szCs w:val="20"/>
          <w:color w:val="auto"/>
        </w:rPr>
      </w:pPr>
    </w:p>
    <w:p>
      <w:pPr>
        <w:ind w:right="4099"/>
        <w:spacing w:after="0" w:line="235" w:lineRule="auto"/>
        <w:rPr>
          <w:sz w:val="20"/>
          <w:szCs w:val="20"/>
          <w:color w:val="auto"/>
        </w:rPr>
      </w:pPr>
      <w:r>
        <w:rPr>
          <w:rFonts w:ascii="Courier New" w:cs="Courier New" w:eastAsia="Courier New" w:hAnsi="Courier New"/>
          <w:sz w:val="18"/>
          <w:szCs w:val="18"/>
          <w:color w:val="auto"/>
        </w:rPr>
        <w:t>GROUP INC as a result of its serving as investment manager of institutional accounts owning such shares.</w:t>
      </w:r>
    </w:p>
    <w:p>
      <w:pPr>
        <w:spacing w:after="0" w:line="208" w:lineRule="exact"/>
        <w:rPr>
          <w:sz w:val="20"/>
          <w:szCs w:val="20"/>
          <w:color w:val="auto"/>
        </w:rPr>
      </w:pPr>
    </w:p>
    <w:p>
      <w:pPr>
        <w:ind w:right="3779" w:firstLine="843"/>
        <w:spacing w:after="0" w:line="237" w:lineRule="auto"/>
        <w:rPr>
          <w:sz w:val="20"/>
          <w:szCs w:val="20"/>
          <w:color w:val="auto"/>
        </w:rPr>
      </w:pPr>
      <w:r>
        <w:rPr>
          <w:rFonts w:ascii="Courier New" w:cs="Courier New" w:eastAsia="Courier New" w:hAnsi="Courier New"/>
          <w:sz w:val="18"/>
          <w:szCs w:val="18"/>
          <w:color w:val="auto"/>
        </w:rPr>
        <w:t>Edward C. Johnson 3d and FMR LLC, through its control of Pyramis Global Advisors Trust Company, each has sole dispositive power over 16,951 shares and sole power to vote or to direct the voting of 16,951 shares of Common Stock owned by the institutional accounts managed by PGATC as reported above.</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ind w:left="860"/>
        <w:spacing w:after="0"/>
        <w:tabs>
          <w:tab w:leader="none" w:pos="2720" w:val="left"/>
        </w:tabs>
        <w:rPr>
          <w:sz w:val="20"/>
          <w:szCs w:val="20"/>
          <w:color w:val="auto"/>
        </w:rPr>
      </w:pPr>
      <w:r>
        <w:rPr>
          <w:rFonts w:ascii="Courier New" w:cs="Courier New" w:eastAsia="Courier New" w:hAnsi="Courier New"/>
          <w:sz w:val="18"/>
          <w:szCs w:val="18"/>
          <w:color w:val="auto"/>
        </w:rPr>
        <w:t>RULE 13d-1(f)(1)</w:t>
      </w:r>
      <w:r>
        <w:rPr>
          <w:sz w:val="20"/>
          <w:szCs w:val="20"/>
          <w:color w:val="auto"/>
        </w:rPr>
        <w:tab/>
      </w:r>
      <w:r>
        <w:rPr>
          <w:rFonts w:ascii="Courier New" w:cs="Courier New" w:eastAsia="Courier New" w:hAnsi="Courier New"/>
          <w:sz w:val="16"/>
          <w:szCs w:val="16"/>
          <w:color w:val="auto"/>
        </w:rPr>
        <w:t>AGREEMENT</w:t>
      </w:r>
    </w:p>
    <w:p>
      <w:pPr>
        <w:spacing w:after="0" w:line="207" w:lineRule="exact"/>
        <w:rPr>
          <w:sz w:val="20"/>
          <w:szCs w:val="20"/>
          <w:color w:val="auto"/>
        </w:rPr>
      </w:pPr>
    </w:p>
    <w:p>
      <w:pPr>
        <w:ind w:right="3479" w:firstLine="843"/>
        <w:spacing w:after="0" w:line="237" w:lineRule="auto"/>
        <w:rPr>
          <w:sz w:val="20"/>
          <w:szCs w:val="20"/>
          <w:color w:val="auto"/>
        </w:rPr>
      </w:pPr>
      <w:r>
        <w:rPr>
          <w:rFonts w:ascii="Courier New" w:cs="Courier New" w:eastAsia="Courier New" w:hAnsi="Courier New"/>
          <w:sz w:val="18"/>
          <w:szCs w:val="18"/>
          <w:color w:val="auto"/>
        </w:rPr>
        <w:t>The undersigned persons, on May 09, 2012, agree and consent to the joint filing on their behalf of this Schedule 13G in connection with their beneficial ownership of the Common Stock of CASUAL MALE RETAIL GROUP INC at April 30, 2012.</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spacing w:after="0" w:line="5" w:lineRule="exact"/>
        <w:rPr>
          <w:sz w:val="20"/>
          <w:szCs w:val="20"/>
          <w:color w:val="auto"/>
        </w:rPr>
      </w:pPr>
    </w:p>
    <w:p>
      <w:pPr>
        <w:ind w:right="3899" w:firstLine="843"/>
        <w:spacing w:after="0" w:line="236" w:lineRule="auto"/>
        <w:rPr>
          <w:sz w:val="20"/>
          <w:szCs w:val="20"/>
          <w:color w:val="auto"/>
        </w:rPr>
      </w:pPr>
      <w:r>
        <w:rPr>
          <w:rFonts w:ascii="Courier New" w:cs="Courier New" w:eastAsia="Courier New" w:hAnsi="Courier New"/>
          <w:sz w:val="18"/>
          <w:szCs w:val="18"/>
          <w:color w:val="auto"/>
        </w:rPr>
        <w:t>Duly authorized under Power of Attorney effective as of June 1, 2008, by and on behalf of FMR LLC and its direct and indirect subsidiaries</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Edward C. Johnson 3d</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spacing w:after="0" w:line="5" w:lineRule="exact"/>
        <w:rPr>
          <w:sz w:val="20"/>
          <w:szCs w:val="20"/>
          <w:color w:val="auto"/>
        </w:rPr>
      </w:pPr>
    </w:p>
    <w:p>
      <w:pPr>
        <w:ind w:right="3899" w:firstLine="843"/>
        <w:spacing w:after="0" w:line="290" w:lineRule="auto"/>
        <w:rPr>
          <w:sz w:val="20"/>
          <w:szCs w:val="20"/>
          <w:color w:val="auto"/>
        </w:rPr>
      </w:pPr>
      <w:r>
        <w:rPr>
          <w:rFonts w:ascii="Courier New" w:cs="Courier New" w:eastAsia="Courier New" w:hAnsi="Courier New"/>
          <w:sz w:val="16"/>
          <w:szCs w:val="16"/>
          <w:color w:val="auto"/>
        </w:rPr>
        <w:t>Duly authorized under Power of Attorney effective as of June 1, 2008, by and on behalf of Edward C. Johnson 3d</w:t>
      </w:r>
    </w:p>
    <w:p>
      <w:pPr>
        <w:sectPr>
          <w:pgSz w:w="11900" w:h="16838" w:orient="portrait"/>
          <w:cols w:equalWidth="0" w:num="1">
            <w:col w:w="10219"/>
          </w:cols>
          <w:pgMar w:left="240" w:top="344"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6"/>
          <w:szCs w:val="16"/>
          <w:color w:val="auto"/>
        </w:rPr>
        <w:t>Fidelity Management &amp; Research Company</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Scott C. Goebel</w:t>
      </w:r>
    </w:p>
    <w:p>
      <w:pPr>
        <w:spacing w:after="0" w:line="238" w:lineRule="auto"/>
        <w:rPr>
          <w:sz w:val="20"/>
          <w:szCs w:val="20"/>
          <w:color w:val="auto"/>
        </w:rPr>
      </w:pPr>
      <w:r>
        <w:rPr>
          <w:rFonts w:ascii="Courier New" w:cs="Courier New" w:eastAsia="Courier New" w:hAnsi="Courier New"/>
          <w:sz w:val="18"/>
          <w:szCs w:val="18"/>
          <w:color w:val="auto"/>
        </w:rPr>
        <w:t>Scott C. Goebel</w:t>
      </w:r>
    </w:p>
    <w:p>
      <w:pPr>
        <w:spacing w:after="0"/>
        <w:rPr>
          <w:sz w:val="20"/>
          <w:szCs w:val="20"/>
          <w:color w:val="auto"/>
        </w:rPr>
      </w:pPr>
      <w:r>
        <w:rPr>
          <w:rFonts w:ascii="Courier New" w:cs="Courier New" w:eastAsia="Courier New" w:hAnsi="Courier New"/>
          <w:sz w:val="18"/>
          <w:szCs w:val="18"/>
          <w:color w:val="auto"/>
        </w:rPr>
        <w:t>Senior V.P. and General Counsel</w:t>
      </w:r>
    </w:p>
    <w:sectPr>
      <w:pgSz w:w="11900" w:h="16838" w:orient="portrait"/>
      <w:cols w:equalWidth="0" w:num="1">
        <w:col w:w="9359"/>
      </w:cols>
      <w:pgMar w:left="1100" w:top="3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Letter"/>
      <w:start w:val="3"/>
    </w:lvl>
  </w:abstractNum>
  <w:abstractNum w:abstractNumId="1">
    <w:nsid w:val="19495CFF"/>
    <w:multiLevelType w:val="hybridMultilevel"/>
    <w:lvl w:ilvl="0">
      <w:lvlJc w:val="left"/>
      <w:lvlText w:val="(%1)"/>
      <w:numFmt w:val="lowerRoman"/>
      <w:start w:val="2"/>
    </w:lvl>
  </w:abstractNum>
  <w:abstractNum w:abstractNumId="2">
    <w:nsid w:val="2AE8944A"/>
    <w:multiLevelType w:val="hybridMultilevel"/>
    <w:lvl w:ilvl="0">
      <w:lvlJc w:val="left"/>
      <w:lvlText w:val="(%1)"/>
      <w:numFmt w:val="lowerRoman"/>
      <w:start w:val="3"/>
    </w:lvl>
  </w:abstractNum>
  <w:abstractNum w:abstractNumId="3">
    <w:nsid w:val="625558EC"/>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2019-12-09T09:13:12Z</dcterms:created>
  <dcterms:modified xsi:type="dcterms:W3CDTF">2019-12-09T09:13:12Z</dcterms:modified>
</cp:coreProperties>
</file>