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184785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203835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50"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399"/>
        <w:spacing w:after="0"/>
        <w:rPr>
          <w:sz w:val="20"/>
          <w:szCs w:val="20"/>
          <w:color w:val="auto"/>
        </w:rPr>
      </w:pPr>
      <w:r>
        <w:rPr>
          <w:rFonts w:ascii="Arial" w:cs="Arial" w:eastAsia="Arial" w:hAnsi="Arial"/>
          <w:sz w:val="22"/>
          <w:szCs w:val="22"/>
          <w:b w:val="1"/>
          <w:bCs w:val="1"/>
          <w:color w:val="auto"/>
        </w:rPr>
        <w:t>SECURITIES EXCHANGE ACT OF 1934</w:t>
      </w:r>
    </w:p>
    <w:p>
      <w:pPr>
        <w:spacing w:after="0" w:line="141" w:lineRule="exact"/>
        <w:rPr>
          <w:sz w:val="24"/>
          <w:szCs w:val="24"/>
          <w:color w:val="auto"/>
        </w:rPr>
      </w:pPr>
    </w:p>
    <w:p>
      <w:pPr>
        <w:ind w:left="3300"/>
        <w:spacing w:after="0"/>
        <w:rPr>
          <w:sz w:val="20"/>
          <w:szCs w:val="20"/>
          <w:color w:val="auto"/>
        </w:rPr>
      </w:pPr>
      <w:r>
        <w:rPr>
          <w:rFonts w:ascii="Arial" w:cs="Arial" w:eastAsia="Arial" w:hAnsi="Arial"/>
          <w:sz w:val="18"/>
          <w:szCs w:val="18"/>
          <w:b w:val="1"/>
          <w:bCs w:val="1"/>
          <w:color w:val="auto"/>
        </w:rPr>
        <w:t>Date of Report (Date of earliest event reported): August 12, 2008</w:t>
      </w:r>
    </w:p>
    <w:p>
      <w:pPr>
        <w:spacing w:after="0" w:line="171" w:lineRule="exact"/>
        <w:rPr>
          <w:sz w:val="24"/>
          <w:szCs w:val="24"/>
          <w:color w:val="auto"/>
        </w:rPr>
      </w:pPr>
    </w:p>
    <w:p>
      <w:pPr>
        <w:ind w:left="5420"/>
        <w:spacing w:after="0"/>
        <w:rPr>
          <w:sz w:val="20"/>
          <w:szCs w:val="20"/>
          <w:color w:val="auto"/>
        </w:rPr>
      </w:pPr>
      <w:r>
        <w:rPr>
          <w:rFonts w:ascii="Arial" w:cs="Arial" w:eastAsia="Arial" w:hAnsi="Arial"/>
          <w:sz w:val="18"/>
          <w:szCs w:val="18"/>
          <w:b w:val="1"/>
          <w:bCs w:val="1"/>
          <w:color w:val="auto"/>
        </w:rPr>
        <w:t>0-15898</w:t>
      </w:r>
    </w:p>
    <w:p>
      <w:pPr>
        <w:spacing w:after="0" w:line="21" w:lineRule="exact"/>
        <w:rPr>
          <w:sz w:val="24"/>
          <w:szCs w:val="24"/>
          <w:color w:val="auto"/>
        </w:rPr>
      </w:pPr>
    </w:p>
    <w:p>
      <w:pPr>
        <w:jc w:val="center"/>
        <w:ind w:right="-399"/>
        <w:spacing w:after="0"/>
        <w:rPr>
          <w:sz w:val="20"/>
          <w:szCs w:val="20"/>
          <w:color w:val="auto"/>
        </w:rPr>
      </w:pPr>
      <w:r>
        <w:rPr>
          <w:rFonts w:ascii="Arial" w:cs="Arial" w:eastAsia="Arial" w:hAnsi="Arial"/>
          <w:sz w:val="18"/>
          <w:szCs w:val="18"/>
          <w:b w:val="1"/>
          <w:bCs w:val="1"/>
          <w:color w:val="auto"/>
        </w:rPr>
        <w:t>(Commission File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187325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7" w:lineRule="exact"/>
        <w:rPr>
          <w:sz w:val="24"/>
          <w:szCs w:val="24"/>
          <w:color w:val="auto"/>
        </w:rPr>
      </w:pPr>
    </w:p>
    <w:p>
      <w:pPr>
        <w:ind w:left="1880"/>
        <w:spacing w:after="0"/>
        <w:rPr>
          <w:sz w:val="20"/>
          <w:szCs w:val="20"/>
          <w:color w:val="auto"/>
        </w:rPr>
      </w:pPr>
      <w:r>
        <w:rPr>
          <w:rFonts w:ascii="Arial" w:cs="Arial" w:eastAsia="Arial" w:hAnsi="Arial"/>
          <w:sz w:val="43"/>
          <w:szCs w:val="43"/>
          <w:b w:val="1"/>
          <w:bCs w:val="1"/>
          <w:color w:val="auto"/>
        </w:rPr>
        <w:t>CASUAL MALE RETAIL GROUP, INC.</w:t>
      </w:r>
    </w:p>
    <w:p>
      <w:pPr>
        <w:spacing w:after="0" w:line="50" w:lineRule="exact"/>
        <w:rPr>
          <w:sz w:val="24"/>
          <w:szCs w:val="24"/>
          <w:color w:val="auto"/>
        </w:rPr>
      </w:pPr>
    </w:p>
    <w:tbl>
      <w:tblPr>
        <w:tblLayout w:type="fixed"/>
        <w:tblInd w:w="2180" w:type="dxa"/>
        <w:tblCellMar>
          <w:top w:w="0" w:type="dxa"/>
          <w:left w:w="0" w:type="dxa"/>
          <w:bottom w:w="0" w:type="dxa"/>
          <w:right w:w="0" w:type="dxa"/>
        </w:tblCellMar>
      </w:tblP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270"/>
        </w:trPr>
        <w:tc>
          <w:tcPr>
            <w:tcW w:w="15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380" w:type="dxa"/>
            <w:vAlign w:val="bottom"/>
            <w:tcBorders>
              <w:bottom w:val="single" w:sz="8" w:color="auto"/>
            </w:tcBorders>
          </w:tcPr>
          <w:p>
            <w:pPr>
              <w:spacing w:after="0"/>
              <w:rPr>
                <w:sz w:val="23"/>
                <w:szCs w:val="23"/>
                <w:color w:val="auto"/>
              </w:rPr>
            </w:pPr>
          </w:p>
        </w:tc>
        <w:tc>
          <w:tcPr>
            <w:tcW w:w="2900" w:type="dxa"/>
            <w:vAlign w:val="bottom"/>
          </w:tcPr>
          <w:p>
            <w:pPr>
              <w:spacing w:after="0"/>
              <w:rPr>
                <w:sz w:val="23"/>
                <w:szCs w:val="23"/>
                <w:color w:val="auto"/>
              </w:rPr>
            </w:pPr>
          </w:p>
        </w:tc>
      </w:tr>
      <w:tr>
        <w:trPr>
          <w:trHeight w:val="426"/>
        </w:trPr>
        <w:tc>
          <w:tcPr>
            <w:tcW w:w="1500" w:type="dxa"/>
            <w:vAlign w:val="bottom"/>
          </w:tcPr>
          <w:p>
            <w:pPr>
              <w:jc w:val="center"/>
              <w:ind w:right="42"/>
              <w:spacing w:after="0"/>
              <w:rPr>
                <w:sz w:val="20"/>
                <w:szCs w:val="20"/>
                <w:color w:val="auto"/>
              </w:rPr>
            </w:pPr>
            <w:r>
              <w:rPr>
                <w:rFonts w:ascii="Arial" w:cs="Arial" w:eastAsia="Arial" w:hAnsi="Arial"/>
                <w:sz w:val="18"/>
                <w:szCs w:val="18"/>
                <w:b w:val="1"/>
                <w:bCs w:val="1"/>
                <w:color w:val="auto"/>
                <w:w w:val="88"/>
              </w:rPr>
              <w:t>Delaware</w:t>
            </w:r>
          </w:p>
        </w:tc>
        <w:tc>
          <w:tcPr>
            <w:tcW w:w="6120" w:type="dxa"/>
            <w:vAlign w:val="bottom"/>
            <w:gridSpan w:val="3"/>
          </w:tcPr>
          <w:p>
            <w:pPr>
              <w:jc w:val="right"/>
              <w:ind w:right="632"/>
              <w:spacing w:after="0"/>
              <w:rPr>
                <w:sz w:val="20"/>
                <w:szCs w:val="20"/>
                <w:color w:val="auto"/>
              </w:rPr>
            </w:pPr>
            <w:r>
              <w:rPr>
                <w:rFonts w:ascii="Arial" w:cs="Arial" w:eastAsia="Arial" w:hAnsi="Arial"/>
                <w:sz w:val="18"/>
                <w:szCs w:val="18"/>
                <w:b w:val="1"/>
                <w:bCs w:val="1"/>
                <w:color w:val="auto"/>
              </w:rPr>
              <w:t>04-2623104</w:t>
            </w:r>
          </w:p>
        </w:tc>
      </w:tr>
      <w:tr>
        <w:trPr>
          <w:trHeight w:val="174"/>
        </w:trPr>
        <w:tc>
          <w:tcPr>
            <w:tcW w:w="150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(State of Incorporation)</w:t>
            </w:r>
          </w:p>
        </w:tc>
        <w:tc>
          <w:tcPr>
            <w:tcW w:w="84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2900" w:type="dxa"/>
            <w:vAlign w:val="bottom"/>
          </w:tcPr>
          <w:p>
            <w:pPr>
              <w:jc w:val="center"/>
              <w:ind w:left="592"/>
              <w:spacing w:after="0"/>
              <w:rPr>
                <w:sz w:val="20"/>
                <w:szCs w:val="20"/>
                <w:color w:val="auto"/>
              </w:rPr>
            </w:pPr>
            <w:r>
              <w:rPr>
                <w:rFonts w:ascii="Arial" w:cs="Arial" w:eastAsia="Arial" w:hAnsi="Arial"/>
                <w:sz w:val="14"/>
                <w:szCs w:val="14"/>
                <w:b w:val="1"/>
                <w:bCs w:val="1"/>
                <w:color w:val="auto"/>
                <w:w w:val="90"/>
              </w:rPr>
              <w:t>(IRS Employer Identification Number)</w:t>
            </w:r>
          </w:p>
        </w:tc>
      </w:tr>
      <w:tr>
        <w:trPr>
          <w:trHeight w:val="352"/>
        </w:trPr>
        <w:tc>
          <w:tcPr>
            <w:tcW w:w="1500" w:type="dxa"/>
            <w:vAlign w:val="bottom"/>
          </w:tcPr>
          <w:p>
            <w:pPr>
              <w:spacing w:after="0"/>
              <w:rPr>
                <w:sz w:val="24"/>
                <w:szCs w:val="24"/>
                <w:color w:val="auto"/>
              </w:rPr>
            </w:pPr>
          </w:p>
        </w:tc>
        <w:tc>
          <w:tcPr>
            <w:tcW w:w="6120" w:type="dxa"/>
            <w:vAlign w:val="bottom"/>
            <w:gridSpan w:val="3"/>
          </w:tcPr>
          <w:p>
            <w:pPr>
              <w:jc w:val="center"/>
              <w:ind w:right="1992"/>
              <w:spacing w:after="0"/>
              <w:rPr>
                <w:sz w:val="20"/>
                <w:szCs w:val="20"/>
                <w:color w:val="auto"/>
              </w:rPr>
            </w:pPr>
            <w:r>
              <w:rPr>
                <w:rFonts w:ascii="Arial" w:cs="Arial" w:eastAsia="Arial" w:hAnsi="Arial"/>
                <w:sz w:val="18"/>
                <w:szCs w:val="18"/>
                <w:b w:val="1"/>
                <w:bCs w:val="1"/>
                <w:color w:val="auto"/>
                <w:w w:val="87"/>
              </w:rPr>
              <w:t>555 Turnpike Street, Canton, Massachusetts 02021</w:t>
            </w:r>
          </w:p>
        </w:tc>
      </w:tr>
      <w:tr>
        <w:trPr>
          <w:trHeight w:val="174"/>
        </w:trPr>
        <w:tc>
          <w:tcPr>
            <w:tcW w:w="1500" w:type="dxa"/>
            <w:vAlign w:val="bottom"/>
          </w:tcPr>
          <w:p>
            <w:pPr>
              <w:spacing w:after="0"/>
              <w:rPr>
                <w:sz w:val="15"/>
                <w:szCs w:val="15"/>
                <w:color w:val="auto"/>
              </w:rPr>
            </w:pPr>
          </w:p>
        </w:tc>
        <w:tc>
          <w:tcPr>
            <w:tcW w:w="6120" w:type="dxa"/>
            <w:vAlign w:val="bottom"/>
            <w:gridSpan w:val="3"/>
          </w:tcPr>
          <w:p>
            <w:pPr>
              <w:jc w:val="center"/>
              <w:ind w:right="1972"/>
              <w:spacing w:after="0"/>
              <w:rPr>
                <w:sz w:val="20"/>
                <w:szCs w:val="20"/>
                <w:color w:val="auto"/>
              </w:rPr>
            </w:pPr>
            <w:r>
              <w:rPr>
                <w:rFonts w:ascii="Arial" w:cs="Arial" w:eastAsia="Arial" w:hAnsi="Arial"/>
                <w:sz w:val="14"/>
                <w:szCs w:val="14"/>
                <w:b w:val="1"/>
                <w:bCs w:val="1"/>
                <w:color w:val="auto"/>
                <w:w w:val="86"/>
              </w:rPr>
              <w:t>(Address of registrant’s principal executive office)</w:t>
            </w:r>
          </w:p>
        </w:tc>
      </w:tr>
      <w:tr>
        <w:trPr>
          <w:trHeight w:val="352"/>
        </w:trPr>
        <w:tc>
          <w:tcPr>
            <w:tcW w:w="1500" w:type="dxa"/>
            <w:vAlign w:val="bottom"/>
          </w:tcPr>
          <w:p>
            <w:pPr>
              <w:spacing w:after="0"/>
              <w:rPr>
                <w:sz w:val="24"/>
                <w:szCs w:val="24"/>
                <w:color w:val="auto"/>
              </w:rPr>
            </w:pPr>
          </w:p>
        </w:tc>
        <w:tc>
          <w:tcPr>
            <w:tcW w:w="3220" w:type="dxa"/>
            <w:vAlign w:val="bottom"/>
            <w:gridSpan w:val="2"/>
          </w:tcPr>
          <w:p>
            <w:pPr>
              <w:jc w:val="center"/>
              <w:ind w:left="760"/>
              <w:spacing w:after="0"/>
              <w:rPr>
                <w:sz w:val="20"/>
                <w:szCs w:val="20"/>
                <w:color w:val="auto"/>
              </w:rPr>
            </w:pPr>
            <w:r>
              <w:rPr>
                <w:rFonts w:ascii="Arial" w:cs="Arial" w:eastAsia="Arial" w:hAnsi="Arial"/>
                <w:sz w:val="18"/>
                <w:szCs w:val="18"/>
                <w:b w:val="1"/>
                <w:bCs w:val="1"/>
                <w:color w:val="auto"/>
                <w:w w:val="89"/>
              </w:rPr>
              <w:t>(781) 828-9300</w:t>
            </w:r>
          </w:p>
        </w:tc>
        <w:tc>
          <w:tcPr>
            <w:tcW w:w="2900" w:type="dxa"/>
            <w:vAlign w:val="bottom"/>
          </w:tcPr>
          <w:p>
            <w:pPr>
              <w:spacing w:after="0"/>
              <w:rPr>
                <w:sz w:val="24"/>
                <w:szCs w:val="24"/>
                <w:color w:val="auto"/>
              </w:rPr>
            </w:pPr>
          </w:p>
        </w:tc>
      </w:tr>
      <w:tr>
        <w:trPr>
          <w:trHeight w:val="174"/>
        </w:trPr>
        <w:tc>
          <w:tcPr>
            <w:tcW w:w="15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5280" w:type="dxa"/>
            <w:vAlign w:val="bottom"/>
            <w:gridSpan w:val="2"/>
          </w:tcPr>
          <w:p>
            <w:pPr>
              <w:jc w:val="center"/>
              <w:ind w:right="2832"/>
              <w:spacing w:after="0"/>
              <w:rPr>
                <w:sz w:val="20"/>
                <w:szCs w:val="20"/>
                <w:color w:val="auto"/>
              </w:rPr>
            </w:pPr>
            <w:r>
              <w:rPr>
                <w:rFonts w:ascii="Arial" w:cs="Arial" w:eastAsia="Arial" w:hAnsi="Arial"/>
                <w:sz w:val="14"/>
                <w:szCs w:val="14"/>
                <w:b w:val="1"/>
                <w:bCs w:val="1"/>
                <w:color w:val="auto"/>
                <w:w w:val="86"/>
              </w:rPr>
              <w:t>(Registrant’s telephone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172085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18"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2"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Act(17 CFR 240.14d-2(b))</w:t>
      </w:r>
    </w:p>
    <w:p>
      <w:pPr>
        <w:spacing w:after="0" w:line="211"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88265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301" w:right="639" w:bottom="1440" w:gutter="0" w:footer="0" w:header="0"/>
        </w:sectPr>
      </w:pPr>
    </w:p>
    <w:bookmarkStart w:id="1" w:name="page2"/>
    <w:bookmarkEnd w:id="1"/>
    <w:p>
      <w:pPr>
        <w:ind w:left="1040" w:right="340" w:hanging="1025"/>
        <w:spacing w:after="0" w:line="275" w:lineRule="auto"/>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4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August 12, 2008, Casual Male Retail Group, Inc. (the “Company”) notified Wayne Diller of the termination of his active employment effective immediately. The Company has eliminated Mr. Diller’s position of Executive Vice President and Chief Merchandising Officer. Mr. Diller was a “named executive officer” in the Company’s 2008 Proxy Statement.</w:t>
      </w:r>
    </w:p>
    <w:p>
      <w:pPr>
        <w:sectPr>
          <w:pgSz w:w="11900" w:h="16838" w:orient="portrait"/>
          <w:cols w:equalWidth="0" w:num="1">
            <w:col w:w="11280"/>
          </w:cols>
          <w:pgMar w:left="240" w:top="274" w:right="3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SIGNATURES</w:t>
      </w:r>
    </w:p>
    <w:p>
      <w:pPr>
        <w:spacing w:after="0" w:line="17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CASUAL MALE RETAIL GROUP, INC.</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Dennis R. Hernreich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Dennis R. Hernreich</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Executive Vice President</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and Chief Financial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Date: August 13, 2008</w:t>
      </w:r>
    </w:p>
    <w:sectPr>
      <w:pgSz w:w="11900" w:h="16838" w:orient="portrait"/>
      <w:cols w:equalWidth="0" w:num="1">
        <w:col w:w="10980"/>
      </w:cols>
      <w:pgMar w:left="240" w:top="280"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2019-12-20T18:26:46Z</dcterms:created>
  <dcterms:modified xsi:type="dcterms:W3CDTF">2019-12-20T18:26:46Z</dcterms:modified>
</cp:coreProperties>
</file>