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1960"/>
        <w:spacing w:after="0" w:line="255" w:lineRule="auto"/>
        <w:rPr>
          <w:sz w:val="20"/>
          <w:szCs w:val="20"/>
          <w:color w:val="auto"/>
        </w:rPr>
      </w:pPr>
      <w:r>
        <w:rPr>
          <w:rFonts w:ascii="Arial" w:cs="Arial" w:eastAsia="Arial" w:hAnsi="Arial"/>
          <w:sz w:val="36"/>
          <w:szCs w:val="36"/>
          <w:color w:val="auto"/>
        </w:rPr>
        <w:t>For perfect-fitting Big + Tall clothes, there’s only one place. Actually, that’s not true.</w:t>
      </w:r>
    </w:p>
    <w:p>
      <w:pPr>
        <w:spacing w:after="0"/>
        <w:rPr>
          <w:sz w:val="20"/>
          <w:szCs w:val="20"/>
          <w:color w:val="auto"/>
        </w:rPr>
      </w:pPr>
      <w:r>
        <w:rPr>
          <w:rFonts w:ascii="Arial" w:cs="Arial" w:eastAsia="Arial" w:hAnsi="Arial"/>
          <w:sz w:val="35"/>
          <w:szCs w:val="35"/>
          <w:color w:val="auto"/>
        </w:rPr>
        <w:t>We have hundreds of locations.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24"/>
          <w:szCs w:val="24"/>
          <w:color w:val="auto"/>
        </w:rPr>
        <w:t>Annual Report 2025</w:t>
      </w:r>
    </w:p>
    <w:p>
      <w:pPr>
        <w:sectPr>
          <w:pgSz w:w="11880" w:h="15480" w:orient="portrait"/>
          <w:cols w:equalWidth="0" w:num="2">
            <w:col w:w="6860" w:space="720"/>
            <w:col w:w="2160"/>
          </w:cols>
          <w:pgMar w:left="1080" w:top="1440" w:right="1060" w:bottom="455" w:gutter="0" w:footer="0" w:header="0"/>
        </w:sectPr>
      </w:pPr>
    </w:p>
    <w:bookmarkStart w:id="1" w:name="page2"/>
    <w:bookmarkEnd w:id="1"/>
    <w:p>
      <w:pPr>
        <w:ind w:left="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25476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4760" cy="9829800"/>
                    </a:xfrm>
                    <a:prstGeom prst="rect">
                      <a:avLst/>
                    </a:prstGeom>
                    <a:noFill/>
                  </pic:spPr>
                </pic:pic>
              </a:graphicData>
            </a:graphic>
          </wp:anchor>
        </w:drawing>
        <w:t>Dear Shareholders,</w:t>
      </w:r>
    </w:p>
    <w:p>
      <w:pPr>
        <w:spacing w:after="0" w:line="226" w:lineRule="exact"/>
        <w:rPr>
          <w:sz w:val="20"/>
          <w:szCs w:val="20"/>
          <w:color w:val="auto"/>
        </w:rPr>
      </w:pPr>
    </w:p>
    <w:p>
      <w:pPr>
        <w:ind w:left="720" w:right="140"/>
        <w:spacing w:after="0" w:line="302" w:lineRule="auto"/>
        <w:rPr>
          <w:sz w:val="20"/>
          <w:szCs w:val="20"/>
          <w:color w:val="auto"/>
        </w:rPr>
      </w:pPr>
      <w:r>
        <w:rPr>
          <w:rFonts w:ascii="Arial" w:cs="Arial" w:eastAsia="Arial" w:hAnsi="Arial"/>
          <w:sz w:val="16"/>
          <w:szCs w:val="16"/>
          <w:color w:val="auto"/>
        </w:rPr>
        <w:t>As I reflect on 2024, I am confident that DXL is uniquely positioned for success. Our commitment to serving an underserved consumer, like no other company can, presents us with immense opportunities. However, we must also acknowledge the challenges we faced over the past 24 months and the setbacks we experienced.</w:t>
      </w:r>
    </w:p>
    <w:p>
      <w:pPr>
        <w:spacing w:after="0" w:line="171" w:lineRule="exact"/>
        <w:rPr>
          <w:sz w:val="20"/>
          <w:szCs w:val="20"/>
          <w:color w:val="auto"/>
        </w:rPr>
      </w:pPr>
    </w:p>
    <w:p>
      <w:pPr>
        <w:ind w:left="720" w:right="60"/>
        <w:spacing w:after="0" w:line="301" w:lineRule="auto"/>
        <w:rPr>
          <w:sz w:val="20"/>
          <w:szCs w:val="20"/>
          <w:color w:val="auto"/>
        </w:rPr>
      </w:pPr>
      <w:r>
        <w:rPr>
          <w:rFonts w:ascii="Arial" w:cs="Arial" w:eastAsia="Arial" w:hAnsi="Arial"/>
          <w:sz w:val="16"/>
          <w:szCs w:val="16"/>
          <w:color w:val="auto"/>
        </w:rPr>
        <w:t>Fiscal year 2024 was a year defined by resilience, adaptability, and a steadfast commitment to our customer. The retail environment for men’s apparel, particularly in the Big + Tall space, faced tremendous challenges. Our performance reflected the reality of a consumer who is being more discerning than ever before, holding tight to his wallet and juggling competing priorities for his disposable income.</w:t>
      </w:r>
    </w:p>
    <w:p>
      <w:pPr>
        <w:spacing w:after="0" w:line="174" w:lineRule="exact"/>
        <w:rPr>
          <w:sz w:val="20"/>
          <w:szCs w:val="20"/>
          <w:color w:val="auto"/>
        </w:rPr>
      </w:pPr>
    </w:p>
    <w:p>
      <w:pPr>
        <w:ind w:left="720" w:right="300"/>
        <w:spacing w:after="0" w:line="322" w:lineRule="auto"/>
        <w:rPr>
          <w:sz w:val="20"/>
          <w:szCs w:val="20"/>
          <w:color w:val="auto"/>
        </w:rPr>
      </w:pPr>
      <w:r>
        <w:rPr>
          <w:rFonts w:ascii="Arial" w:cs="Arial" w:eastAsia="Arial" w:hAnsi="Arial"/>
          <w:sz w:val="15"/>
          <w:szCs w:val="15"/>
          <w:color w:val="auto"/>
        </w:rPr>
        <w:t>Throughout 2024, consumer sentiment remained low due to macroeconomic uncertainty, shifting spending priorities, and broader financial pressures. We are also working to better understand the potential ongoing and future impact of GLP-1 pharmaceuticals on our business. For our customer, who is underserved in the broader retail landscape, buying clothing often fell lower on the list of priorities compared to groceries, energy costs, housing costs, and other non-discretionary purchases. We also observed global and domestic markets marked by inflation, volatility, and uncertainty, impacting men’s retail spending and our financial performance.</w:t>
      </w:r>
    </w:p>
    <w:p>
      <w:pPr>
        <w:spacing w:after="0" w:line="165" w:lineRule="exact"/>
        <w:rPr>
          <w:sz w:val="20"/>
          <w:szCs w:val="20"/>
          <w:color w:val="auto"/>
        </w:rPr>
      </w:pPr>
    </w:p>
    <w:p>
      <w:pPr>
        <w:ind w:left="720" w:right="80"/>
        <w:spacing w:after="0" w:line="319" w:lineRule="auto"/>
        <w:rPr>
          <w:sz w:val="20"/>
          <w:szCs w:val="20"/>
          <w:color w:val="auto"/>
        </w:rPr>
      </w:pPr>
      <w:r>
        <w:rPr>
          <w:rFonts w:ascii="Arial" w:cs="Arial" w:eastAsia="Arial" w:hAnsi="Arial"/>
          <w:sz w:val="15"/>
          <w:szCs w:val="15"/>
          <w:color w:val="auto"/>
        </w:rPr>
        <w:t>But we will not be deterred! Despite the challenges of fiscal 2024, I remain enthusiastic and energized to demonstrate the strength of our brand and the loyalty of our customer base. With a modest improvement in consumer sentiment and initiatives to stimulate buying behavior, we believe we can return to growth in the second half of fiscal year 2025. Our brand affinity is high, and our financial footing is solid. We believe we have</w:t>
      </w:r>
    </w:p>
    <w:p>
      <w:pPr>
        <w:spacing w:after="0" w:line="5" w:lineRule="exact"/>
        <w:rPr>
          <w:sz w:val="20"/>
          <w:szCs w:val="20"/>
          <w:color w:val="auto"/>
        </w:rPr>
      </w:pPr>
    </w:p>
    <w:p>
      <w:pPr>
        <w:ind w:left="720" w:right="360"/>
        <w:spacing w:after="0" w:line="303" w:lineRule="auto"/>
        <w:rPr>
          <w:sz w:val="20"/>
          <w:szCs w:val="20"/>
          <w:color w:val="auto"/>
        </w:rPr>
      </w:pPr>
      <w:r>
        <w:rPr>
          <w:rFonts w:ascii="Arial" w:cs="Arial" w:eastAsia="Arial" w:hAnsi="Arial"/>
          <w:sz w:val="16"/>
          <w:szCs w:val="16"/>
          <w:color w:val="auto"/>
        </w:rPr>
        <w:t>the fortitude and wherewithal to withstand ongoing volatility and challenges, and we will continue to deliver a compelling experience for our Big + Tall customers driven by three enduring pillars:</w:t>
      </w:r>
    </w:p>
    <w:p>
      <w:pPr>
        <w:spacing w:after="0" w:line="171" w:lineRule="exact"/>
        <w:rPr>
          <w:sz w:val="20"/>
          <w:szCs w:val="20"/>
          <w:color w:val="auto"/>
        </w:rPr>
      </w:pPr>
    </w:p>
    <w:p>
      <w:pPr>
        <w:ind w:left="880" w:right="80" w:hanging="169"/>
        <w:spacing w:after="0" w:line="30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unmatched FIT: We deliver a proprietary fit in all of our private brand garments, developed and honed over two decades, giving our customers clothes that fit right and boost their confidence.</w:t>
      </w:r>
    </w:p>
    <w:p>
      <w:pPr>
        <w:spacing w:after="0" w:line="168" w:lineRule="exact"/>
        <w:rPr>
          <w:rFonts w:ascii="Arial" w:cs="Arial" w:eastAsia="Arial" w:hAnsi="Arial"/>
          <w:sz w:val="16"/>
          <w:szCs w:val="16"/>
          <w:color w:val="auto"/>
        </w:rPr>
      </w:pPr>
    </w:p>
    <w:p>
      <w:pPr>
        <w:jc w:val="both"/>
        <w:ind w:left="840" w:hanging="129"/>
        <w:spacing w:after="0" w:line="305" w:lineRule="auto"/>
        <w:tabs>
          <w:tab w:leader="none" w:pos="884" w:val="left"/>
        </w:tabs>
        <w:numPr>
          <w:ilvl w:val="0"/>
          <w:numId w:val="1"/>
        </w:numPr>
        <w:rPr>
          <w:rFonts w:ascii="Arial" w:cs="Arial" w:eastAsia="Arial" w:hAnsi="Arial"/>
          <w:sz w:val="16"/>
          <w:szCs w:val="16"/>
          <w:color w:val="auto"/>
        </w:rPr>
      </w:pPr>
      <w:r>
        <w:rPr>
          <w:rFonts w:ascii="Arial" w:cs="Arial" w:eastAsia="Arial" w:hAnsi="Arial"/>
          <w:sz w:val="16"/>
          <w:szCs w:val="16"/>
          <w:color w:val="auto"/>
        </w:rPr>
        <w:t>A differentiated ASSORTMENT: We offer the broadest selection of both private label and national brands of men’s clothing and footwear for Big + Tall customers anywhere.</w:t>
      </w:r>
    </w:p>
    <w:p>
      <w:pPr>
        <w:spacing w:after="0" w:line="168" w:lineRule="exact"/>
        <w:rPr>
          <w:rFonts w:ascii="Arial" w:cs="Arial" w:eastAsia="Arial" w:hAnsi="Arial"/>
          <w:sz w:val="16"/>
          <w:szCs w:val="16"/>
          <w:color w:val="auto"/>
        </w:rPr>
      </w:pPr>
    </w:p>
    <w:p>
      <w:pPr>
        <w:ind w:left="880" w:right="100" w:hanging="169"/>
        <w:spacing w:after="0" w:line="302"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compelling store and online EXPERIENCE: Our stores are more than retail destinations—they’re communities of acceptance and belonging that allow our customers to feel seen, supported, and confident. Our new website and app platforms provide instant engagement, offering access to our full assortment no matter where our guests may be.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2024, we executed critical elements of our strategic plan with a focus on long-term growth. We launched our first matched-market test across three cities to validate our ability to scale brand marketing and improve awareness nationally. We opened seven new stores and converted eight others to DXL formats, improving accessibility and customer convenience. We also invested in our digital experience by launching a new website powered by Commerce Tools, which has shown encouraging early results. Additionally, we transitioned to the new DXL Rewards program, enhancing our ability to analyze, scale, and reward loyalty across our customer base.</w:t>
      </w:r>
    </w:p>
    <w:p>
      <w:pPr>
        <w:spacing w:after="0" w:line="165"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While the latter half of 2024 saw a pullback in consumer spending, we believe our investments have positioned us to capture a larger share of Big + Tall demand in the future. One of our top priorities is accelerating new customer acquisition, and we have several high-impact initiatives scheduled for the months ahead.</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Looking to 2025, our strategic focus is on stabilizing our business and returning to growth. This means continuing to put the customer at the center of every decision, rigorously controlling costs, and allocating capital with discipline. We recognize the need to improve top-line revenue and will use tactical incentives to provide customers with more value in the short term. In the long term, we are preparing to resume broader brand marketing and explore new store openings as the men’s Big + Tall sector shows signs of recovery.</w:t>
      </w:r>
    </w:p>
    <w:p>
      <w:pPr>
        <w:spacing w:after="0" w:line="17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balance sheet remains strong, and we are well-capitalized to navigate these choppy waters. We are confident in our ability to respond to short-term pressures while keeping our sights set on long-term opportunities.</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is not the first time we’ve weathered economic uncertainty, and it likely won’t be the last. Our team has been here before and emerged stronger each time. We believe the groundwork laid in 2024 and the purposeful initiatives planned for 2025 position us to serve the Big + Tall customer better than anyone else in the market.</w:t>
      </w:r>
    </w:p>
    <w:p>
      <w:pPr>
        <w:spacing w:after="0" w:line="171" w:lineRule="exact"/>
        <w:rPr>
          <w:sz w:val="20"/>
          <w:szCs w:val="20"/>
          <w:color w:val="auto"/>
        </w:rPr>
      </w:pPr>
    </w:p>
    <w:p>
      <w:pPr>
        <w:ind w:right="260"/>
        <w:spacing w:after="0" w:line="333" w:lineRule="auto"/>
        <w:rPr>
          <w:sz w:val="20"/>
          <w:szCs w:val="20"/>
          <w:color w:val="auto"/>
        </w:rPr>
      </w:pPr>
      <w:r>
        <w:rPr>
          <w:rFonts w:ascii="Arial" w:cs="Arial" w:eastAsia="Arial" w:hAnsi="Arial"/>
          <w:sz w:val="15"/>
          <w:szCs w:val="15"/>
          <w:color w:val="auto"/>
        </w:rPr>
        <w:t>Thank you for your continued confidence and support of DXL. We remain committed to our guests, our shareholders, and being an employer of choice for our associates.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492250" cy="486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2250"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Harvey S. Kanter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CEO</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Destination XL Group, Inc.</w:t>
      </w:r>
    </w:p>
    <w:p>
      <w:pPr>
        <w:sectPr>
          <w:pgSz w:w="11880" w:h="15480" w:orient="portrait"/>
          <w:cols w:equalWidth="0" w:num="2">
            <w:col w:w="5120" w:space="460"/>
            <w:col w:w="4400"/>
          </w:cols>
          <w:pgMar w:left="1440" w:top="661" w:right="4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-207645</wp:posOffset>
            </wp:positionV>
            <wp:extent cx="68948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-220345</wp:posOffset>
            </wp:positionV>
            <wp:extent cx="68948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82550</wp:posOffset>
            </wp:positionV>
            <wp:extent cx="140843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93980</wp:posOffset>
            </wp:positionV>
            <wp:extent cx="140843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ind w:left="720" w:hanging="706"/>
        <w:spacing w:after="0"/>
        <w:tabs>
          <w:tab w:leader="none" w:pos="72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February 1, 2025 (Fiscal 2024)</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OR</w:t>
      </w:r>
    </w:p>
    <w:p>
      <w:pPr>
        <w:ind w:left="520" w:hanging="506"/>
        <w:spacing w:after="0"/>
        <w:tabs>
          <w:tab w:leader="none" w:pos="520" w:val="left"/>
        </w:tabs>
        <w:numPr>
          <w:ilvl w:val="0"/>
          <w:numId w:val="3"/>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3080"/>
        <w:spacing w:after="0"/>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FOR THE TRANSITION PERIOD FROM</w:t>
      </w:r>
      <w:r>
        <w:rPr>
          <w:rFonts w:ascii="Times New Roman" w:cs="Times New Roman" w:eastAsia="Times New Roman" w:hAnsi="Times New Roman"/>
          <w:sz w:val="19"/>
          <w:szCs w:val="19"/>
          <w:b w:val="1"/>
          <w:bCs w:val="1"/>
          <w:color w:val="auto"/>
        </w:rPr>
        <w:t>TO</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01-34219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140970</wp:posOffset>
            </wp:positionV>
            <wp:extent cx="140843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DESTINATION XL GROUP, INC.</w:t>
      </w:r>
    </w:p>
    <w:tbl>
      <w:tblPr>
        <w:tblLayout w:type="fixed"/>
        <w:tblInd w:w="10" w:type="dxa"/>
        <w:tblCellMar>
          <w:top w:w="0" w:type="dxa"/>
          <w:left w:w="0" w:type="dxa"/>
          <w:bottom w:w="0" w:type="dxa"/>
          <w:right w:w="0" w:type="dxa"/>
        </w:tblCellMar>
      </w:tblPr>
      <w:tr>
        <w:trPr>
          <w:trHeight w:val="275"/>
        </w:trPr>
        <w:tc>
          <w:tcPr>
            <w:tcW w:w="8640" w:type="dxa"/>
            <w:vAlign w:val="bottom"/>
            <w:gridSpan w:val="5"/>
          </w:tcPr>
          <w:p>
            <w:pPr>
              <w:jc w:val="center"/>
              <w:ind w:left="2072"/>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tc>
        <w:tc>
          <w:tcPr>
            <w:tcW w:w="6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660" w:type="dxa"/>
            <w:vAlign w:val="bottom"/>
            <w:gridSpan w:val="2"/>
          </w:tcPr>
          <w:p>
            <w:pPr>
              <w:jc w:val="center"/>
              <w:ind w:left="552"/>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190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04-2623104</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gridSpan w:val="2"/>
          </w:tcPr>
          <w:p>
            <w:pPr>
              <w:jc w:val="center"/>
              <w:ind w:left="552"/>
              <w:spacing w:after="0"/>
              <w:rPr>
                <w:sz w:val="20"/>
                <w:szCs w:val="20"/>
                <w:color w:val="auto"/>
              </w:rPr>
            </w:pPr>
            <w:r>
              <w:rPr>
                <w:rFonts w:ascii="Times New Roman" w:cs="Times New Roman" w:eastAsia="Times New Roman" w:hAnsi="Times New Roman"/>
                <w:sz w:val="15"/>
                <w:szCs w:val="15"/>
                <w:b w:val="1"/>
                <w:bCs w:val="1"/>
                <w:color w:val="auto"/>
                <w:w w:val="99"/>
              </w:rPr>
              <w:t>(State or other jurisdiction of incorporation or organization)</w:t>
            </w:r>
          </w:p>
        </w:tc>
        <w:tc>
          <w:tcPr>
            <w:tcW w:w="1900" w:type="dxa"/>
            <w:vAlign w:val="bottom"/>
          </w:tcPr>
          <w:p>
            <w:pPr>
              <w:spacing w:after="0"/>
              <w:rPr>
                <w:sz w:val="15"/>
                <w:szCs w:val="15"/>
                <w:color w:val="auto"/>
              </w:rPr>
            </w:pPr>
          </w:p>
        </w:tc>
        <w:tc>
          <w:tcPr>
            <w:tcW w:w="2760" w:type="dxa"/>
            <w:vAlign w:val="bottom"/>
            <w:gridSpan w:val="3"/>
          </w:tcPr>
          <w:p>
            <w:pPr>
              <w:jc w:val="center"/>
              <w:ind w:left="332"/>
              <w:spacing w:after="0"/>
              <w:rPr>
                <w:sz w:val="20"/>
                <w:szCs w:val="20"/>
                <w:color w:val="auto"/>
              </w:rPr>
            </w:pPr>
            <w:r>
              <w:rPr>
                <w:rFonts w:ascii="Times New Roman" w:cs="Times New Roman" w:eastAsia="Times New Roman" w:hAnsi="Times New Roman"/>
                <w:sz w:val="15"/>
                <w:szCs w:val="15"/>
                <w:b w:val="1"/>
                <w:bCs w:val="1"/>
                <w:color w:val="auto"/>
                <w:w w:val="99"/>
              </w:rPr>
              <w:t>(IRS Employer Identification No.)</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66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1900" w:type="dxa"/>
            <w:vAlign w:val="bottom"/>
          </w:tcPr>
          <w:p>
            <w:pPr>
              <w:spacing w:after="0"/>
              <w:rPr>
                <w:sz w:val="18"/>
                <w:szCs w:val="18"/>
                <w:color w:val="auto"/>
              </w:rPr>
            </w:pPr>
          </w:p>
        </w:tc>
        <w:tc>
          <w:tcPr>
            <w:tcW w:w="20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02021</w:t>
            </w: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jc w:val="center"/>
              <w:ind w:left="532"/>
              <w:spacing w:after="0"/>
              <w:rPr>
                <w:sz w:val="20"/>
                <w:szCs w:val="20"/>
                <w:color w:val="auto"/>
              </w:rPr>
            </w:pPr>
            <w:r>
              <w:rPr>
                <w:rFonts w:ascii="Times New Roman" w:cs="Times New Roman" w:eastAsia="Times New Roman" w:hAnsi="Times New Roman"/>
                <w:sz w:val="15"/>
                <w:szCs w:val="15"/>
                <w:b w:val="1"/>
                <w:bCs w:val="1"/>
                <w:color w:val="auto"/>
                <w:w w:val="99"/>
              </w:rPr>
              <w:t>(Address of principal executive offices)</w:t>
            </w: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jc w:val="center"/>
              <w:ind w:left="362"/>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jc w:val="center"/>
              <w:ind w:right="333"/>
              <w:spacing w:after="0"/>
              <w:rPr>
                <w:sz w:val="20"/>
                <w:szCs w:val="20"/>
                <w:color w:val="auto"/>
              </w:rPr>
            </w:pPr>
            <w:r>
              <w:rPr>
                <w:rFonts w:ascii="Times New Roman" w:cs="Times New Roman" w:eastAsia="Times New Roman" w:hAnsi="Times New Roman"/>
                <w:sz w:val="20"/>
                <w:szCs w:val="20"/>
                <w:b w:val="1"/>
                <w:bCs w:val="1"/>
                <w:color w:val="auto"/>
                <w:w w:val="99"/>
              </w:rPr>
              <w:t>(781) 828-9300</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640" w:type="dxa"/>
            <w:vAlign w:val="bottom"/>
            <w:gridSpan w:val="5"/>
          </w:tcPr>
          <w:p>
            <w:pPr>
              <w:jc w:val="center"/>
              <w:ind w:left="207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rPr>
              <w:t>Trading Symbols(s)</w:t>
            </w:r>
          </w:p>
        </w:tc>
        <w:tc>
          <w:tcPr>
            <w:tcW w:w="66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54"/>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rPr>
              <w:t>DXLG</w:t>
            </w:r>
          </w:p>
        </w:tc>
        <w:tc>
          <w:tcPr>
            <w:tcW w:w="66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c>
          <w:tcPr>
            <w:tcW w:w="0" w:type="dxa"/>
            <w:vAlign w:val="bottom"/>
          </w:tcPr>
          <w:p>
            <w:pPr>
              <w:spacing w:after="0"/>
              <w:rPr>
                <w:sz w:val="1"/>
                <w:szCs w:val="1"/>
                <w:color w:val="auto"/>
              </w:rPr>
            </w:pPr>
          </w:p>
        </w:tc>
      </w:tr>
      <w:tr>
        <w:trPr>
          <w:trHeight w:val="554"/>
        </w:trPr>
        <w:tc>
          <w:tcPr>
            <w:tcW w:w="8640" w:type="dxa"/>
            <w:vAlign w:val="bottom"/>
            <w:gridSpan w:val="5"/>
          </w:tcPr>
          <w:p>
            <w:pPr>
              <w:jc w:val="center"/>
              <w:ind w:left="2072"/>
              <w:spacing w:after="0"/>
              <w:rPr>
                <w:sz w:val="20"/>
                <w:szCs w:val="20"/>
                <w:color w:val="auto"/>
              </w:rPr>
            </w:pPr>
            <w:r>
              <w:rPr>
                <w:rFonts w:ascii="Times New Roman" w:cs="Times New Roman" w:eastAsia="Times New Roman" w:hAnsi="Times New Roman"/>
                <w:sz w:val="20"/>
                <w:szCs w:val="20"/>
                <w:b w:val="1"/>
                <w:bCs w:val="1"/>
                <w:color w:val="auto"/>
                <w:w w:val="99"/>
              </w:rPr>
              <w:t>Securities registered pursuant to Section 12(g) of the Act:</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00" w:type="dxa"/>
            <w:vAlign w:val="bottom"/>
          </w:tcPr>
          <w:p>
            <w:pPr>
              <w:jc w:val="center"/>
              <w:ind w:right="333"/>
              <w:spacing w:after="0"/>
              <w:rPr>
                <w:sz w:val="20"/>
                <w:szCs w:val="20"/>
                <w:color w:val="auto"/>
              </w:rPr>
            </w:pPr>
            <w:r>
              <w:rPr>
                <w:rFonts w:ascii="Times New Roman" w:cs="Times New Roman" w:eastAsia="Times New Roman" w:hAnsi="Times New Roman"/>
                <w:sz w:val="18"/>
                <w:szCs w:val="18"/>
                <w:b w:val="1"/>
                <w:bCs w:val="1"/>
                <w:color w:val="auto"/>
                <w:w w:val="98"/>
              </w:rPr>
              <w:t>None.</w:t>
            </w: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b w:val="1"/>
                <w:bCs w:val="1"/>
                <w:color w:val="auto"/>
              </w:rPr>
              <w:t>☐</w:t>
            </w:r>
          </w:p>
        </w:tc>
        <w:tc>
          <w:tcPr>
            <w:tcW w:w="15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b w:val="1"/>
                <w:bCs w:val="1"/>
                <w:color w:val="auto"/>
              </w:rPr>
              <w:t>☒</w:t>
            </w:r>
          </w:p>
        </w:tc>
        <w:tc>
          <w:tcPr>
            <w:tcW w:w="0" w:type="dxa"/>
            <w:vAlign w:val="bottom"/>
          </w:tcPr>
          <w:p>
            <w:pPr>
              <w:spacing w:after="0"/>
              <w:rPr>
                <w:sz w:val="1"/>
                <w:szCs w:val="1"/>
                <w:color w:val="auto"/>
              </w:rPr>
            </w:pPr>
          </w:p>
        </w:tc>
      </w:tr>
      <w:tr>
        <w:trPr>
          <w:trHeight w:val="232"/>
        </w:trPr>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b w:val="1"/>
                <w:bCs w:val="1"/>
                <w:color w:val="auto"/>
                <w:w w:val="98"/>
              </w:rPr>
              <w:t>☐</w:t>
            </w:r>
          </w:p>
        </w:tc>
        <w:tc>
          <w:tcPr>
            <w:tcW w:w="15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b w:val="1"/>
                <w:bCs w:val="1"/>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393" w:lineRule="exact"/>
        <w:rPr>
          <w:sz w:val="20"/>
          <w:szCs w:val="20"/>
          <w:color w:val="auto"/>
        </w:rPr>
      </w:pPr>
    </w:p>
    <w:p>
      <w:pPr>
        <w:ind w:right="60"/>
        <w:spacing w:after="0" w:line="201"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w:t>
      </w:r>
    </w:p>
    <w:p>
      <w:pPr>
        <w:spacing w:after="0" w:line="393" w:lineRule="exact"/>
        <w:rPr>
          <w:sz w:val="20"/>
          <w:szCs w:val="20"/>
          <w:color w:val="auto"/>
        </w:rPr>
      </w:pPr>
    </w:p>
    <w:p>
      <w:pPr>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of Regulation S-T (§232.405 of this chapter) during the preceding 12 months (or for such shorter period that the registrant was required to submit such files).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w:t>
      </w:r>
    </w:p>
    <w:p>
      <w:pPr>
        <w:spacing w:after="0" w:line="3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"non-accelerated filer," "smaller reporting company" and “emerging growth company” in Rule 12b-2 of the Exchange Act.</w:t>
      </w:r>
    </w:p>
    <w:p>
      <w:pPr>
        <w:sectPr>
          <w:pgSz w:w="11880" w:h="15480" w:orient="portrait"/>
          <w:cols w:equalWidth="0" w:num="1">
            <w:col w:w="10800"/>
          </w:cols>
          <w:pgMar w:left="540" w:top="598" w:right="540" w:bottom="163" w:gutter="0" w:footer="0" w:header="0"/>
        </w:sectPr>
      </w:pPr>
    </w:p>
    <w:p>
      <w:pPr>
        <w:spacing w:after="0" w:line="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b w:val="1"/>
          <w:bCs w:val="1"/>
          <w:color w:val="auto"/>
        </w:rPr>
        <w:t>☐</w:t>
      </w:r>
    </w:p>
    <w:p>
      <w:pPr>
        <w:spacing w:after="0" w:line="7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r>
        <w:rPr>
          <w:rFonts w:ascii="MS PGothic" w:cs="MS PGothic" w:eastAsia="MS PGothic" w:hAnsi="MS PGothic"/>
          <w:sz w:val="14"/>
          <w:szCs w:val="14"/>
          <w:b w:val="1"/>
          <w:bCs w:val="1"/>
          <w:color w:val="auto"/>
        </w:rPr>
        <w:t>☒</w:t>
      </w:r>
    </w:p>
    <w:p>
      <w:pPr>
        <w:spacing w:after="0" w:line="9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9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153" w:lineRule="exact"/>
        <w:rPr>
          <w:sz w:val="20"/>
          <w:szCs w:val="20"/>
          <w:color w:val="auto"/>
        </w:rPr>
      </w:pPr>
    </w:p>
    <w:p>
      <w:pPr>
        <w:sectPr>
          <w:pgSz w:w="11880" w:h="15480" w:orient="portrait"/>
          <w:cols w:equalWidth="0" w:num="4">
            <w:col w:w="2840" w:space="720"/>
            <w:col w:w="1120" w:space="720"/>
            <w:col w:w="2040" w:space="720"/>
            <w:col w:w="2640"/>
          </w:cols>
          <w:pgMar w:left="540" w:top="598" w:right="540" w:bottom="163"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prepared or issued its audit report. </w:t>
      </w:r>
      <w:r>
        <w:rPr>
          <w:rFonts w:ascii="MS PGothic" w:cs="MS PGothic" w:eastAsia="MS PGothic" w:hAnsi="MS PGothic"/>
          <w:sz w:val="18"/>
          <w:szCs w:val="18"/>
          <w:b w:val="1"/>
          <w:bCs w:val="1"/>
          <w:color w:val="auto"/>
        </w:rPr>
        <w:t>☒</w:t>
      </w:r>
    </w:p>
    <w:p>
      <w:pPr>
        <w:spacing w:after="0" w:line="64" w:lineRule="exact"/>
        <w:rPr>
          <w:sz w:val="20"/>
          <w:szCs w:val="20"/>
          <w:color w:val="auto"/>
        </w:rPr>
      </w:pPr>
    </w:p>
    <w:p>
      <w:pPr>
        <w:ind w:right="140"/>
        <w:spacing w:after="0" w:line="24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2" w:lineRule="exact"/>
        <w:rPr>
          <w:sz w:val="20"/>
          <w:szCs w:val="20"/>
          <w:color w:val="auto"/>
        </w:rPr>
      </w:pPr>
    </w:p>
    <w:p>
      <w:pPr>
        <w:ind w:right="320"/>
        <w:spacing w:after="0" w:line="24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 cers during the relevant recovery period pursuant to §240.10D-1(b). </w:t>
      </w:r>
      <w:r>
        <w:rPr>
          <w:rFonts w:ascii="MS PGothic" w:cs="MS PGothic" w:eastAsia="MS PGothic" w:hAnsi="MS PGothic"/>
          <w:sz w:val="18"/>
          <w:szCs w:val="18"/>
          <w:b w:val="1"/>
          <w:bCs w:val="1"/>
          <w:color w:val="auto"/>
        </w:rPr>
        <w:t>☐</w:t>
      </w:r>
    </w:p>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b w:val="1"/>
          <w:bCs w:val="1"/>
          <w:color w:val="auto"/>
        </w:rPr>
        <w:t>☒</w:t>
      </w:r>
    </w:p>
    <w:p>
      <w:pPr>
        <w:spacing w:after="0" w:line="57"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8"/>
          <w:szCs w:val="18"/>
          <w:color w:val="auto"/>
        </w:rPr>
        <w:t>As of August 2, 2024, the aggregate market value of the Common Stock held by non-affiliates of the registrant was approximately $128.0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2"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color w:val="auto"/>
        </w:rPr>
        <w:t>The registrant had 53,524,864 shares of Common Stock, $0.01 par value, outstanding as of March 7, 2025.</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Portions of the Proxy Statement for the 2025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99060</wp:posOffset>
            </wp:positionV>
            <wp:extent cx="68948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86360</wp:posOffset>
            </wp:positionV>
            <wp:extent cx="68948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6350"/>
                    </a:xfrm>
                    <a:prstGeom prst="rect">
                      <a:avLst/>
                    </a:prstGeom>
                    <a:noFill/>
                  </pic:spPr>
                </pic:pic>
              </a:graphicData>
            </a:graphic>
          </wp:anchor>
        </w:drawing>
      </w:r>
    </w:p>
    <w:p>
      <w:pPr>
        <w:sectPr>
          <w:pgSz w:w="11880" w:h="15480" w:orient="portrait"/>
          <w:cols w:equalWidth="0" w:num="1">
            <w:col w:w="10800"/>
          </w:cols>
          <w:pgMar w:left="540" w:top="598" w:right="540" w:bottom="163" w:gutter="0" w:footer="0" w:header="0"/>
          <w:type w:val="continuous"/>
        </w:sectPr>
      </w:pPr>
    </w:p>
    <w:bookmarkStart w:id="3" w:name="page4"/>
    <w:bookmarkEnd w:id="3"/>
    <w:p>
      <w:pPr>
        <w:ind w:left="39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161290</wp:posOffset>
            </wp:positionV>
            <wp:extent cx="8915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1540" cy="6350"/>
                    </a:xfrm>
                    <a:prstGeom prst="rect">
                      <a:avLst/>
                    </a:prstGeom>
                    <a:noFill/>
                  </pic:spPr>
                </pic:pic>
              </a:graphicData>
            </a:graphic>
          </wp:anchor>
        </w:drawing>
      </w: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Index to Annual Report on Form 10-K</w:t>
      </w:r>
    </w:p>
    <w:p>
      <w:pPr>
        <w:ind w:left="4140"/>
        <w:spacing w:after="0"/>
        <w:rPr>
          <w:sz w:val="20"/>
          <w:szCs w:val="20"/>
          <w:color w:val="auto"/>
        </w:rPr>
      </w:pPr>
      <w:r>
        <w:rPr>
          <w:rFonts w:ascii="Times New Roman" w:cs="Times New Roman" w:eastAsia="Times New Roman" w:hAnsi="Times New Roman"/>
          <w:sz w:val="20"/>
          <w:szCs w:val="20"/>
          <w:b w:val="1"/>
          <w:bCs w:val="1"/>
          <w:color w:val="auto"/>
        </w:rPr>
        <w:t>Year Ended February 1, 2025</w:t>
      </w:r>
    </w:p>
    <w:p>
      <w:pPr>
        <w:spacing w:after="0" w:line="249"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12700</wp:posOffset>
            </wp:positionV>
            <wp:extent cx="34036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360" cy="6350"/>
                    </a:xfrm>
                    <a:prstGeom prst="rect">
                      <a:avLst/>
                    </a:prstGeom>
                    <a:noFill/>
                  </pic:spPr>
                </pic:pic>
              </a:graphicData>
            </a:graphic>
          </wp:anchor>
        </w:drawing>
      </w:r>
    </w:p>
    <w:p>
      <w:pPr>
        <w:spacing w:after="0" w:line="1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55" w:lineRule="exact"/>
        <w:rPr>
          <w:sz w:val="20"/>
          <w:szCs w:val="20"/>
          <w:color w:val="auto"/>
        </w:rPr>
      </w:pPr>
    </w:p>
    <w:p>
      <w:pPr>
        <w:spacing w:after="0"/>
        <w:tabs>
          <w:tab w:leader="none" w:pos="960" w:val="left"/>
          <w:tab w:leader="dot" w:pos="106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13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20</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20</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22</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23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23</w:t>
      </w:r>
    </w:p>
    <w:p>
      <w:pPr>
        <w:spacing w:after="0" w:line="14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55"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 Securities</w:t>
      </w:r>
      <w:r>
        <w:rPr>
          <w:sz w:val="20"/>
          <w:szCs w:val="20"/>
          <w:color w:val="auto"/>
        </w:rPr>
        <w:tab/>
      </w:r>
      <w:r>
        <w:rPr>
          <w:rFonts w:ascii="Times New Roman" w:cs="Times New Roman" w:eastAsia="Times New Roman" w:hAnsi="Times New Roman"/>
          <w:sz w:val="20"/>
          <w:szCs w:val="20"/>
          <w:color w:val="auto"/>
        </w:rPr>
        <w:t>24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25</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26</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auto"/>
        </w:rPr>
        <w:t>35</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36</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61</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9A.</w:t>
        <w:tab/>
        <w:t>Controls and Procedures</w:t>
      </w:r>
      <w:r>
        <w:rPr>
          <w:sz w:val="20"/>
          <w:szCs w:val="20"/>
          <w:color w:val="auto"/>
        </w:rPr>
        <w:tab/>
      </w:r>
      <w:r>
        <w:rPr>
          <w:rFonts w:ascii="Times New Roman" w:cs="Times New Roman" w:eastAsia="Times New Roman" w:hAnsi="Times New Roman"/>
          <w:sz w:val="20"/>
          <w:szCs w:val="20"/>
          <w:color w:val="auto"/>
        </w:rPr>
        <w:t>61</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9B.</w:t>
        <w:tab/>
        <w:t>Other Information</w:t>
      </w:r>
      <w:r>
        <w:rPr>
          <w:sz w:val="20"/>
          <w:szCs w:val="20"/>
          <w:color w:val="auto"/>
        </w:rPr>
        <w:tab/>
      </w:r>
      <w:r>
        <w:rPr>
          <w:rFonts w:ascii="Times New Roman" w:cs="Times New Roman" w:eastAsia="Times New Roman" w:hAnsi="Times New Roman"/>
          <w:sz w:val="20"/>
          <w:szCs w:val="20"/>
          <w:color w:val="auto"/>
        </w:rPr>
        <w:t>63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63</w:t>
      </w:r>
    </w:p>
    <w:p>
      <w:pPr>
        <w:spacing w:after="0" w:line="1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55"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64</w:t>
      </w:r>
    </w:p>
    <w:p>
      <w:pPr>
        <w:spacing w:after="0" w:line="1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55"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w:t>
      </w:r>
      <w:r>
        <w:rPr>
          <w:sz w:val="20"/>
          <w:szCs w:val="20"/>
          <w:color w:val="auto"/>
        </w:rPr>
        <w:tab/>
      </w:r>
      <w:r>
        <w:rPr>
          <w:rFonts w:ascii="Times New Roman" w:cs="Times New Roman" w:eastAsia="Times New Roman" w:hAnsi="Times New Roman"/>
          <w:sz w:val="20"/>
          <w:szCs w:val="20"/>
          <w:color w:val="auto"/>
        </w:rPr>
        <w:t>64</w:t>
      </w:r>
    </w:p>
    <w:p>
      <w:pPr>
        <w:spacing w:after="0" w:line="244" w:lineRule="exact"/>
        <w:rPr>
          <w:sz w:val="20"/>
          <w:szCs w:val="20"/>
          <w:color w:val="auto"/>
        </w:rPr>
      </w:pPr>
    </w:p>
    <w:p>
      <w:pPr>
        <w:spacing w:after="0"/>
        <w:tabs>
          <w:tab w:leader="none" w:pos="960" w:val="left"/>
          <w:tab w:leader="dot" w:pos="1056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64</w:t>
      </w:r>
    </w:p>
    <w:p>
      <w:pPr>
        <w:spacing w:after="0" w:line="152" w:lineRule="exact"/>
        <w:rPr>
          <w:sz w:val="20"/>
          <w:szCs w:val="20"/>
          <w:color w:val="auto"/>
        </w:rPr>
      </w:pPr>
    </w:p>
    <w:p>
      <w:pPr>
        <w:ind w:left="980"/>
        <w:spacing w:after="0"/>
        <w:tabs>
          <w:tab w:leader="dot" w:pos="1056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68</w:t>
      </w:r>
    </w:p>
    <w:p>
      <w:pPr>
        <w:sectPr>
          <w:pgSz w:w="11880" w:h="15480" w:orient="portrait"/>
          <w:cols w:equalWidth="0" w:num="1">
            <w:col w:w="10780"/>
          </w:cols>
          <w:pgMar w:left="540" w:top="6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780"/>
          </w:cols>
          <w:pgMar w:left="540" w:top="653" w:right="56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ability to grow market share, the impact of our strategic growth initiatives, including our ability to build brand awareness, develop new stores and create and expand alliances and collaborations, our ability to grow our top line and maintain profitability, our expected capital expenditures in 2025, our expected marketing spend in 2025, expected store openings in 2025 and beyond, and our ability to meet our liquidity needs.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our ability to successfully implement our business strategy and grow our market share, increasing our digital presence and expanding existing and entering into new alliances and collaborations, and managing our store portfolio; loss or disruption in our operations and supply chain, including labor costs and shortages; increases in certain raw material costs and freight costs; the impact of macroeconomic factors, such as inflation, ongoing global conflicts, consumer confidence, imposition of new tariffs and high interest rates; as well as those risks and uncertainties set forth below under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Readers are encouraged to review these risks and uncertainties carefully.</w:t>
      </w:r>
    </w:p>
    <w:p>
      <w:pPr>
        <w:spacing w:after="0" w:line="326"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Business</w:t>
      </w:r>
    </w:p>
    <w:p>
      <w:pPr>
        <w:spacing w:after="0" w:line="11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Destination XL Group, Inc., together with its subsidiaries (the “Company”), is the leading specialty retailer of big + tall men’s apparel with retail locations throughout the United States. We operate under the trade names of Destination XL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DXL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DXL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Big + Tall, DXL Men’s Apparel, DXL outlets, Casual Male XL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and Casual Male XL outlets. At February 1, 2025, we operated 247 DXL retail stores, 15 DXL outlet stores, 7 Casual Male XL retail stores, 19 Casual Male XL outlet stores, and a digital business, including an e-commerce site at </w:t>
      </w:r>
      <w:r>
        <w:rPr>
          <w:rFonts w:ascii="Times New Roman" w:cs="Times New Roman" w:eastAsia="Times New Roman" w:hAnsi="Times New Roman"/>
          <w:sz w:val="20"/>
          <w:szCs w:val="20"/>
          <w:i w:val="1"/>
          <w:iCs w:val="1"/>
          <w:color w:val="auto"/>
        </w:rPr>
        <w:t>www.dxl.com,</w:t>
      </w:r>
      <w:r>
        <w:rPr>
          <w:rFonts w:ascii="Times New Roman" w:cs="Times New Roman" w:eastAsia="Times New Roman" w:hAnsi="Times New Roman"/>
          <w:sz w:val="20"/>
          <w:szCs w:val="20"/>
          <w:color w:val="auto"/>
        </w:rPr>
        <w:t xml:space="preserve"> a mobile site </w:t>
      </w:r>
      <w:r>
        <w:rPr>
          <w:rFonts w:ascii="Times New Roman" w:cs="Times New Roman" w:eastAsia="Times New Roman" w:hAnsi="Times New Roman"/>
          <w:sz w:val="20"/>
          <w:szCs w:val="20"/>
          <w:i w:val="1"/>
          <w:iCs w:val="1"/>
          <w:color w:val="auto"/>
        </w:rPr>
        <w:t>m.destinationXL.com</w:t>
      </w:r>
      <w:r>
        <w:rPr>
          <w:rFonts w:ascii="Times New Roman" w:cs="Times New Roman" w:eastAsia="Times New Roman" w:hAnsi="Times New Roman"/>
          <w:sz w:val="20"/>
          <w:szCs w:val="20"/>
          <w:color w:val="auto"/>
        </w:rPr>
        <w:t xml:space="preserve"> and mobile app. Unless the context indicates otherwise, all references to “we,” “our,” “ours,” “us” and “the Company” refer to Destination XL Group, Inc. and our consolidated subsidiaries. We refer to our fiscal years ended February 1, 2025, February 3, 2024 and January 28, 2023 as “fiscal 2024,” “fiscal 2023” and “fiscal 2022,”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INDUSTRY</w:t>
      </w:r>
    </w:p>
    <w:p>
      <w:pPr>
        <w:spacing w:after="0" w:line="117"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We define the big + tall men’s clothing market as starting at a waist size for pants of 38” and greater, as well as tops sized 1XL and greater. With our proprietary fit and extensive selection of exclusive brands, we believe that we can grow market share as an integrated commerce retailer able to target a broad market, attracting customers from various income, age and lifestyle segments, offering the underserved consumer the widest selection of sizes and styles.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HISTORY</w:t>
      </w:r>
    </w:p>
    <w:p>
      <w:pPr>
        <w:spacing w:after="0" w:line="1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 tall market in the United States. As a result of the acquisition, on August 8, 2002, we changed our name to “Casual Male Retail Group, Inc.”</w:t>
      </w:r>
    </w:p>
    <w:p>
      <w:pPr>
        <w:spacing w:after="0" w:line="7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w:t>
      </w:r>
    </w:p>
    <w:p>
      <w:pPr>
        <w:sectPr>
          <w:pgSz w:w="11880" w:h="15480" w:orient="portrait"/>
          <w:cols w:equalWidth="0" w:num="1">
            <w:col w:w="10800"/>
          </w:cols>
          <w:pgMar w:left="540" w:top="6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645" w:right="5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23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operate as an integrated commerce retailer of big + tall men’s clothing and footwear. Through our multiple brands, which include both national brands and our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9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What is unique about our business is our proprietary fit, our ability to manage an array of sizes and optimize our in-stock position throughout each season. Our best-selling pant has 58 size combinations and a unique fit specification as compared to an average retailer who may have as few as 15 to 20 different size combinations. We maintain a consolidated inventory assortment across all channels that enables us to manage our in-stock position of all sizes effectively, ultimately improving customer service. Moreover, our planning and allocation methodologies help to optimize each location’s market potential without carrying excessive inventory levels.</w:t>
      </w:r>
    </w:p>
    <w:p>
      <w:pPr>
        <w:spacing w:after="0" w:line="179"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offer a selection of footwear in sizes 10W to 17W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STRATEGY</w:t>
      </w:r>
    </w:p>
    <w:p>
      <w:pPr>
        <w:spacing w:after="0" w:line="238"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Over the past several years, we have transformed our business, investing in our customer relationship capabilities, our data infrastructure and our data analytics capabilities. We have achieved a heightened level of operational excellence, recapitalized our balance sheet to provide a greater level of financial flexibility, made investments in our technical capabilities, and upgraded our leadership team.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Progress on Our Long-Range Plan and Future Growth Strategy</w:t>
      </w:r>
    </w:p>
    <w:p>
      <w:pPr>
        <w:spacing w:after="0" w:line="12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During fiscal 2024, we made meaningful progress with many aspects of our long-term strategic growth initiatives, and we continue to believe that these initiatives will give us the opportunity to build greater brand awareness and a greater opportunity for long-term growth over time. However, we believe the men's apparel market has faced significant macroeconomic and sector headwinds that have contributed to weak consumer demand for Big + Tall apparel. With the continued downward cyclical pressure on sales, we have paused certain objectives to focus on protecting our existing business and mitigating erosion in free cash flow. While we still remain committed to our long-range plan, we believe adjusting the timeline for aspects of our initiatives is prudent to ensure that we remain fiscally responsible with our investment spending and focused on near-term profitability and generating free cash flow. As we head into fiscal 2025, we will remain focused on executing this strategic plan, but in light of weak consumer demand, we are prioritizing operational efficiency as we aim to enhance profitability:</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Marketing and Brand Building. </w:t>
      </w:r>
      <w:r>
        <w:rPr>
          <w:rFonts w:ascii="Times New Roman" w:cs="Times New Roman" w:eastAsia="Times New Roman" w:hAnsi="Times New Roman"/>
          <w:sz w:val="20"/>
          <w:szCs w:val="20"/>
          <w:color w:val="auto"/>
        </w:rPr>
        <w:t>We launched our new brand advertising campaign in the second quarter of fiscal 2024 to build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awareness of our brand. The campaign ran in a three-matched-market test in Boston, Detroit, and St. Louis and the results were positive in all three markets, with increases in traffic, transactions, and new customer acquisition. However, given the soft sales trends in fiscal 2024 and our year-over-year decline in profitability, we did not believe it was prudent to continue to invest in our brand awareness initiative in the second half of fiscal 2024. While the initial test provided important insight and was directionally positive, the results were not accretive enough to pursue in the current environment. Instead, we invested in several direct, working marketing initiatives to appeal to our customer who may be feeling the financial stress and pulling back on discretionary spending. Our marketing spend plan for fiscal 2025, which we expect to be approximately 6% of sales, does not include any brand awareness advertising.</w:t>
      </w:r>
    </w:p>
    <w:p>
      <w:pPr>
        <w:spacing w:after="0" w:line="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Store Development. </w:t>
      </w:r>
      <w:r>
        <w:rPr>
          <w:rFonts w:ascii="Times New Roman" w:cs="Times New Roman" w:eastAsia="Times New Roman" w:hAnsi="Times New Roman"/>
          <w:sz w:val="19"/>
          <w:szCs w:val="19"/>
          <w:color w:val="auto"/>
        </w:rPr>
        <w:t>While we have stores in every major metropolitan market across the United States, there are geographic voids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certain markets where big + tall consumers are not being served by a DXL store. Our consumer research has indicated that 44% of big</w:t>
      </w:r>
    </w:p>
    <w:p>
      <w:pPr>
        <w:spacing w:after="0" w:line="1" w:lineRule="exact"/>
        <w:rPr>
          <w:sz w:val="20"/>
          <w:szCs w:val="20"/>
          <w:color w:val="auto"/>
        </w:rPr>
      </w:pPr>
    </w:p>
    <w:p>
      <w:pPr>
        <w:spacing w:after="0" w:line="249" w:lineRule="auto"/>
        <w:tabs>
          <w:tab w:leader="none" w:pos="16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tall men self-reported that they do not shop with us because a store is not located near them, while 35% self-reported that they do not shop with us because a store location is not convenient. During fiscal 2024, we opened seven new stores, with eight additional stores scheduled to open in fiscal 2025. Store expansion will continue to be a key component of our long-term growth strategy, but until the men's retail apparel business improves and DXL consumer demand recovers, we plan to pause the opening of new stores in fiscal 2026. All new store and conversion investments are subject to rigorous ROIC hurdles that are informed by our prior experience.</w:t>
      </w:r>
    </w:p>
    <w:p>
      <w:pPr>
        <w:spacing w:after="0" w:line="77"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9"/>
          <w:szCs w:val="19"/>
          <w:i w:val="1"/>
          <w:iCs w:val="1"/>
          <w:color w:val="auto"/>
        </w:rPr>
        <w:t xml:space="preserve">New Website Platform. </w:t>
      </w:r>
      <w:r>
        <w:rPr>
          <w:rFonts w:ascii="Times New Roman" w:cs="Times New Roman" w:eastAsia="Times New Roman" w:hAnsi="Times New Roman"/>
          <w:sz w:val="19"/>
          <w:szCs w:val="19"/>
          <w:color w:val="auto"/>
        </w:rPr>
        <w:t>During fiscal 2024, we started the transition to a new and improved e-commerce platform, with 100%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site traffic now diverted to our new platform. This project will be completed by April 2025. The platform addresses friction online and</w:t>
      </w:r>
    </w:p>
    <w:p>
      <w:pPr>
        <w:sectPr>
          <w:pgSz w:w="11880" w:h="15480" w:orient="portrait"/>
          <w:cols w:equalWidth="0" w:num="1">
            <w:col w:w="10800"/>
          </w:cols>
          <w:pgMar w:left="540" w:top="658" w:right="540"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658" w:right="540" w:bottom="0" w:gutter="0" w:footer="0" w:header="0"/>
          <w:type w:val="continuous"/>
        </w:sectPr>
      </w:pPr>
    </w:p>
    <w:bookmarkStart w:id="6" w:name="page7"/>
    <w:bookmarkEnd w:id="6"/>
    <w:p>
      <w:pPr>
        <w:ind w:right="200"/>
        <w:spacing w:after="0" w:line="259" w:lineRule="auto"/>
        <w:rPr>
          <w:sz w:val="20"/>
          <w:szCs w:val="20"/>
          <w:color w:val="auto"/>
        </w:rPr>
      </w:pPr>
      <w:r>
        <w:rPr>
          <w:rFonts w:ascii="Times New Roman" w:cs="Times New Roman" w:eastAsia="Times New Roman" w:hAnsi="Times New Roman"/>
          <w:sz w:val="20"/>
          <w:szCs w:val="20"/>
          <w:color w:val="auto"/>
        </w:rPr>
        <w:t>will drive a richer and simpler consumer experience, with measurably greater speed and agility. Our customers will also see significant improvement with product detail pages, the checkout process and search experience. This new platform will enable us to respond faster and more effectively to make changes in the future.</w:t>
      </w:r>
    </w:p>
    <w:p>
      <w:pPr>
        <w:spacing w:after="0" w:line="6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Alliances/Collaborations. </w:t>
      </w:r>
      <w:r>
        <w:rPr>
          <w:rFonts w:ascii="Times New Roman" w:cs="Times New Roman" w:eastAsia="Times New Roman" w:hAnsi="Times New Roman"/>
          <w:sz w:val="20"/>
          <w:szCs w:val="20"/>
          <w:color w:val="auto"/>
        </w:rPr>
        <w:t>We strongly believe that our "fit authority" is one of our greatest assets and that we can develop successful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collaborations with other brands that are interested in finding a cost-effective way to expand their offering to include big + tall men's apparel. In the second quarter of fiscal 2024, we launched our DXL Big + Tall merchandise assortment on Nordstrom's digital marketplace platform. We believe this collaboration will allow us to bring the DXL experience beyond our four walls and directly to the Nordstrom customer, thereby further extending our relationship with the female consumer. During the first quarter of fiscal 2025, we will be launching TravisMathew, Fit by DXL online and in select stores. In addition to these collaborations, we are continually looking to expand upon our exclusivity with national brands. We believe our heritage of providing a world-class consumer shopping experience makes DXL ideal for collaborations and alliances.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New Initiatives for Fiscal 2025</w:t>
      </w:r>
    </w:p>
    <w:p>
      <w:pPr>
        <w:spacing w:after="0" w:line="12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Our plans for fiscal 2025 include several initiatives aimed to enhance our market position by specifically appealing to our value-driven customers who are more price sensitive and less inclined to shop during this downward economic cycle.</w:t>
      </w:r>
    </w:p>
    <w:p>
      <w:pPr>
        <w:spacing w:after="0" w:line="4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DXL Rewards Program. </w:t>
      </w:r>
      <w:r>
        <w:rPr>
          <w:rFonts w:ascii="Times New Roman" w:cs="Times New Roman" w:eastAsia="Times New Roman" w:hAnsi="Times New Roman"/>
          <w:sz w:val="20"/>
          <w:szCs w:val="20"/>
          <w:color w:val="auto"/>
        </w:rPr>
        <w:t>At the start of fiscal 2025, we introduced our new DXL Rewards program, with compelling benefits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deepen engagement across our customer base. The new program provides our customers with a simplified program that rewards our best customers with benefits and perks that matter to them. It further allows us greater flexibility in using the program as a fundamental driver of value, reducing pressure on broad-based promotion.</w:t>
      </w:r>
    </w:p>
    <w:p>
      <w:pPr>
        <w:spacing w:after="0" w:line="7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Improving our Value Proposition. </w:t>
      </w:r>
      <w:r>
        <w:rPr>
          <w:rFonts w:ascii="Times New Roman" w:cs="Times New Roman" w:eastAsia="Times New Roman" w:hAnsi="Times New Roman"/>
          <w:sz w:val="20"/>
          <w:szCs w:val="20"/>
          <w:color w:val="auto"/>
        </w:rPr>
        <w:t>In late fiscal 2024, we announced a price-match guarantee program, and in early fiscal 2025,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introduced our Fit Exchange by DXL program, which provides our customers the ability to come to our store and donate clothes that no longer fit in exchange for a promotional discount. We have also introduced a discount for active-duty military, veterans, first responders and teachers. One of our key priorities for fiscal 2025 will be to leverage strategic promotions to stay competitive and deliver a better value proposition. Lastly, we are also expanding our opening price point in our merchandise assortment by adding several new brands and expanding the assortment of some of our well-established brands.</w:t>
      </w:r>
    </w:p>
    <w:p>
      <w:pPr>
        <w:spacing w:after="0" w:line="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i w:val="1"/>
          <w:iCs w:val="1"/>
          <w:color w:val="auto"/>
        </w:rPr>
        <w:t>FiTMAP</w:t>
      </w:r>
      <w:r>
        <w:rPr>
          <w:rFonts w:ascii="Times New Roman" w:cs="Times New Roman" w:eastAsia="Times New Roman" w:hAnsi="Times New Roman"/>
          <w:sz w:val="13"/>
          <w:szCs w:val="13"/>
          <w:i w:val="1"/>
          <w:iCs w:val="1"/>
          <w:color w:val="auto"/>
        </w:rPr>
        <w:t>SM</w:t>
      </w:r>
      <w:r>
        <w:rPr>
          <w:rFonts w:ascii="Times New Roman" w:cs="Times New Roman" w:eastAsia="Times New Roman" w:hAnsi="Times New Roman"/>
          <w:sz w:val="20"/>
          <w:szCs w:val="20"/>
          <w:color w:val="auto"/>
        </w:rPr>
        <w:t>. Over the past two years, we have been working with and testing a proprietary FiTMAP Sizing Technology for which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an exclusive license for Big + Tall men until 2030. This innovative, contactless, digital scanning technology captures 242 unique measurements and offers custom clothing options for all our customers, and size recommendations across the variety of brands for a great fit. FiTMAP offers a unique experience for our customers, whether selecting from our Ready-to-Wear (RTW) clothing or opting for custom garments. This technology currently provides recommended sizes in all of our private label brands, as well as 15 of our exclusive national brands. We believe this technology will enhance customer engagement, attract new customers and establish DXL as a technology leader in men's big + tall apparel. FiTMAP is currently in 25 DXL retail locations with plans to add another 25 stores in early fiscal 2025. We are in the preliminary stage of deploying a mobile app for this technology which will enable our customers to scan themselves at home. We expect that this will drive sales in our direct business.</w:t>
      </w:r>
    </w:p>
    <w:p>
      <w:pPr>
        <w:spacing w:after="0" w:line="8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As we head into fiscal 2025, we will continue to look for new opportunities to support our customer during this downward economic cycle and endeavor to enhance and build brand affinity.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MERCHANDISE</w:t>
      </w:r>
    </w:p>
    <w:p>
      <w:pPr>
        <w:spacing w:after="0" w:line="358"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9"/>
          <w:szCs w:val="19"/>
          <w:color w:val="auto"/>
        </w:rPr>
        <w:t>We offer our customers an extensive assortment of apparel consisting of both our own brands and over 100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8XL and 8XLT, bottoms with waist sizes 38” to 66”, and footwear in sizes 10W to 17W.</w:t>
      </w:r>
    </w:p>
    <w:p>
      <w:pPr>
        <w:spacing w:after="0" w:line="57"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auto"/>
        </w:rPr>
        <w:t>Our proprietary fit sets us apart from our competitors. Our merchandise is not just an extension of regular sizes. The fit is constructed from unique specifications for every size and style, with specific design features for the big + tall customer.</w:t>
      </w:r>
    </w:p>
    <w:p>
      <w:pPr>
        <w:spacing w:after="0" w:line="4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w:t>
      </w:r>
    </w:p>
    <w:p>
      <w:pPr>
        <w:sectPr>
          <w:pgSz w:w="11880" w:h="15480" w:orient="portrait"/>
          <w:cols w:equalWidth="0" w:num="1">
            <w:col w:w="10800"/>
          </w:cols>
          <w:pgMar w:left="540" w:top="656" w:right="540"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656" w:right="540" w:bottom="0" w:gutter="0" w:footer="0" w:header="0"/>
          <w:type w:val="continuous"/>
        </w:sectPr>
      </w:pPr>
    </w:p>
    <w:bookmarkStart w:id="7" w:name="page8"/>
    <w:bookmarkEnd w:id="7"/>
    <w:p>
      <w:pPr>
        <w:ind w:right="80"/>
        <w:spacing w:after="0" w:line="245" w:lineRule="auto"/>
        <w:rPr>
          <w:sz w:val="20"/>
          <w:szCs w:val="20"/>
          <w:color w:val="auto"/>
        </w:rPr>
      </w:pPr>
      <w:r>
        <w:rPr>
          <w:rFonts w:ascii="Times New Roman" w:cs="Times New Roman" w:eastAsia="Times New Roman" w:hAnsi="Times New Roman"/>
          <w:sz w:val="20"/>
          <w:szCs w:val="20"/>
          <w:color w:val="auto"/>
        </w:rPr>
        <w:t>Big +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addition to our exclusive brands, we also work with several other national brands to offer a unique, curated merchandise assortment in sizes 2XL and above that are sold exclusively in our stores and on our website and are not available on the brand’s own website. These offerings are a subset of the larger merchandise offering that we carry for these respective brands. The penetration of national brands in a specific DXL store can range from 39% to 80%, depending on several factors, but on average, approximately half of the assortment is branded apparel.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first quarter of fiscal 2025, we will be launching the brand TravisMathew, Fit by DXL online and in select</w:t>
      </w:r>
    </w:p>
    <w:p>
      <w:pPr>
        <w:jc w:val="both"/>
        <w:ind w:right="560"/>
        <w:spacing w:after="0" w:line="259" w:lineRule="auto"/>
        <w:rPr>
          <w:sz w:val="20"/>
          <w:szCs w:val="20"/>
          <w:color w:val="auto"/>
        </w:rPr>
      </w:pPr>
      <w:r>
        <w:rPr>
          <w:rFonts w:ascii="Times New Roman" w:cs="Times New Roman" w:eastAsia="Times New Roman" w:hAnsi="Times New Roman"/>
          <w:sz w:val="20"/>
          <w:szCs w:val="20"/>
          <w:color w:val="auto"/>
        </w:rPr>
        <w:t>stores. TravisMathew is a premium men’s lifestyle apparel brand that blends performance, casual, and golf-inspired styles. We continue to explore strategic collaborations with other brands that are widely recognized and that could complement our curated assortment.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Value-Priced Apparel - “Good” Merchandise</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For our value-oriented customers, we carry Champion, Lee, Wrangler and Reebok. In addition, we carry the following value-priced private label lines:</w:t>
      </w:r>
    </w:p>
    <w:p>
      <w:pPr>
        <w:spacing w:after="0" w:line="4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i w:val="1"/>
          <w:iCs w:val="1"/>
          <w:color w:val="auto"/>
        </w:rPr>
        <w:t>Harbor Bay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 our first proprietary brand and it is a traditional line that continues to represent a significant portion of our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specifically in terms of our core basic merchandise.</w:t>
      </w:r>
    </w:p>
    <w:p>
      <w:pPr>
        <w:spacing w:after="0" w:line="4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i w:val="1"/>
          <w:iCs w:val="1"/>
          <w:color w:val="auto"/>
        </w:rPr>
        <w:t>Oak Hill</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a premium line catering to those customers looking for slightly more style and quality than our</w:t>
      </w:r>
      <w:r>
        <w:rPr>
          <w:rFonts w:ascii="Times New Roman" w:cs="Times New Roman" w:eastAsia="Times New Roman" w:hAnsi="Times New Roman"/>
          <w:sz w:val="20"/>
          <w:szCs w:val="20"/>
          <w:i w:val="1"/>
          <w:iCs w:val="1"/>
          <w:color w:val="auto"/>
        </w:rPr>
        <w:t xml:space="preserve"> Harbor Bay </w:t>
      </w:r>
      <w:r>
        <w:rPr>
          <w:rFonts w:ascii="Times New Roman" w:cs="Times New Roman" w:eastAsia="Times New Roman" w:hAnsi="Times New Roman"/>
          <w:sz w:val="20"/>
          <w:szCs w:val="20"/>
          <w:color w:val="auto"/>
        </w:rPr>
        <w:t>line, but still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 traditional lifestyle.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Synrgy™ </w:t>
      </w:r>
      <w:r>
        <w:rPr>
          <w:rFonts w:ascii="Times New Roman" w:cs="Times New Roman" w:eastAsia="Times New Roman" w:hAnsi="Times New Roman"/>
          <w:sz w:val="20"/>
          <w:szCs w:val="20"/>
          <w:color w:val="auto"/>
        </w:rPr>
        <w:t>targets the customer looking for a contemporary/modern look.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True Nation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a denim-inspired line consisting of vintage-screen t-shirts and wovens and is geared towards our younger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Society of One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an activewear brand that offers versatile styling options and is grounded by performance technology.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Moderate-Priced Apparel - “Better” Merchandise</w:t>
      </w:r>
    </w:p>
    <w:p>
      <w:pPr>
        <w:spacing w:after="0" w:line="118" w:lineRule="exact"/>
        <w:rPr>
          <w:sz w:val="20"/>
          <w:szCs w:val="20"/>
          <w:color w:val="auto"/>
        </w:rPr>
      </w:pPr>
    </w:p>
    <w:p>
      <w:pPr>
        <w:jc w:val="both"/>
        <w:ind w:right="600"/>
        <w:spacing w:after="0" w:line="253" w:lineRule="auto"/>
        <w:rPr>
          <w:sz w:val="20"/>
          <w:szCs w:val="20"/>
          <w:color w:val="auto"/>
        </w:rPr>
      </w:pPr>
      <w:r>
        <w:rPr>
          <w:rFonts w:ascii="Times New Roman" w:cs="Times New Roman" w:eastAsia="Times New Roman" w:hAnsi="Times New Roman"/>
          <w:sz w:val="20"/>
          <w:szCs w:val="20"/>
          <w:color w:val="auto"/>
        </w:rPr>
        <w:t>We offer our customers an extensive selection of quality sportswear and dress clothing at moderate prices carrying well-known brands, such as Levi's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Columbia, Carhartt</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and Jockey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Our exclusive brands in this price range include O’Neill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Nautica</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Adidas Golf</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and vineyard vines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Within our product assortment for Callaway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Majestic and Tommy Bahama</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we also offer exclusive styles specially curated for our customers.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Higher-End Fashion Apparel - “Best” Merchandise</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Within this higher-end price range, we carry a broad selection of quality apparel from well-known branded manufacturers, such as The North Face</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Polo Ralph Lauren</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Jack Victor</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Boss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Faherty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Original Penguin Golf</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Michael Kors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and Tallia</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Our exclusive brands in this price range include Brooks Brothers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JOE’S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Jeans, 7 for all Mankind</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Boss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Faherty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Original Penguin Golf</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and Robert Barakett</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Within our product assortment for Psycho Bunny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Lucky and Robert Graham</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we also offer exclusive styles specially curated for our customers. Polo Ralph Lauren builds one collection each quarter for our customers that is exclusive to DXL.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Footwear</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Our DXL website offers an assortment of footwear, with a broad selection from casual to formal, in varying price points. We currently have a selection of more than 200 styles of footwear, ranging in sizes from 10W to 17W, including designer brands such as Cole Haan®, Timberland®, Sketchers®, New Balance®, Reebok® and Deerstags.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STORE CHANNEL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DXL Men’s Apparel Stores</w:t>
      </w:r>
    </w:p>
    <w:p>
      <w:pPr>
        <w:spacing w:after="0" w:line="1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of February 1, 2025, we operated 247 DXL retail stores that cater to our diverse customer base, with merchandise representing all price points, from our higher-end brands to value-oriented brands, and all lifestyles, from business to denim. The size of our DXL stores averages 7,300 square feet. Depending on the customers in each respective market, we can adjust the appropriate mix of merchandise, with varying selections from each of our price points, to cater to each demographic market. Our DXL stores are located on real estate that is highly visible, often adjacent to high-performing regional malls or other high-traffic shopping areas.</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656" w:right="540" w:bottom="0" w:gutter="0" w:footer="0" w:header="0"/>
          <w:type w:val="continuous"/>
        </w:sectPr>
      </w:pPr>
    </w:p>
    <w:bookmarkStart w:id="8" w:name="page9"/>
    <w:bookmarkEnd w:id="8"/>
    <w:p>
      <w:pPr>
        <w:ind w:right="60"/>
        <w:spacing w:after="0" w:line="246" w:lineRule="auto"/>
        <w:rPr>
          <w:sz w:val="20"/>
          <w:szCs w:val="20"/>
          <w:color w:val="auto"/>
        </w:rPr>
      </w:pPr>
      <w:r>
        <w:rPr>
          <w:rFonts w:ascii="Times New Roman" w:cs="Times New Roman" w:eastAsia="Times New Roman" w:hAnsi="Times New Roman"/>
          <w:sz w:val="20"/>
          <w:szCs w:val="20"/>
          <w:color w:val="auto"/>
        </w:rPr>
        <w:t>During fiscal 2024, we opened seven new DXL stores, re-located two DXL stores, converted eight Casual Male XL stores to the DXL format and completed five DXL store remodels. These new DXL stores offer an updated look and feel both inside and outside, with the store layout focusing on improving our customer engagement and their overall shopping experience. We have plans to open eight new stores in fiscal 2025 after which we intend to pause our new store development program in fiscal 2026 as we prioritize our focus on profitability and free cash flow generation given the current headwinds we are facing. We believe that our store portfolio is a vital asset to our business strategy and we believe there is still opportunity to open additional DXL stores across the country once the current downward economic cycle recovers.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Casual Male XL Retail Stores</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of February 1, 2025, we operated 7 Casual Male XL full-price retail stores, which are located primarily in strip centers or stand-alone locations. The majority of the merchandise carried in our Casual Male XL stores consists of moderate-priced basic or fashion-neutral items, such as jeans, casual pants, t-shirts, polo shirts, dress shirts and suit separates. These stores also carry a full complement of our own brand collections. The average Casual Male XL retail store is approximately 3,100 square feet.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DXL Outlet /Casual Male XL Outlet Stores</w:t>
      </w:r>
    </w:p>
    <w:p>
      <w:pPr>
        <w:spacing w:after="0" w:line="11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As of February 1, 2025, we operated 15 DXL outlet stores and 19 Casual Male XL outlet stores designed to offer a wide range of casual clothing for the big + tall customer at prices that are generally 20-25% lower than our moderate-priced merchandise. Much of the merchandise in our outlet stores is offered at discounted prices to cater to the value-oriented customer. In addition to our own brands and national brands at our “good” price tier, our outlets also carry clearance product obtained from DXL and Casual Male XL stores, offering the outlet customer the ability to purchase brand and fashion product for a reduced price.</w:t>
      </w:r>
    </w:p>
    <w:p>
      <w:pPr>
        <w:spacing w:after="0" w:line="197"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20"/>
          <w:szCs w:val="20"/>
          <w:color w:val="auto"/>
        </w:rPr>
        <w:t>The average DXL outlet is approximately 5,100 square feet and the average Casual Male XL outlet store is approximately 3,000 square feet.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 CHANNEL</w:t>
      </w:r>
    </w:p>
    <w:p>
      <w:pPr>
        <w:spacing w:after="0" w:line="117"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9"/>
          <w:szCs w:val="19"/>
          <w:color w:val="auto"/>
        </w:rPr>
        <w:t>Our direct business is a critical channel for growing sales and market share through new customer acquisition and digital engagement of the active file. Since fiscal 2019, comparable sales from our direct business in fiscal 2024 have grown 33%, with our total direct business representing 30.3% of our total retail sales in fiscal 2024, as compared to 23.1% of our total retail sales in fiscal 2019.</w:t>
      </w:r>
    </w:p>
    <w:p>
      <w:pPr>
        <w:spacing w:after="0" w:line="4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We define our direct business as sales that originate online, whether through our website, our app, online at the store level, our Guest Engagement Center, or a third-party marketplace. We want to serve our customers wherever and however they want to shop, whether in-person at a store, over the telephone, or online via a computer, smartphone or tablet.</w:t>
      </w:r>
    </w:p>
    <w:p>
      <w:pPr>
        <w:spacing w:after="0" w:line="6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DXL Website and App</w:t>
      </w:r>
    </w:p>
    <w:p>
      <w:pPr>
        <w:spacing w:after="0" w:line="11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Our DXL website and app have been instrumental in our growth as we continue to see our consumers shift to online shopping helping to drive higher new customer acquisition for the website business.</w:t>
      </w:r>
    </w:p>
    <w:p>
      <w:pPr>
        <w:spacing w:after="0" w:line="45"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During fiscal 2024, we upgraded our website from our legacy infrastructure to a new, modern e-commerce platform, with various features and functionality, with final migration efforts scheduled to be completed by April 2025. This upgrade provided immediate performance improvements and we believe that the customer experience has improved by eliminating friction points, optimizing search capability, and enhancing speed and response times. The new platform is engineered by a leading e-commerce technology provider and will position us to respond faster and more effectively to make changes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Sales at Store Level</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 online by store and pick-up the item in store on the same day.</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656" w:right="5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Marketplaces</w:t>
      </w:r>
    </w:p>
    <w:p>
      <w:pPr>
        <w:spacing w:after="0" w:line="11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color w:val="auto"/>
        </w:rPr>
        <w:t>We continue to extend our reach through digital, third-party marketplaces. A portion of our assortment remains available on Amazon.com and Walmart.com. Digital marketplaces provide us an opportunity to drive awareness, grow our customer base and introduce new customers to our brand.</w:t>
      </w:r>
    </w:p>
    <w:p>
      <w:pPr>
        <w:spacing w:after="0" w:line="56"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0"/>
          <w:szCs w:val="20"/>
          <w:color w:val="auto"/>
        </w:rPr>
        <w:t>In the second quarter of fiscal 2024, we launched our DXL Big + Tall merchandise assortment on Nordstrom's digital marketplace platform and are pleased with the initial success. We currently have 37 brands and over 2,200 styles available on the platform. To date, customers have primarily discovered our product offering through site search, but in fiscal 2025, we will be executing a marketing plan, in collaboration with Nordstrom, which will include email, seller pages, personalized DXL/Brand content, Men’s department landing page, programmatic marketing, and, while our product is offered only on the Marketplace, in-store training and education for sales staff and personal stylists. We believe this collaboration will allow us to bring the DXL experience beyond our four walls and directly to the Nordstrom customer, thereby further extending our relationship with the female consumer.</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MERCHANDISE PLANNING AND ALLOCATION</w:t>
      </w:r>
    </w:p>
    <w:p>
      <w:pPr>
        <w:spacing w:after="0" w:line="11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each store and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evergreen merchandise made up approximately 43% of our merchandise assortment in fiscal 2024.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7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7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merchandise planning and allocation team utilizes a set of specific universal reporting tools in fulfilling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STORE OPERATIONS</w:t>
      </w:r>
    </w:p>
    <w:p>
      <w:pPr>
        <w:spacing w:after="0" w:line="1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believe that our store associates are critical to creating the highest quality experience for our guests. The culture in our stores is to be guest-centric—to engage and build a relationship with each of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third is that our stores serve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w:t>
      </w:r>
    </w:p>
    <w:p>
      <w:pPr>
        <w:spacing w:after="0" w:line="82"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promotions (store manager to Regional Sales Manager) as well as external hires with extensive multi-unit background gives us a Regional Sales management team that reflects our customer base. Regional Vice Presidents give us touchpoints in the field in addition to our Regional Sales Managers and store management team to ensure consistency in executing our standards and all programs and processes we deem important to our success.</w:t>
      </w:r>
    </w:p>
    <w:p>
      <w:pPr>
        <w:spacing w:after="0" w:line="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65" w:lineRule="exact"/>
        <w:rPr>
          <w:sz w:val="20"/>
          <w:szCs w:val="20"/>
          <w:color w:val="auto"/>
        </w:rPr>
      </w:pPr>
    </w:p>
    <w:p>
      <w:pPr>
        <w:ind w:right="440"/>
        <w:spacing w:after="0" w:line="307" w:lineRule="auto"/>
        <w:rPr>
          <w:sz w:val="20"/>
          <w:szCs w:val="20"/>
          <w:color w:val="auto"/>
        </w:rPr>
      </w:pPr>
      <w:r>
        <w:rPr>
          <w:rFonts w:ascii="Times New Roman" w:cs="Times New Roman" w:eastAsia="Times New Roman" w:hAnsi="Times New Roman"/>
          <w:sz w:val="19"/>
          <w:szCs w:val="19"/>
          <w:color w:val="auto"/>
        </w:rPr>
        <w:t>Our field organization is overseen by our Chief Stores and Real Estate Officer, VP Store Operations, Regional Vice Presidents, Regional Sales Managers, and a Store Operations Team, who provide management development and guidance to individual store</w:t>
      </w:r>
    </w:p>
    <w:p>
      <w:pPr>
        <w:sectPr>
          <w:pgSz w:w="11880" w:h="15480" w:orient="portrait"/>
          <w:cols w:equalWidth="0" w:num="1">
            <w:col w:w="10780"/>
          </w:cols>
          <w:pgMar w:left="540" w:top="658" w:right="560" w:bottom="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780"/>
          </w:cols>
          <w:pgMar w:left="540" w:top="658" w:right="560" w:bottom="0" w:gutter="0" w:footer="0" w:header="0"/>
          <w:type w:val="continuous"/>
        </w:sectPr>
      </w:pPr>
    </w:p>
    <w:bookmarkStart w:id="10" w:name="page11"/>
    <w:bookmarkEnd w:id="10"/>
    <w:p>
      <w:pPr>
        <w:ind w:right="120"/>
        <w:spacing w:after="0" w:line="249" w:lineRule="auto"/>
        <w:rPr>
          <w:sz w:val="20"/>
          <w:szCs w:val="20"/>
          <w:color w:val="auto"/>
        </w:rPr>
      </w:pPr>
      <w:r>
        <w:rPr>
          <w:rFonts w:ascii="Times New Roman" w:cs="Times New Roman" w:eastAsia="Times New Roman" w:hAnsi="Times New Roman"/>
          <w:sz w:val="20"/>
          <w:szCs w:val="20"/>
          <w:color w:val="auto"/>
        </w:rPr>
        <w:t>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AND ADVERTISING</w:t>
      </w:r>
    </w:p>
    <w:p>
      <w:pPr>
        <w:spacing w:after="0" w:line="1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We believe that our marketing initiatives are critical to driving our sales growth by increasing traffic to our stores, website and app. Our brand initiatives invite our customer to experience not only the depth of our assortment, but also the breadth of exclusivity across our brands by offering brands and styles that are not available elsewhere. We are providing him with the freedom to choose his own style and wear what he wants. Big + Tall is all we do, and we trade on the belief that we offer superior fit, assortment, and experience to him and through these initiatives we are eager to develop relationships with our customers that are built on respect, trust, and belonging.</w:t>
      </w:r>
    </w:p>
    <w:p>
      <w:pPr>
        <w:spacing w:after="0" w:line="8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Building brand awareness remains our greatest opportunity for the long term. However, until consumer spending in the men’s apparel sector begins to improve, our marketing efforts will remain more targeted and personalized, enabling us to engage differently with each of our customers based on their shopping behaviors across all our buying channels. Our ongoing work on enhancing our customer segmentation will ultimately drive our long-term marketing strategy, enabling us to create targeted and personalized content and messaging to our various customer segments. We maintain a stringent, analytical perspective to our marketing program, focusing on understanding incremental outcomes in addition to the “return on ad spend” throughout all our programs. This data-driven philosophy extends across all our marketing initiatives as we look at new ways to engage our customers.</w:t>
      </w:r>
    </w:p>
    <w:p>
      <w:pPr>
        <w:spacing w:after="0" w:line="8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Our marketing programs include email, direct mail, direct marketing, digital marketing, social media, and streaming media, among others. We ended our legacy loyalty program at the end of fiscal 2024 and, in February 2025, we launched our new DXL Rewards program on a new platform. The new DXL Rewards program introduces new loyalty elements, such as more compelling benefits, based on tier migration through spend rather than through points or other loyalty currencies. Because we are not highly promotional, our loyalty program provides a strong value to our customers.</w:t>
      </w:r>
    </w:p>
    <w:p>
      <w:pPr>
        <w:spacing w:after="0" w:line="7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For fiscal 2025, we expect our marketing costs to be approximately 6.0% of sales as compared to 6.8% for fiscal 2024 due primarily to the temporary pause on brand awareness spending.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SOURCING</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Our global sourcing strategy is a balanced approach, which considers quality, cost and lead-time, depending on the requirements of the program. We believe our current sourcing structure meets our operating requirements and provides capacity for growth. The growth and effectiveness of our global direct sourcing program is a key component to the strength of merchandise margins.</w:t>
      </w:r>
    </w:p>
    <w:p>
      <w:pPr>
        <w:spacing w:after="0" w:line="6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30 factories in nine countries that are experts in big + tall sizing and production. In fiscal 2024, approximately 52% of all our product needs were sourced directly. We manufacture a significant percentage of our own brand merchandise in Bangladesh, India, and Southeast Asian countries, including Vietnam and Cambodia. We continue to reduce dependency on China, with less than 5% of our own brands sourced from China, inclusive of our raw materials and trims, and have moved certain programs into countries in the Western Hemisphere that have duty-free opportunities such as Nicaragua and Mexico.</w:t>
      </w:r>
    </w:p>
    <w:p>
      <w:pPr>
        <w:spacing w:after="0" w:line="8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In an effort to minimize foreign currency risk, all payments to our direct sourced vendors are made in U.S. dollars with payment on account.</w:t>
      </w:r>
    </w:p>
    <w:p>
      <w:pPr>
        <w:spacing w:after="0" w:line="45"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20"/>
          <w:szCs w:val="20"/>
          <w:color w:val="auto"/>
        </w:rPr>
        <w:t xml:space="preserve">See "Item 1A. </w:t>
      </w:r>
      <w:r>
        <w:rPr>
          <w:rFonts w:ascii="Times New Roman" w:cs="Times New Roman" w:eastAsia="Times New Roman" w:hAnsi="Times New Roman"/>
          <w:sz w:val="20"/>
          <w:szCs w:val="20"/>
          <w:i w:val="1"/>
          <w:iCs w:val="1"/>
          <w:color w:val="auto"/>
        </w:rPr>
        <w:t>Risk Factors, Operational Risks That May Affect Our Business"</w:t>
      </w:r>
      <w:r>
        <w:rPr>
          <w:rFonts w:ascii="Times New Roman" w:cs="Times New Roman" w:eastAsia="Times New Roman" w:hAnsi="Times New Roman"/>
          <w:sz w:val="20"/>
          <w:szCs w:val="20"/>
          <w:color w:val="auto"/>
        </w:rPr>
        <w:t xml:space="preserve"> for a discussion of the risks associated with the imposition of pending tariffs.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"Sustainability" below for a discussion of our environmental, ethical and social audits.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w:t>
      </w:r>
    </w:p>
    <w:p>
      <w:pPr>
        <w:spacing w:after="0" w:line="1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656" w:right="540" w:bottom="0" w:gutter="0" w:footer="0" w:header="0"/>
          <w:type w:val="continuous"/>
        </w:sectPr>
      </w:pPr>
    </w:p>
    <w:bookmarkStart w:id="11" w:name="page12"/>
    <w:bookmarkEnd w:id="11"/>
    <w:p>
      <w:pPr>
        <w:ind w:right="200"/>
        <w:spacing w:after="0" w:line="307" w:lineRule="auto"/>
        <w:rPr>
          <w:sz w:val="20"/>
          <w:szCs w:val="20"/>
          <w:color w:val="auto"/>
        </w:rPr>
      </w:pPr>
      <w:r>
        <w:rPr>
          <w:rFonts w:ascii="Times New Roman" w:cs="Times New Roman" w:eastAsia="Times New Roman" w:hAnsi="Times New Roman"/>
          <w:sz w:val="19"/>
          <w:szCs w:val="19"/>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2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For store shipments and domestic customer deliveries, we use large national carriers. We are able to track all deliveries from the warehouse to our individual stores, including the status of in-transit shipments. In addition, we are able to provide our direct customers with Authorized Return Service and Web labels, making returns more convenient for them.</w:t>
      </w:r>
    </w:p>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INFORMATION SYSTEMS</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to manage our business. Our direct and retail channels maintain a shared inventory system and we operate a single-system platform for our DXL and Casual Male XL stores to deliver improved efficiencies.</w:t>
      </w:r>
    </w:p>
    <w:p>
      <w:pPr>
        <w:spacing w:after="0" w:line="17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In an effort to improve our inventory management, we have created a standardized set of "best practices" for both our merchandise planning and allocation groups. Using a retail business intelligence solution, we are able to integrate data from several sources and provide enterprise-wide analytics reporting. We have developed a custom Assortment Suite application to leverage business intelligence and predictive analytics to provide high-impact insights into core merchandising tasks.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Our business faces competition from a variety of sources, including department stores, mass merchandisers, other specialty stores and discount and off-price retailers that sell big + tall men’s clothing. While we have successfully competed on the basis of merchandise assortment, comfort and fit, customer service and desirable store locations, there can be no assurance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the King Size catalog and website as well as online marketplaces, such as Amazon.</w:t>
      </w:r>
    </w:p>
    <w:p>
      <w:pPr>
        <w:spacing w:after="0" w:line="20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United States big + tall men’s clothing market is highly competitive with many national and regional department stores, specialty apparel retailers, single market operators and discount stores offering a broad range of apparel products intended for big +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 tall market.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118"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Historically, and consistent with the retail industry, we have experienced seasonal fluctuations in our operating income, net income, and free cash flow. Traditionally, a significant portion of our operating income, net income, and free cash flow is generated in the second and fourth quarters. Our inventory is typically at peak levels by the end of the first and third quarters, which represents a significant use of cash, which is then relieved in the second and fourth quarter as we sell-down our inventory through the spring and holiday shopping seasons.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TRADEMARKS/TRADEMARK LICENSE AGREEMENTS</w:t>
      </w:r>
    </w:p>
    <w:p>
      <w:pPr>
        <w:spacing w:after="0" w:line="11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9"/>
          <w:szCs w:val="19"/>
          <w:color w:val="auto"/>
        </w:rPr>
        <w:t>We own several service marks and trademarks relating to our businesses, including, among others, “Destination 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“DXL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“DXL Men's Apparel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“Big on Being Better</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“Casual Male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“Casual Male 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“Harbor Bay</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“Oak Hill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“Continuous</w:t>
      </w:r>
    </w:p>
    <w:p>
      <w:pPr>
        <w:spacing w:after="0" w:line="1" w:lineRule="exact"/>
        <w:rPr>
          <w:sz w:val="20"/>
          <w:szCs w:val="20"/>
          <w:color w:val="auto"/>
        </w:rPr>
      </w:pPr>
    </w:p>
    <w:p>
      <w:pPr>
        <w:ind w:right="680"/>
        <w:spacing w:after="0" w:line="269" w:lineRule="exact"/>
        <w:rPr>
          <w:sz w:val="20"/>
          <w:szCs w:val="20"/>
          <w:color w:val="auto"/>
        </w:rPr>
      </w:pPr>
      <w:r>
        <w:rPr>
          <w:rFonts w:ascii="Times New Roman" w:cs="Times New Roman" w:eastAsia="Times New Roman" w:hAnsi="Times New Roman"/>
          <w:sz w:val="20"/>
          <w:szCs w:val="20"/>
          <w:color w:val="auto"/>
        </w:rPr>
        <w:t>Comfort</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“Synrgy™”, “Society of One</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“True Nation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and “Wear What You Want</w:t>
      </w:r>
      <w:r>
        <w:rPr>
          <w:rFonts w:ascii="MS Gothic" w:cs="MS Gothic" w:eastAsia="MS Gothic" w:hAnsi="MS Gothic"/>
          <w:sz w:val="22"/>
          <w:szCs w:val="22"/>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 We also hold a U.S. patent for an extendable collar system, which is marketed as “Neck-Relaxer</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and a U.S. copyright for a no-iron hang tag.</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656" w:right="5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SUSTAINABILITY AND GOVERNANCE</w:t>
      </w:r>
    </w:p>
    <w:p>
      <w:pPr>
        <w:spacing w:after="0" w:line="11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recognize the importance of addressing and prioritizing environmental, social and governance ("ESG") issues throughout our business, including recognizing and addressing specific climate-related risks. During fiscal 2021, we formed the Sustainability and Governance Committee, consisting of a cross-disciplinary team from corporate management and engaged with a third-party firm to assist us in the development of the Company's initial ESG strategy and initiatives. The Sustainability and Governance Committee reports to the senior management team of the Company and to the Nominating and Corporate Governance Committee of our Board of Directors (the "Board"), which is responsible for the oversight of our initiatives. We are working to develop short-term and long-term ESG goals, as well as an action plan.</w:t>
      </w:r>
    </w:p>
    <w:p>
      <w:pPr>
        <w:spacing w:after="0" w:line="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Since 2019, we have been a member of a leading ethical trade service provider to increase our social, environmental and ethical sustainability, and we participate in their Ethical Trade Audit platform. Since fiscal 2020, we have retained LRQA (formerly Elevate) which is a global leader in supply chain assessment, and we have instituted 4-Pillar audits of our supply chain factories. Our intent is to increase our social, environmental and ethical sustainability by utilizing LRQA’s audit tool, "ERSA", which stands for "Elevate Responsible Sourcing Assessment." ERSA 3.0 covers social compliance, human rights, environmental business ethics, and worker’s sentiment surveys. All audits can be found on LRQA's EIQ tool which is a web-based analytical system on which we participate in their Ethical Trade Audit platform. In fiscal 2023, we added environment assessment audits to LRQA’s services. Through collaboration with LRQA and Bureau Veritas, we are pursuing what we call a "5-Pillar Audit", which includes traceability of both raw materials and the equipment used to produce finished goods.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1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of February 1, 2025, we employed 1,447 people. We hire additional temporary associates during the peak holiday season. None of our associates are represented by a collective bargaining agreement. Our associates are our greatest asset, and we are committed to providing them with a safe and healthy work environment. Each associate is required to sign a set of policies that includes, among others, the code of ethics, anti-harassment policy, and procedures for raising a complaint. Our policies also include protection of human rights and prohibit the use of child labor or forced, bonded, or indentured labor.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People-First, Purpose-Driven</w:t>
      </w:r>
    </w:p>
    <w:p>
      <w:pPr>
        <w:spacing w:after="0" w:line="158"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20"/>
          <w:szCs w:val="20"/>
          <w:color w:val="auto"/>
        </w:rPr>
        <w:t>We are a People-First organization that believes in inclusion, belonging, connection, understanding, a strong culture, and quality leadership, all while defending the rights of our associates.</w:t>
      </w:r>
    </w:p>
    <w:p>
      <w:pPr>
        <w:spacing w:after="0" w:line="8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Since 2017, we have had an initiative called "Normalizing the Brand." Under that umbrella, our "Including You!" committee delivers programs to raise awareness of unconscious bias and highlights the benefits of inclusion, diversity, and belonging in the workplace. We have policies, required training, and other educational resources in place related to anti-discrimination, anti-harassment, and belonging. Our associates also have access to an anonymous hotline for reporting concerns. In 2021, we joined the SHRM CEO Action for Inclusion &amp; Diversity, which is a coalition of over 2,500 CEOs pledging to promote inclusion and diversity in the workplace. By joining the SHRM CEO Action for Inclusion &amp; Diversity, we pledged to cultivate an environment of belonging and genuine connection for every member of our team, guests, and communities in which diverse perspectives and experiences are welcomed and respected.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Workplace, Culture, and Career Development</w:t>
      </w:r>
    </w:p>
    <w:p>
      <w:pPr>
        <w:spacing w:after="0" w:line="15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are committed to providing our associates with an environment where they have the opportunity to offer input on issues affecting the Company’s workforce and the employer-associate relationship. Periodically throughout the year, we encourage feedback and ideas from our associates through our annual engagement surveys, organizational performance profile survey, and the always-available “What’s on Your Mind” feedback link in stores. The information gathered through these channels helps us make a positive impact on the associate work experience and overall organizational culture.</w:t>
      </w:r>
    </w:p>
    <w:p>
      <w:pPr>
        <w:spacing w:after="0" w:line="117"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All associates are invited to participate in multiple employee resource groups, which exist to foster a positive culture and a sense of belonging through internal networking, mentoring, and development opportunities.</w:t>
      </w:r>
    </w:p>
    <w:p>
      <w:pPr>
        <w:spacing w:after="0" w:line="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Perhaps most importantly, we promote professional development, career growth, and mentorship programs. Since 2014, we have offered our associates the opportunity to participate in our DXLG Mentor Program, which pairs mentees with mentors for one-year periods. The DXL Leadership Group was formed in fiscal 2016 with a mission of "Associates supporting, educating, and empowering each other @ DXLG." It started as a pilot program and quickly expanded to include over 40 leaders, including both people and process managers, located in the corporate office and the field.</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In addition to our learning management system, which provides a wide array of online learning opportunities, we also engage with Leadercast, which provides a platform that offers additional online leadership training as well as content for in-person shared events. In fiscal 2024, we continued to focus on development by launching a New Manager Cohort, designed for associates new to</w:t>
      </w:r>
    </w:p>
    <w:p>
      <w:pPr>
        <w:sectPr>
          <w:pgSz w:w="11880" w:h="15480" w:orient="portrait"/>
          <w:cols w:equalWidth="0" w:num="1">
            <w:col w:w="10780"/>
          </w:cols>
          <w:pgMar w:left="540" w:top="658" w:right="5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780"/>
          </w:cols>
          <w:pgMar w:left="540" w:top="658" w:right="560" w:bottom="0" w:gutter="0" w:footer="0" w:header="0"/>
          <w:type w:val="continuous"/>
        </w:sectPr>
      </w:pPr>
    </w:p>
    <w:bookmarkStart w:id="13" w:name="page14"/>
    <w:bookmarkEnd w:id="13"/>
    <w:p>
      <w:pPr>
        <w:ind w:right="720"/>
        <w:spacing w:after="0" w:line="279" w:lineRule="auto"/>
        <w:rPr>
          <w:sz w:val="20"/>
          <w:szCs w:val="20"/>
          <w:color w:val="auto"/>
        </w:rPr>
      </w:pPr>
      <w:r>
        <w:rPr>
          <w:rFonts w:ascii="Times New Roman" w:cs="Times New Roman" w:eastAsia="Times New Roman" w:hAnsi="Times New Roman"/>
          <w:sz w:val="20"/>
          <w:szCs w:val="20"/>
          <w:color w:val="auto"/>
        </w:rPr>
        <w:t>supervising others. This program provides associates with an opportunity to learn together and from each other on a variety of leadership topics.</w:t>
      </w:r>
    </w:p>
    <w:p>
      <w:pPr>
        <w:spacing w:after="0" w:line="85"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Our Associate Engagement &amp; Development Committee organizes a series of "Lunch, Learn, Lead" and "Coffee Talk" sessions throughout the year to provide our associates with opportunities to learn as a group and gain insight on a variety of topics, such as leadership, DXL’s social responsibility initiatives, financial well-being, TED Talks, department-specific learning, Normalizing the Brand, technology, and more.</w:t>
      </w:r>
    </w:p>
    <w:p>
      <w:pPr>
        <w:spacing w:after="0" w:line="110"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20"/>
          <w:szCs w:val="20"/>
          <w:color w:val="auto"/>
        </w:rPr>
        <w:t>To give associates the opportunity to continue their formal education, we have partnered with Marist College to provide a 25% discount on online tuition costs for our DXL associates and their immediate adult family members.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Associate Safety</w:t>
      </w:r>
    </w:p>
    <w:p>
      <w:pPr>
        <w:spacing w:after="0" w:line="15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Associate safety and well-being are a critical component of our culture. We have a comprehensive employee safety program along with policies and procedures that support this initiative. Our safety manual provides direction and best practices for ensuring associate safety. We take pride in the preventative measures we take, including evacuation/shelter-in-place drills as well as our partnership with certified safety experts who help us proactively address potential risks and assist us in the creation of training modules to roll out to our associates. Policies are routinely communicated and training is provided to associates, as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5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Our compensation programs are designed to pay our associates competitively in the market based on their skills, qualifications, role, and abilities. Our benefits are designed to help employees and their families stay healthy while balancing their work and personal lives. These benefits include health and wellness programs, paid time off, employee assistance, competitive pay, career growth opportunities, paid volunteer time, product discounts, and a culture of recognition. We are continually looking for programs and opportunities to offer our associates to ensure their physical and mental wellness. We also highlight mental health awareness as part of our "Lunch, Learn, Lead" series and provide relevant content within our learning management system. Additionally, we offer an Employee Assistance Program, which provides 24/7 assistance to associates and their family members for a variety of issues such as stress, family, grief, parenting, and finances.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corporate website is www.dxl.com. Our investor relations site is http://investor.dxl.com. We make available through our website, free of charge, our Annual Reports on Form 10-K, Quarterly Reports on Form 10-Q, Current Reports on Form 8-K and all amendments to such reports filed or furnished pursuant to Section 13(a) of the Securities Exchange Act of 1934, as amended (the "Exchange Act") as soon as reasonably practicable after we have electronically filed such material with, or furnished such materials to, the Securities and Exchange Commission (the "SEC"). The SEC maintains an internet site that contains reports, proxy and information statements, and other information for issuers that file electronically with the SEC at http://www.sec.gov.</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656" w:right="5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1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following risk factors are the important factors that we are aware could cause actual results, performance or achievements to differ materially from those expressed in any of our forward-looking statements. We operate in a continually changing business environment and new risk factors emerge from time-to-time. Other unknown or unpredictable factors also could have material adverse effects on our future results, performance or achievements. We cannot assure you that our projected results or events will be achieved or will occur.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RISKS THAT MAY AFFECT OUR BUSINESS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We may not be successful in executing our long-term strategy and growing our market share.</w:t>
      </w:r>
    </w:p>
    <w:p>
      <w:pPr>
        <w:spacing w:after="0" w:line="115"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For us to be successful in the future and maintain growth, we must be able to grow our share of the big + tall men’s apparel market. Our growth is dependent on our ability to continue to build upon our DXL brand, maintain our existing customers and attract new customers. We have developed and are implementing long-term strategic initiatives to grow our business, but the timeline of these initiatives is dependent, to a degree, on overall market conditions.</w:t>
      </w:r>
    </w:p>
    <w:p>
      <w:pPr>
        <w:spacing w:after="0" w:line="7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Our failure to execute our long-term strategy successfully could prevent or delay us from growing our market share, which could have a material adverse effect on our results of operations, cash flows and financial position, including if we are unable to:</w:t>
      </w:r>
    </w:p>
    <w:p>
      <w:pPr>
        <w:spacing w:after="0" w:line="290" w:lineRule="exact"/>
        <w:rPr>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grow our store portfolio;</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build brand awareness to drive increased store and online traffic;</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build successful collaborations and alliances, similar to our alliances with UNTUCKit and Nordstrom;</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grow our DXL digital business;</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maintain a state-of-the-art website;</w:t>
      </w:r>
    </w:p>
    <w:p>
      <w:pPr>
        <w:spacing w:after="0" w:line="133" w:lineRule="exact"/>
        <w:rPr>
          <w:rFonts w:ascii="Arial" w:cs="Arial" w:eastAsia="Arial" w:hAnsi="Arial"/>
          <w:sz w:val="20"/>
          <w:szCs w:val="20"/>
          <w:color w:val="auto"/>
        </w:rPr>
      </w:pPr>
    </w:p>
    <w:p>
      <w:pPr>
        <w:ind w:left="740" w:right="20" w:hanging="251"/>
        <w:spacing w:after="0" w:line="278" w:lineRule="auto"/>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predict and respond to fashion trends, while offering our customers a broad selection of merchandise in an extended selection of sizes;</w:t>
      </w:r>
    </w:p>
    <w:p>
      <w:pPr>
        <w:spacing w:after="0" w:line="60"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grow our existing customer base;</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hire qualified store management and store associates;</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grow and then sustain the number of transactions, units-per-transaction and share of wallet; and</w:t>
      </w:r>
    </w:p>
    <w:p>
      <w:pPr>
        <w:spacing w:after="0" w:line="133" w:lineRule="exact"/>
        <w:rPr>
          <w:rFonts w:ascii="Arial" w:cs="Arial" w:eastAsia="Arial" w:hAnsi="Arial"/>
          <w:sz w:val="20"/>
          <w:szCs w:val="20"/>
          <w:color w:val="auto"/>
        </w:rPr>
      </w:pPr>
    </w:p>
    <w:p>
      <w:pPr>
        <w:ind w:left="740" w:hanging="251"/>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operate at appropriate operating margins.</w:t>
      </w:r>
    </w:p>
    <w:p>
      <w:pPr>
        <w:spacing w:after="0" w:line="34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marketing programs and efforts to drive traffic and convert that traffic into an increased loyal customer base are critical to achieving market share growth within the big + tall men’s apparel market and may not be successful.</w:t>
      </w:r>
    </w:p>
    <w:p>
      <w:pPr>
        <w:spacing w:after="0" w:line="6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ability to increase our share of the big +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our loyalty program,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8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If our marketing campaigns and strategies are unable to drive traffic to our stores and website, the marketing costs incurred will have a negative impact on the Company's profitability.</w:t>
      </w:r>
    </w:p>
    <w:p>
      <w:pPr>
        <w:spacing w:after="0" w:line="27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direct business is a component of our growth strategy and the failure to develop our digital infrastructure could disrupt our business and negatively impact our sales.</w:t>
      </w:r>
    </w:p>
    <w:p>
      <w:pPr>
        <w:spacing w:after="0" w:line="60"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0"/>
          <w:szCs w:val="20"/>
          <w:color w:val="auto"/>
        </w:rPr>
        <w:t>We have made significant investments in capital spending and labor to develop our direct channels and increased investments in digital marketing to attract new customers. The growth of our overall sales is dependent on customers’ continuing to expand their online purchases in addition to in-store purchases. While it is our objective to continue to grow this business, there can be no assurance that this growth will continue or be sustainable.</w:t>
      </w:r>
    </w:p>
    <w:p>
      <w:pPr>
        <w:sectPr>
          <w:pgSz w:w="11880" w:h="15480" w:orient="portrait"/>
          <w:cols w:equalWidth="0" w:num="1">
            <w:col w:w="10780"/>
          </w:cols>
          <w:pgMar w:left="540" w:top="638" w:right="5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780"/>
          </w:cols>
          <w:pgMar w:left="540" w:top="638" w:right="560" w:bottom="0" w:gutter="0" w:footer="0" w:header="0"/>
          <w:type w:val="continuous"/>
        </w:sectPr>
      </w:pPr>
    </w:p>
    <w:bookmarkStart w:id="15" w:name="page16"/>
    <w:bookmarkEnd w:id="15"/>
    <w:p>
      <w:pPr>
        <w:ind w:right="20"/>
        <w:spacing w:after="0" w:line="249" w:lineRule="auto"/>
        <w:rPr>
          <w:sz w:val="20"/>
          <w:szCs w:val="20"/>
          <w:color w:val="auto"/>
        </w:rPr>
      </w:pPr>
      <w:r>
        <w:rPr>
          <w:rFonts w:ascii="Times New Roman" w:cs="Times New Roman" w:eastAsia="Times New Roman" w:hAnsi="Times New Roman"/>
          <w:sz w:val="20"/>
          <w:szCs w:val="20"/>
          <w:color w:val="auto"/>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By the end of fiscal 2024, we were in the final stages of launching our new updated e-commerce platform. There can be no assurance that this change will drive additional traffic and conversion or that our customers will respond positively to the changes.</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spacing w:after="0" w:line="31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If we are unable to develop and implement our integrated commerce initiatives successfully, our market share and financial results could be adversely affected.</w:t>
      </w:r>
    </w:p>
    <w:p>
      <w:pPr>
        <w:spacing w:after="0" w:line="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Our customer’s shopping behavior continues to evolve across multiple channels and we are working to meet his needs, with real time store inventory visibility, our mobile app, and BOPIS (buy online pick-up in stores). We consider ourselves a customer-centric integrated commerce retailer, and we continue to make ongoing investments in our information technology systems to support these evolving capabilities.</w:t>
      </w:r>
    </w:p>
    <w:p>
      <w:pPr>
        <w:spacing w:after="0" w:line="190"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auto"/>
        </w:rPr>
        <w:t>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Our competitors are also investing in these initiatives, some of which may be more successful than our initiatives.</w:t>
      </w:r>
    </w:p>
    <w:p>
      <w:pPr>
        <w:spacing w:after="0" w:line="19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If the investment in our integrated commerce initiatives is not successful, if our systems are unable to support such initiatives, or if our competitors are more successful, our financial results and our market penetration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may be adversely affected if we are unable to manage and grow our store portfolio successfully.</w:t>
      </w:r>
    </w:p>
    <w:p>
      <w:pPr>
        <w:spacing w:after="0" w:line="22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We lease all of our store locations. Renewing and renegotiating these leases at acceptable lease terms is critical to the profitability of our stores. We worked closely with our landlords to renegotiate and restructure a majority of our lease portfolio from the onset of the COVID-19 pandemic; however, many of these renegotiated lease terms have renewed or are due to renew at higher rates than we had during the COVID-19 pandemic. If we are unable to renegotiate terms to optimize a store's profitability, we may choose not to renew certain locations when the opportunity arises.</w:t>
      </w:r>
    </w:p>
    <w:p>
      <w:pPr>
        <w:spacing w:after="0" w:line="18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One of our long-term strategic initiatives is to grow our store portfolio over the next several years and we have identified multiple white space opportunities in new or underpenetrated markets. We are also actively reviewing opportunities to relocate or convert the majority of our remaining Casual Male XL stores to DXL. If we are unable to find locations or obtain favorable lease terms, we may not be able to grow or maintain our current store base and the lack of store growth could negatively affect our ability to grow revenue and market share. Depending on market conditions and our Company's performance, the pace at which we open store locations may have to be slowed or paused.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RISKS THAT MAY AFFECT OUR BUSINESS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may be adversely affected due to disruptions in the global supply chain.</w:t>
      </w:r>
    </w:p>
    <w:p>
      <w:pPr>
        <w:spacing w:after="0" w:line="1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Disruptions in the global supply chain in foreign ports, the impact of climate change and shortages of vessels and shipping containers may impact our ability to import inventory in a timely manner. Instability in the Middle East has made accessing the Suez Canal a risk, thereby prompting vessels to avoid this route, which adds time and cost. In addition, statements from the current administration regarding potential tariffs, sanctions, import/export restrictions and future actions may have a negative impact on the supply chain and may limit the availability of certain raw materials and result in an increase of associated cost.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Furthermore, we may continue to incur incremental freight costs, which could negatively harm our gross margin rates.</w:t>
      </w:r>
    </w:p>
    <w:p>
      <w:pPr>
        <w:spacing w:after="0" w:line="8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The recent discussion of tariffs on various products by the United States and other countries may create greater uncertainty with respect to trade policies and government regulations affecting trade between the United States and other countries. Furthermore, it is possible that other forms of trade restriction, including tariffs, quotas and customs restrictions, will be put into place in the United</w:t>
      </w:r>
    </w:p>
    <w:p>
      <w:pPr>
        <w:sectPr>
          <w:pgSz w:w="11880" w:h="15480" w:orient="portrait"/>
          <w:cols w:equalWidth="0" w:num="1">
            <w:col w:w="10780"/>
          </w:cols>
          <w:pgMar w:left="540" w:top="656" w:right="560" w:bottom="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780"/>
          </w:cols>
          <w:pgMar w:left="540" w:top="656" w:right="560" w:bottom="0" w:gutter="0" w:footer="0" w:header="0"/>
          <w:type w:val="continuous"/>
        </w:sectPr>
      </w:pPr>
    </w:p>
    <w:bookmarkStart w:id="16" w:name="page17"/>
    <w:bookmarkEnd w:id="16"/>
    <w:p>
      <w:pPr>
        <w:ind w:right="60"/>
        <w:spacing w:after="0" w:line="247" w:lineRule="auto"/>
        <w:rPr>
          <w:sz w:val="20"/>
          <w:szCs w:val="20"/>
          <w:color w:val="auto"/>
        </w:rPr>
      </w:pPr>
      <w:r>
        <w:rPr>
          <w:rFonts w:ascii="Times New Roman" w:cs="Times New Roman" w:eastAsia="Times New Roman" w:hAnsi="Times New Roman"/>
          <w:sz w:val="20"/>
          <w:szCs w:val="20"/>
          <w:color w:val="auto"/>
        </w:rPr>
        <w:t>States or in countries from which we source our products. We cannot predict whether any of the countries in which our merchandise currently is manufactured or may be manufactured in the future will be subject to additional trade restrictions imposed by the United States or other foreign governments, including the likelihood, type, or effect of any such restrictions. Any of these actions, if ultimately enacted, could adversely affect our results of operations or profitability. Further, any emerging nationalist trends in specific countries could alter the trade environment and consumer purchasing behavior which, in turn, could have a material effect on our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The loss of, or disruption in, our centralized distribution center could negatively impact our business and operations.</w:t>
      </w:r>
    </w:p>
    <w:p>
      <w:pPr>
        <w:spacing w:after="0" w:line="1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severe weather, the impact of climate change or disruptions in our distribution center, could result in delays in the delivery of merchandise to our stores or directly to our customers.</w:t>
      </w:r>
    </w:p>
    <w:p>
      <w:pPr>
        <w:spacing w:after="0" w:line="20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With all of our management information systems centralized in our corporate headquarters, any disruption or destruction of our system infrastructure could materially affect our business. This type of disaster would be mitigated by our offsite storage and disaster recovery plans, but we would still incur business interruption that may impact our business for a significant period of time.</w:t>
      </w:r>
    </w:p>
    <w:p>
      <w:pPr>
        <w:spacing w:after="0" w:line="185"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20"/>
          <w:szCs w:val="20"/>
          <w:color w:val="auto"/>
        </w:rPr>
        <w:t>Although we maintain business interruption and property insurance, we cannot be sure that our insurance will be sufficient or that insurance proceeds will be timely paid to us in the event that our distribution center is shut down for any reason or we incur higher costs and longer lead times in connection with a disruption relating to our distribution center.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We are dependent on third parties to manufacture the merchandise that we sell.</w:t>
      </w:r>
    </w:p>
    <w:p>
      <w:pPr>
        <w:spacing w:after="0" w:line="11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and customer satisfaction would likely suffer which would negatively impact our business. These manufacturers may also increase the cost to us of the products we purchase from them.</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United States Treasury Department has placed sanctions on China’s Xinjiang Production and Construction Corporation ("XPCC") for serious human rights abuses against ethnic minorities in China’s Xinjiang Uyghur Autonomous Region. In addition, in January 2021, the U.S. Customs and Border Protection issued a Withhold Release Order on products made in Xinjiang.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8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work with a third-party audit vendor to ensure a responsible and ethical supply chain. We are and will continue to pursue our corporate responsibilities and create a positive effect on human rights as well as the environment. The Company publishes a Vendor Code of Conduct, which is a part of every agreement requiring compliance by the manufacturing facilities. If, despite third-party audits, the manufacturing facilities engage in workplace or human rights violations and we are unable to identify or correct it, it may negatively affect our business and harm our brand.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is highly competitive, and competitive factors may reduce our revenues and profit margins.</w:t>
      </w:r>
    </w:p>
    <w:p>
      <w:pPr>
        <w:spacing w:after="0" w:line="11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auto"/>
        </w:rPr>
        <w:t>The United States big +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 tall men’s merchandise operating in outlet</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656" w:right="540" w:bottom="0" w:gutter="0" w:footer="0" w:header="0"/>
          <w:type w:val="continuous"/>
        </w:sectPr>
      </w:pPr>
    </w:p>
    <w:bookmarkStart w:id="17" w:name="page18"/>
    <w:bookmarkEnd w:id="17"/>
    <w:p>
      <w:pPr>
        <w:ind w:right="280"/>
        <w:spacing w:after="0" w:line="253" w:lineRule="auto"/>
        <w:rPr>
          <w:sz w:val="20"/>
          <w:szCs w:val="20"/>
          <w:color w:val="auto"/>
        </w:rPr>
      </w:pPr>
      <w:r>
        <w:rPr>
          <w:rFonts w:ascii="Times New Roman" w:cs="Times New Roman" w:eastAsia="Times New Roman" w:hAnsi="Times New Roman"/>
          <w:sz w:val="20"/>
          <w:szCs w:val="20"/>
          <w:color w:val="auto"/>
        </w:rPr>
        <w:t>malls throughout the United States to be a competitor. It is also possible that another competitor, either a mass merchant or a men’s specialty store or specialty apparel catalog, could gain market share in big +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90"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8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In addition, we maintain exclusivity arrangements with several of the brands that we carry. If we were to lose any of these exclusivity arrangements or brands altogether, our revenues may be adversely affected.</w:t>
      </w:r>
    </w:p>
    <w:p>
      <w:pPr>
        <w:spacing w:after="0" w:line="16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3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We may be harmed by security risks that we face in connection with our electronic processing and transmission of confidential customer information. The majority of our retail sales are settled through credit and debit card transactions. While our Board has a Cybersecurity and Data Privacy Committee (the “Cyber Committee”) to oversee the monitoring and management of cyber risk and data privacy for our Company, and we have not had any security breaches to date, any breach could expose us to risks of loss, litigation, and liability and could adversely affect our operations. Any breach could also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“tokenization”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Such liability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9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Further, if a third party were to use this proprietary customer information in order to compete with us, it could have a material adverse impact on our business and could result in litigation.</w:t>
      </w:r>
    </w:p>
    <w:p>
      <w:pPr>
        <w:spacing w:after="0" w:line="295"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ability to operate and expand our business and to respond to changing business and economic conditions depends on the availability of adequate capital.</w:t>
      </w:r>
    </w:p>
    <w:p>
      <w:pPr>
        <w:spacing w:after="0" w:line="4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The operation of our business, the rate of our expansion and our ability to respond to changing business and economic conditions all depend on the availability of adequate capital, which in turn depends on cash flow generated by our business and, if necessary, the availability of equity or debt capital.</w:t>
      </w:r>
    </w:p>
    <w:p>
      <w:pPr>
        <w:spacing w:after="0" w:line="185"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20"/>
          <w:szCs w:val="20"/>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financial and other covenants that may significantly restrict our operations, and we cannot ensure that we would be able to obtain refinancing or that such additional financing would be on favorable terms.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We may be unable to predict fashion trends and customer preferences successfully.</w:t>
      </w:r>
    </w:p>
    <w:p>
      <w:pPr>
        <w:spacing w:after="0" w:line="10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w:t>
      </w:r>
    </w:p>
    <w:p>
      <w:pPr>
        <w:sectPr>
          <w:pgSz w:w="11880" w:h="15480" w:orient="portrait"/>
          <w:cols w:equalWidth="0" w:num="1">
            <w:col w:w="10780"/>
          </w:cols>
          <w:pgMar w:left="540" w:top="656" w:right="560" w:bottom="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780"/>
          </w:cols>
          <w:pgMar w:left="540" w:top="656" w:right="560" w:bottom="0" w:gutter="0" w:footer="0" w:header="0"/>
          <w:type w:val="continuous"/>
        </w:sectPr>
      </w:pPr>
    </w:p>
    <w:bookmarkStart w:id="18" w:name="page19"/>
    <w:bookmarkEnd w:id="18"/>
    <w:p>
      <w:pPr>
        <w:ind w:right="80"/>
        <w:spacing w:after="0" w:line="239" w:lineRule="auto"/>
        <w:rPr>
          <w:sz w:val="20"/>
          <w:szCs w:val="20"/>
          <w:color w:val="auto"/>
        </w:rPr>
      </w:pPr>
      <w:r>
        <w:rPr>
          <w:rFonts w:ascii="Times New Roman" w:cs="Times New Roman" w:eastAsia="Times New Roman" w:hAnsi="Times New Roman"/>
          <w:sz w:val="20"/>
          <w:szCs w:val="20"/>
          <w:color w:val="auto"/>
        </w:rPr>
        <w:t>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long-term consequences on our business, such as an adverse impact on our brand value and the loss of market share to our competitors.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The loss of any of our key trademarks or licenses could adversely affect demand for our products.</w:t>
      </w:r>
    </w:p>
    <w:p>
      <w:pPr>
        <w:spacing w:after="0" w:line="10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Fluctuations in the price, availability and quality of raw materials and finished goods could increase costs.</w:t>
      </w:r>
    </w:p>
    <w:p>
      <w:pPr>
        <w:spacing w:after="0" w:line="11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Due to the inflationary pressures, we are seeing cost increases in labor, occupancy and raw materials. We have secured raw materials in key item programs to reduce the impact on our gross margin. Fluctuations in the price, the imposition of tariffs, the availability and quality of fabrics or other raw materials used in the manufacturing of our merchandise could have a material adverse effect on our gross margin or on our ability to meet our customers’ demands. Several factors may affect our costs for raw materials including, among other things, demand, currency fluctuations, political instability, inflationary pressures, tariffs, fuel prices and weather, including the impact of global climate change. To the extent that we cannot offset cost increases with other cost reductions or efficiencies, such increased costs will need to be passed on to our customers. Such increased costs could lead to reduced customer demand, which could have a material adverse effect on our results of operations and cash flow.</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If our long-lived assets become impaired, we may need to record significant non-cash impairment charges.</w:t>
      </w:r>
    </w:p>
    <w:p>
      <w:pPr>
        <w:spacing w:after="0" w:line="11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If any such impairment charges are significant, it could adversely affect our financial position and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ENVIRONMENTAL, SOCIAL AND GOVERNANCE ISSUES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The effects of climate change may adversely impact our business.</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concern that a gradual rise in global average temperatures due to increased concentration of carbon dioxide and other greenhouse gases ("GHG") in the atmosphere is very real and the belief that this will cause significant changes in weather patterns is widely held. This appears to be resulting in an increase in the frequency, severity, and duration of extreme weather conditions and natural disasters, as well as water scarcity and poor water quality. These events could adversely impact the availability and price of cotton and other raw materials, disrupting the supply chain and our ability to secure merchandise. Further, extreme weather conditions caused by climate change could negatively impact our financial results if our retail locations are unable to open, customers are unable to travel or our distribution center is unable to fulfill orders or delivery inventory. These events could also create adverse economic conditions and impact consumer confidence and discretionary spending. As a result, the effects of climate change could have a long-term adverse impact on our business and results of operations. We are working to develop policies, standards and goals to help mitigate these risks, including working closely with our vendors and business partners to help identify such risks, develop standards and improve processes.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We may be unable to achieve our environmental, social and governance objectives.</w:t>
      </w:r>
    </w:p>
    <w:p>
      <w:pPr>
        <w:spacing w:after="0" w:line="11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We are committed to corporate social responsibility and sustainability, and we recognize the importance of environmental, social and governance ("ESG") issues. Our Sustainability and Governance Committee, comprising a cross-discipline of corporate management, has engaged a third-party firm to assist us in the development of the Company's policies and initiatives. The ability to achieve our objectives is subject to risks and uncertainties, and we may fail to achieve our objectives. We may also incur additional costs and require additional resources to implement such policies and initiatives.</w:t>
      </w:r>
    </w:p>
    <w:p>
      <w:pPr>
        <w:sectPr>
          <w:pgSz w:w="11880" w:h="15480" w:orient="portrait"/>
          <w:cols w:equalWidth="0" w:num="1">
            <w:col w:w="10800"/>
          </w:cols>
          <w:pgMar w:left="540" w:top="6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648" w:right="540" w:bottom="0" w:gutter="0" w:footer="0" w:header="0"/>
          <w:type w:val="continuous"/>
        </w:sectPr>
      </w:pPr>
    </w:p>
    <w:bookmarkStart w:id="19" w:name="page20"/>
    <w:bookmarkEnd w:id="19"/>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is subject to evolving regulations and expectations with respect to environmental, social and governance matters that may expose us to increased risks.</w:t>
      </w:r>
    </w:p>
    <w:p>
      <w:pPr>
        <w:spacing w:after="0" w:line="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An increased focus by local, state, regional, national, and international regulatory bodies on GHG emissions and climate change issues increases the risk to our business if we are unable to comply with the multiple and evolving policy changes. For example, in March 2024, the SEC adopted rules to enhance and standardize climate-related disclosures by public companies so that there is more consistent, comparable, and reliable information about the financial effects of climate-related risks on a public company’s operations and how it manages those risks. In addition, in October 2023, California enacted the Climate Corporate Data Accountability Act and the Climate Related Financial Risk Act that require large public and private companies that do business within the state to disclose their Scopes 1, 2, and 3 GHG emissions, with third-party assurance of GHG emissions information for certain entities, and issue public reports on their climate-related financial risk and related mitigation measures.</w:t>
      </w:r>
    </w:p>
    <w:p>
      <w:pPr>
        <w:spacing w:after="0" w:line="8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Investor advocacy groups, certain institutional investors, investment funds, other market participants, stockholders, and customers have focused increasingly on the ESG or sustainability practices of companies, including those associated with climate change. If our ESG practices do not meet investor or other industry stakeholder expectations and standards, which continue to evolve, our brand, reputation and employee retention may be negatively impacted. Any disclosures that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environmental, social and governance practices or the speed of their adoption.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THAT MAY AFFECT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business is seasonal and is affected by general political and economic conditions.</w:t>
      </w:r>
    </w:p>
    <w:p>
      <w:pPr>
        <w:spacing w:after="0" w:line="23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business is seasonal. Historically, a significant portion of our operating income has been generated during our second and fourth quarters. If, for any reason, we miscalculate the demand for our products during these quarters, our sales in that quarter could decline, resulting in higher labor costs as a percentage of sales, lower margins and excess inventory, which could cause our annual operating results to suffer. Due to our seasonality, the possible adverse impact from such risks is potentially greater if any such risks occur during our second and fourth quarters.</w:t>
      </w:r>
    </w:p>
    <w:p>
      <w:pPr>
        <w:spacing w:after="0" w:line="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addition, our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us in ways we cannot predict. In addition, global economies, conflicts, trade negotiations and policies may directly or indirectly affect our business.</w:t>
      </w:r>
    </w:p>
    <w:p>
      <w:pPr>
        <w:spacing w:after="0" w:line="3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The global impact of a health pandemic, similar to the COVID-19 pandemic, may have an adverse effect on our business, financial results, liquidity, supply chain and workforce.</w:t>
      </w:r>
    </w:p>
    <w:p>
      <w:pPr>
        <w:spacing w:after="0" w:line="16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 COVID-19 pandemic and its variants caused global uncertainty and disruption and had a material impact on our business, predominately in fiscal 2020 and early fiscal 2021, but had a lingering negative effect on the global economy that directly impacted our business, specifically as it related to the economy, rising interest rates, labor shortages, increased material costs, global supply chain issues, inflationary pressures, and changes in consumer spending behaviors beyond the initial COVID-19 pandemic. With concerns about RSV, influenza, the measles, and avian flu in the news, another health pandemic could materially affect our financial results, access to sources of liquidity and inventory.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success depends significantly on our key personnel and our ability to attract and retain additional personnel.</w:t>
      </w:r>
    </w:p>
    <w:p>
      <w:pPr>
        <w:spacing w:after="0" w:line="11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Our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Labor shortages or increases in labor costs due to new regulations could harm our business.</w:t>
      </w:r>
    </w:p>
    <w:p>
      <w:pPr>
        <w:spacing w:after="0" w:line="118"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9"/>
          <w:szCs w:val="19"/>
          <w:color w:val="auto"/>
        </w:rPr>
        <w:t>Any labor shortage, particularly those of which occur in our distribution facility and our stores or during peak-selling periods, may negatively impact our ability to process inventory in a timely manner and effectively staff our stores. Because of the tight labor</w:t>
      </w:r>
    </w:p>
    <w:p>
      <w:pPr>
        <w:sectPr>
          <w:pgSz w:w="11880" w:h="15480" w:orient="portrait"/>
          <w:cols w:equalWidth="0" w:num="1">
            <w:col w:w="10780"/>
          </w:cols>
          <w:pgMar w:left="540" w:top="658" w:right="560" w:bottom="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780"/>
          </w:cols>
          <w:pgMar w:left="540" w:top="658" w:right="560" w:bottom="0" w:gutter="0" w:footer="0" w:header="0"/>
          <w:type w:val="continuous"/>
        </w:sectPr>
      </w:pPr>
    </w:p>
    <w:bookmarkStart w:id="20" w:name="page21"/>
    <w:bookmarkEnd w:id="20"/>
    <w:p>
      <w:pPr>
        <w:jc w:val="both"/>
        <w:ind w:right="40"/>
        <w:spacing w:after="0" w:line="259" w:lineRule="auto"/>
        <w:rPr>
          <w:sz w:val="20"/>
          <w:szCs w:val="20"/>
          <w:color w:val="auto"/>
        </w:rPr>
      </w:pPr>
      <w:r>
        <w:rPr>
          <w:rFonts w:ascii="Times New Roman" w:cs="Times New Roman" w:eastAsia="Times New Roman" w:hAnsi="Times New Roman"/>
          <w:sz w:val="20"/>
          <w:szCs w:val="20"/>
          <w:color w:val="auto"/>
        </w:rPr>
        <w:t>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The failure to comply with laws, rules and regulations could negatively affect our business operations and financial performance</w:t>
      </w:r>
      <w:r>
        <w:rPr>
          <w:rFonts w:ascii="Times New Roman" w:cs="Times New Roman" w:eastAsia="Times New Roman" w:hAnsi="Times New Roman"/>
          <w:sz w:val="20"/>
          <w:szCs w:val="20"/>
          <w:b w:val="1"/>
          <w:bCs w:val="1"/>
          <w:i w:val="1"/>
          <w:iCs w:val="1"/>
          <w:color w:val="auto"/>
        </w:rPr>
        <w:t>.</w:t>
      </w:r>
    </w:p>
    <w:p>
      <w:pPr>
        <w:spacing w:after="0" w:line="2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business is subject to federal, state, and increasing local rules and regulations, such as state and local wage and hour laws, the Employee Retirement Income Security Act (“ERISA”), securities laws, import and export laws (including customs regulations), state privacy and information security regulations, unclaimed property laws, and many others. Some of these laws and regulations may increase the cost of doing business and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result from increased scrutiny from a particular agency towards an industry, country or practice. If we fail to comply with laws, rules and regulations or the manner in which they are interpreted or applied, we may be subject to government enforcement action, class action or other litigation, damage to our reputation, civil and criminal liability, damages, fines and penalties, and increased costs of regulatory compliance, any of which could adversely affect our results of operations and financial performance.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CORPORATE STRUCTURE AND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stock price has been and will likely continue to be volatile and fluctuate substantially.</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market price of our common stock has been and will likely continue to fluctuate substantially as a result of many factors, some of which are beyond our control. For example, from September 8, 2021, when we relisted on the Nasdaq Global market, through February 1, 2025, the reported price of our common stock has ranged from a low of $2.15 on December 19, 2024, to a high of $8.99 on November 17, 2021. Factors that could cause fluctuations in the market price of our common stock include the following:</w:t>
      </w:r>
    </w:p>
    <w:p>
      <w:pPr>
        <w:spacing w:after="0" w:line="165" w:lineRule="exact"/>
        <w:rPr>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overall changes in the economy and general market volatility, including the effects of inflation and/or recession;</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news announcements regarding our quarterly or annual results of operations;</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quarterly comparable sales;</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competitive developments;</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regulation (such as increased wage and paid benefits laws);</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affecting us; or</w:t>
      </w:r>
    </w:p>
    <w:p>
      <w:pPr>
        <w:spacing w:after="0" w:line="13" w:lineRule="exact"/>
        <w:rPr>
          <w:rFonts w:ascii="Arial" w:cs="Arial" w:eastAsia="Arial" w:hAnsi="Arial"/>
          <w:sz w:val="20"/>
          <w:szCs w:val="20"/>
          <w:color w:val="auto"/>
        </w:rPr>
      </w:pPr>
    </w:p>
    <w:p>
      <w:pPr>
        <w:ind w:left="1440" w:hanging="360"/>
        <w:spacing w:after="0"/>
        <w:tabs>
          <w:tab w:leader="none" w:pos="14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market views as to the prospects of the Company or the retail clothing industry generally.</w:t>
      </w:r>
    </w:p>
    <w:p>
      <w:pPr>
        <w:spacing w:after="0" w:line="36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4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Our certificate of incorporation, as amended, contains provisions that restrict any person or entity from attempting to purchase our stock, without prior permission from the Board,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our Company, including, without limitation, discouraging a proxy contest or making more difficult the acquisition of a substantial block of our common stock. Such provisions could also limit the price that investors might be willing to pay in the future for shares of our common stock.</w:t>
      </w:r>
    </w:p>
    <w:p>
      <w:pPr>
        <w:sectPr>
          <w:pgSz w:w="11880" w:h="15480" w:orient="portrait"/>
          <w:cols w:equalWidth="0" w:num="1">
            <w:col w:w="10760"/>
          </w:cols>
          <w:pgMar w:left="540" w:top="65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760"/>
          </w:cols>
          <w:pgMar w:left="540" w:top="656" w:right="5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2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recognize the critical importance of maintaining the trust and confidence of our customers and employees. Consequently, we maintain a comprehensive security incident response plan ("SIRP") and we assess, identify, and manage material risks associated with cybersecurity threats. Our SIRP includes immediate actions to mitigate the impact and long-term strategies for remediation and prevention of future incidents.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have integrated cybersecurity risk management into our broader risk management framework through various mechanisms, including (i) our updates to the Cyber Committee, which was created by the Board in 2016 and meets at least quarterly, (ii) our annual enterprise risk management update to the Board, and (iii) our information technology and security related internal controls, including vulnerability management programs.</w:t>
      </w:r>
    </w:p>
    <w:p>
      <w:pPr>
        <w:spacing w:after="0" w:line="180"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We train employees to understand their role in attempting to protect the Company from cybersecurity attacks. Our information security training program for employees includes acknowledgement of our information security policies, regular internal communications, and testing to measure the effectiveness of our information security program. For example, we conduct regular phishing awareness campaigns designed to emulate current threats and provide immediate feedback and, as necessary, additional training or remedial action.</w:t>
      </w:r>
    </w:p>
    <w:p>
      <w:pPr>
        <w:spacing w:after="0" w:line="187"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In addition, we engage third parties to assist in assessing, identifying, and remediating material risks from cybersecurity threats. Our key cybersecurity controls are regularly tested by third-party service providers, which we retain to help identify vulnerabilities in our systems and to help maintain compliance to standards and regulatory requirements. Other third-party service providers are enlisted by the Company for security operations center services to augment our teams’ monitoring capabilities and to assist with our investigation and response to alerts on emerging and ongoing threats.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Further, our cybersecurity team continuously evaluates and addresses cybersecurity risks in alignment with our business objectives and operational needs. We use various security tools and processes to help prevent, identify, escalate, investigate, resolve and recover from identified vulnerabilities and security incidents in a timely manner, including, but not limited to, risk assessment network security controls, detection and response tools and a vulnerability management program.</w:t>
      </w:r>
    </w:p>
    <w:p>
      <w:pPr>
        <w:spacing w:after="0" w:line="180"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The complexity and evolving nature of cybersecurity threats requires that we engage with a range of external experts, including cybersecurity assessors and consultants, in evaluating and testing our risk management systems. This enables us to leverage specialized knowledge and insights to be confident that our cybersecurity strategies and processes are consistent with industry best practices. Our collaboration with these third parties includes regular threat assessments and consultation on security enhancements.</w:t>
      </w:r>
    </w:p>
    <w:p>
      <w:pPr>
        <w:spacing w:after="0" w:line="18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In order to mitigate data or security incidents that may originate from third-party vendors or suppliers, we conduct both privacy and security assessments to properly identify, prioritize, assess and remediate any third-party risks, and we require security and privacy addenda to our contracts where applicable. We currently maintain a cyber insurance policy that provides coverage for security breaches; however, such insurance may not be sufficient in type or amount to cover us against claims related to security breaches, cyber-attacks, or other related breaches.</w:t>
      </w:r>
    </w:p>
    <w:p>
      <w:pPr>
        <w:spacing w:after="0" w:line="18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The nature of our business exposes us to cybersecurity threats and attacks that can lead to the unauthorized acquisition or access, compromise, loss, misuse or theft of our data, including personal information, confidential information or intellectual property. To date, risks from cybersecurity threats, including as a result of any previous cybersecurity incidents, have not materially affected the Company, including our business strategy, results of operations, or financial condition. Also 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this Annual Report for a discussion of cybersecurity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Board is ultimately responsible for the risk oversight of the Company, including cybersecurity and privacy risks. Our Board has delegated day-to-day responsibility for oversight of cybersecurity risks to the Cyber Committee. The Cyber Committee is composed of members of our Board who have diverse expertise, including risk management, technology, and finance, equipping them to oversee cybersecurity risks effectively.</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653" w:right="54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Pursuant to its charter, our Cyber Committee:</w:t>
      </w:r>
    </w:p>
    <w:p>
      <w:pPr>
        <w:spacing w:after="0" w:line="134" w:lineRule="exact"/>
        <w:rPr>
          <w:sz w:val="20"/>
          <w:szCs w:val="20"/>
          <w:color w:val="auto"/>
        </w:rPr>
      </w:pPr>
    </w:p>
    <w:p>
      <w:pPr>
        <w:ind w:left="980" w:right="32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assists our Board in fulfilling its risk oversight responsibilities with respect to the protection of the Company’s assets, including confidential, proprietary and personal information, reputation and goodwill in all forms;</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supervises and monitors the soundness of our cybersecurity and data protection strategies and practices;</w:t>
      </w:r>
    </w:p>
    <w:p>
      <w:pPr>
        <w:spacing w:after="0" w:line="133" w:lineRule="exact"/>
        <w:rPr>
          <w:rFonts w:ascii="Arial" w:cs="Arial" w:eastAsia="Arial" w:hAnsi="Arial"/>
          <w:sz w:val="20"/>
          <w:szCs w:val="20"/>
          <w:color w:val="auto"/>
        </w:rPr>
      </w:pPr>
    </w:p>
    <w:p>
      <w:pPr>
        <w:ind w:left="980" w:right="24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oversees and monitors our material compliance with applicable information security, privacy and data protection laws, industry standards and contractual requirements;</w:t>
      </w:r>
    </w:p>
    <w:p>
      <w:pPr>
        <w:spacing w:after="0" w:line="60" w:lineRule="exact"/>
        <w:rPr>
          <w:rFonts w:ascii="Arial" w:cs="Arial" w:eastAsia="Arial" w:hAnsi="Arial"/>
          <w:sz w:val="20"/>
          <w:szCs w:val="20"/>
          <w:color w:val="auto"/>
        </w:rPr>
      </w:pPr>
    </w:p>
    <w:p>
      <w:pPr>
        <w:ind w:left="980" w:right="6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promotes and furthers the integrity, adoption and coordination of our data security processes across the Company to help ensure that data and system security is a Company-wide business objective and priority; and</w:t>
      </w:r>
    </w:p>
    <w:p>
      <w:pPr>
        <w:spacing w:after="0" w:line="60" w:lineRule="exact"/>
        <w:rPr>
          <w:rFonts w:ascii="Arial" w:cs="Arial" w:eastAsia="Arial" w:hAnsi="Arial"/>
          <w:sz w:val="20"/>
          <w:szCs w:val="20"/>
          <w:color w:val="auto"/>
        </w:rPr>
      </w:pPr>
    </w:p>
    <w:p>
      <w:pPr>
        <w:ind w:left="980" w:right="2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oversees our cybersecurity and data protection performance and the overall implementation of our cybersecurity and data protection strategy.</w:t>
      </w:r>
    </w:p>
    <w:p>
      <w:pPr>
        <w:spacing w:after="0" w:line="1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At the management level, our Chief Technology Officer and our Senior Vice President, Technology and Innovation, as well as our technology staff, are primarily responsible for identifying, assessing, monitoring and managing our cybersecurity. Our Chief Technology Officer reports directly to our President and Chief Executive Officer and meets at least quarterly with the Cyber Committee. Our current Chief Technology Officer has over 35 years of industry experience, including service as a Chief Technology Officer/Chief Information Officer for over seven years and extensive experience in developing and leading technology risk management programs. Our Senior Vice President, Technology and Innovation reports directly to the Chief Technology Officer and has over 32 years of industry experience with the Company. He has led the Company’s cybersecurity team and overseen PCI certification for the past seven years, ensuring compliance with industry standards and strengthening the organization's security posture. Additionally, our technology staff holds multiple industry-standard security certifications, including Cisco Certified Network Associate, PCI Internal Security Assessor, and Certified Ethical Hacker.</w:t>
      </w:r>
    </w:p>
    <w:p>
      <w:pPr>
        <w:sectPr>
          <w:pgSz w:w="11880" w:h="15480" w:orient="portrait"/>
          <w:cols w:equalWidth="0" w:num="1">
            <w:col w:w="10700"/>
          </w:cols>
          <w:pgMar w:left="540" w:top="65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700"/>
          </w:cols>
          <w:pgMar w:left="540" w:top="656" w:right="64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20-year lease agreement for an initial annual rent payment of $4.6 million, with periodic increases every fifth anniversary of the lease.</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of February 1, 2025, we operated 247 Destination XL retail stores, 15 Destination XL outlet stores, 7 Casual Male XL retail stores and 19 Casual Male XL outlet stores. We lease all of these stores directly from owners of several different types of centers, including lifestyle centers, shopping centers, freestanding buildings, outlet centers and downtown locations. The store leases generally have an initial term of 5 to 10 years and typically contain renewal options that permit extending the initial term by 5 to 10 years. Following this discussion is a listing by state of all store locations open as of February 1, 2025.</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w:t>
      </w:r>
    </w:p>
    <w:p>
      <w:pPr>
        <w:sectPr>
          <w:pgSz w:w="11880" w:h="15480" w:orient="portrait"/>
          <w:cols w:equalWidth="0" w:num="1">
            <w:col w:w="10720"/>
          </w:cols>
          <w:pgMar w:left="540" w:top="6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20"/>
          </w:cols>
          <w:pgMar w:left="540" w:top="653" w:right="620" w:bottom="0" w:gutter="0" w:footer="0" w:header="0"/>
          <w:type w:val="continuous"/>
        </w:sectPr>
      </w:pPr>
    </w:p>
    <w:bookmarkStart w:id="24" w:name="page25"/>
    <w:bookmarkEnd w:id="24"/>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Store count by state at February 1, 2025</w:t>
      </w: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920" w:type="dxa"/>
            <w:vAlign w:val="bottom"/>
            <w:shd w:val="clear" w:color="auto" w:fill="FEFEFE"/>
          </w:tcPr>
          <w:p>
            <w:pPr>
              <w:spacing w:after="0"/>
              <w:rPr>
                <w:sz w:val="16"/>
                <w:szCs w:val="16"/>
                <w:color w:val="auto"/>
              </w:rPr>
            </w:pPr>
          </w:p>
        </w:tc>
        <w:tc>
          <w:tcPr>
            <w:tcW w:w="424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1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Casual Male XL</w:t>
            </w: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2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c>
          <w:tcPr>
            <w:tcW w:w="4240" w:type="dxa"/>
            <w:vAlign w:val="bottom"/>
            <w:vMerge w:val="restart"/>
            <w:shd w:val="clear" w:color="auto" w:fill="FEFEFE"/>
          </w:tcPr>
          <w:p>
            <w:pPr>
              <w:spacing w:after="0"/>
              <w:rPr>
                <w:sz w:val="15"/>
                <w:szCs w:val="15"/>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DXL retail and</w:t>
            </w:r>
          </w:p>
        </w:tc>
        <w:tc>
          <w:tcPr>
            <w:tcW w:w="80" w:type="dxa"/>
            <w:vAlign w:val="bottom"/>
            <w:shd w:val="clear" w:color="auto" w:fill="FEFEFE"/>
          </w:tcPr>
          <w:p>
            <w:pPr>
              <w:spacing w:after="0"/>
              <w:rPr>
                <w:sz w:val="15"/>
                <w:szCs w:val="15"/>
                <w:color w:val="auto"/>
              </w:rPr>
            </w:pPr>
          </w:p>
        </w:tc>
        <w:tc>
          <w:tcPr>
            <w:tcW w:w="11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retail and outlet</w:t>
            </w: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20" w:type="dxa"/>
            <w:vAlign w:val="bottom"/>
            <w:tcBorders>
              <w:bottom w:val="single" w:sz="8" w:color="auto"/>
            </w:tcBorders>
            <w:vMerge w:val="continue"/>
            <w:shd w:val="clear" w:color="auto" w:fill="FEFEFE"/>
          </w:tcPr>
          <w:p>
            <w:pPr>
              <w:spacing w:after="0"/>
              <w:rPr>
                <w:sz w:val="17"/>
                <w:szCs w:val="17"/>
                <w:color w:val="auto"/>
              </w:rPr>
            </w:pPr>
          </w:p>
        </w:tc>
        <w:tc>
          <w:tcPr>
            <w:tcW w:w="4240" w:type="dxa"/>
            <w:vAlign w:val="bottom"/>
            <w:tcBorders>
              <w:bottom w:val="single" w:sz="8" w:color="FEFEFE"/>
            </w:tcBorders>
            <w:vMerge w:val="continue"/>
            <w:shd w:val="clear" w:color="auto" w:fill="FEFEFE"/>
          </w:tcPr>
          <w:p>
            <w:pPr>
              <w:spacing w:after="0"/>
              <w:rPr>
                <w:sz w:val="17"/>
                <w:szCs w:val="17"/>
                <w:color w:val="auto"/>
              </w:rPr>
            </w:pPr>
          </w:p>
        </w:tc>
        <w:tc>
          <w:tcPr>
            <w:tcW w:w="1080" w:type="dxa"/>
            <w:vAlign w:val="bottom"/>
            <w:tcBorders>
              <w:bottom w:val="single" w:sz="8" w:color="auto"/>
            </w:tcBorders>
            <w:shd w:val="clear" w:color="auto" w:fill="FEFEFE"/>
          </w:tcPr>
          <w:p>
            <w:pPr>
              <w:jc w:val="right"/>
              <w:ind w:right="80"/>
              <w:spacing w:after="0"/>
              <w:rPr>
                <w:sz w:val="20"/>
                <w:szCs w:val="20"/>
                <w:color w:val="auto"/>
              </w:rPr>
            </w:pPr>
            <w:r>
              <w:rPr>
                <w:rFonts w:ascii="Times New Roman" w:cs="Times New Roman" w:eastAsia="Times New Roman" w:hAnsi="Times New Roman"/>
                <w:sz w:val="16"/>
                <w:szCs w:val="16"/>
                <w:color w:val="auto"/>
              </w:rPr>
              <w:t>outlet stores</w:t>
            </w:r>
          </w:p>
        </w:tc>
        <w:tc>
          <w:tcPr>
            <w:tcW w:w="80" w:type="dxa"/>
            <w:vAlign w:val="bottom"/>
            <w:tcBorders>
              <w:bottom w:val="single" w:sz="8" w:color="FEFEFE"/>
            </w:tcBorders>
            <w:shd w:val="clear" w:color="auto" w:fill="FEFEFE"/>
          </w:tcPr>
          <w:p>
            <w:pPr>
              <w:spacing w:after="0"/>
              <w:rPr>
                <w:sz w:val="17"/>
                <w:szCs w:val="17"/>
                <w:color w:val="auto"/>
              </w:rPr>
            </w:pPr>
          </w:p>
        </w:tc>
        <w:tc>
          <w:tcPr>
            <w:tcW w:w="116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stores</w:t>
            </w:r>
          </w:p>
        </w:tc>
        <w:tc>
          <w:tcPr>
            <w:tcW w:w="8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60" w:type="dxa"/>
            <w:vAlign w:val="bottom"/>
            <w:tcBorders>
              <w:top w:val="single" w:sz="8" w:color="E7E7E3"/>
            </w:tcBorders>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Alabama</w:t>
            </w:r>
          </w:p>
        </w:tc>
        <w:tc>
          <w:tcPr>
            <w:tcW w:w="10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E7E7E3"/>
            </w:tcBorders>
            <w:shd w:val="clear" w:color="auto" w:fill="E7E7E3"/>
          </w:tcPr>
          <w:p>
            <w:pPr>
              <w:spacing w:after="0"/>
              <w:rPr>
                <w:sz w:val="16"/>
                <w:szCs w:val="16"/>
                <w:color w:val="auto"/>
              </w:rPr>
            </w:pPr>
          </w:p>
        </w:tc>
        <w:tc>
          <w:tcPr>
            <w:tcW w:w="11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E7E7E3"/>
            </w:tcBorders>
            <w:shd w:val="clear" w:color="auto" w:fill="E7E7E3"/>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Arizona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Arkansas</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California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Colorado</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Connecticut</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Florida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Georgia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Idaho</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Illinois</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Indiana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Iowa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Kansas</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Kentucky</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Louisiana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Maine</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Maryland</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Massachusetts</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Minnesota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Mississippi</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Missouri</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Montana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Nebraska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Nevada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New Hampshire</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New Jersey</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New Mexico</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New York</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North Carolina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North Dakota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Ohio</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Oklahoma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Oregon</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Pennsylvania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Rhode Island</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South Carolina</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South Dakota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Tennessee</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Texas</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Utah</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Virginia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Washington</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E7E7E3"/>
          </w:tcPr>
          <w:p>
            <w:pPr>
              <w:ind w:left="100"/>
              <w:spacing w:after="0"/>
              <w:rPr>
                <w:sz w:val="20"/>
                <w:szCs w:val="20"/>
                <w:color w:val="auto"/>
              </w:rPr>
            </w:pPr>
            <w:r>
              <w:rPr>
                <w:rFonts w:ascii="Times New Roman" w:cs="Times New Roman" w:eastAsia="Times New Roman" w:hAnsi="Times New Roman"/>
                <w:sz w:val="16"/>
                <w:szCs w:val="16"/>
                <w:color w:val="auto"/>
              </w:rPr>
              <w:t>West Virginia</w:t>
            </w:r>
          </w:p>
        </w:tc>
        <w:tc>
          <w:tcPr>
            <w:tcW w:w="10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Wisconsin</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FEFEFE"/>
          </w:tcPr>
          <w:p>
            <w:pPr>
              <w:spacing w:after="0"/>
              <w:rPr>
                <w:sz w:val="17"/>
                <w:szCs w:val="17"/>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560"/>
          </w:cols>
          <w:pgMar w:left="540" w:top="86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560"/>
          </w:cols>
          <w:pgMar w:left="540" w:top="864" w:right="780" w:bottom="0" w:gutter="0" w:footer="0" w:header="0"/>
          <w:type w:val="continuous"/>
        </w:sectPr>
      </w:pPr>
    </w:p>
    <w:bookmarkStart w:id="25" w:name="page26"/>
    <w:bookmarkEnd w:id="25"/>
    <w:p>
      <w:pPr>
        <w:ind w:left="500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for trading on the Nasdaq Global Market under the symbol “DXLG”.</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As of March 15, 2025, based upon data provided by the transfer agent for our common stock, there were approximately 68 holders of record of our common stock. The number of holders does not include individuals or entities who beneficially own shares but whose shares are held of record by a broker or clearing agent.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On September 3, 2024, our Board approved a stock repurchase program pursuant to which the Company was authorized to repurchase up to $15.0 million of its common stock through open market and privately negotiated transactions. The timing and the amount of any repurchases of common stock were determined based on the Company’s evaluation of market conditions and other factors. The stock repurchase program expired on February 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repurchase activity during the three months ended February 1, 2025 was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2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440" w:type="dxa"/>
            <w:vAlign w:val="bottom"/>
            <w:shd w:val="clear" w:color="auto" w:fill="E7E7E3"/>
          </w:tcPr>
          <w:p>
            <w:pPr>
              <w:spacing w:after="0"/>
              <w:rPr>
                <w:sz w:val="18"/>
                <w:szCs w:val="18"/>
                <w:color w:val="auto"/>
              </w:rPr>
            </w:pPr>
          </w:p>
        </w:tc>
        <w:tc>
          <w:tcPr>
            <w:tcW w:w="220" w:type="dxa"/>
            <w:vAlign w:val="bottom"/>
            <w:shd w:val="clear" w:color="auto" w:fill="E7E7E3"/>
          </w:tcPr>
          <w:p>
            <w:pPr>
              <w:spacing w:after="0"/>
              <w:rPr>
                <w:sz w:val="18"/>
                <w:szCs w:val="18"/>
                <w:color w:val="auto"/>
              </w:rPr>
            </w:pPr>
          </w:p>
        </w:tc>
        <w:tc>
          <w:tcPr>
            <w:tcW w:w="120" w:type="dxa"/>
            <w:vAlign w:val="bottom"/>
            <w:shd w:val="clear" w:color="auto" w:fill="E7E7E3"/>
          </w:tcPr>
          <w:p>
            <w:pPr>
              <w:spacing w:after="0"/>
              <w:rPr>
                <w:sz w:val="18"/>
                <w:szCs w:val="18"/>
                <w:color w:val="auto"/>
              </w:rPr>
            </w:pPr>
          </w:p>
        </w:tc>
        <w:tc>
          <w:tcPr>
            <w:tcW w:w="1320" w:type="dxa"/>
            <w:vAlign w:val="bottom"/>
            <w:shd w:val="clear" w:color="auto" w:fill="E7E7E3"/>
          </w:tcPr>
          <w:p>
            <w:pPr>
              <w:spacing w:after="0"/>
              <w:rPr>
                <w:sz w:val="18"/>
                <w:szCs w:val="18"/>
                <w:color w:val="auto"/>
              </w:rPr>
            </w:pPr>
          </w:p>
        </w:tc>
        <w:tc>
          <w:tcPr>
            <w:tcW w:w="220" w:type="dxa"/>
            <w:vAlign w:val="bottom"/>
            <w:shd w:val="clear" w:color="auto" w:fill="E7E7E3"/>
          </w:tcPr>
          <w:p>
            <w:pPr>
              <w:spacing w:after="0"/>
              <w:rPr>
                <w:sz w:val="18"/>
                <w:szCs w:val="18"/>
                <w:color w:val="auto"/>
              </w:rPr>
            </w:pPr>
          </w:p>
        </w:tc>
        <w:tc>
          <w:tcPr>
            <w:tcW w:w="1640" w:type="dxa"/>
            <w:vAlign w:val="bottom"/>
            <w:shd w:val="clear" w:color="auto" w:fill="E7E7E3"/>
          </w:tcPr>
          <w:p>
            <w:pPr>
              <w:jc w:val="center"/>
              <w:spacing w:after="0" w:line="208" w:lineRule="exact"/>
              <w:rPr>
                <w:sz w:val="20"/>
                <w:szCs w:val="20"/>
                <w:color w:val="auto"/>
              </w:rPr>
            </w:pPr>
            <w:r>
              <w:rPr>
                <w:rFonts w:ascii="Times New Roman" w:cs="Times New Roman" w:eastAsia="Times New Roman" w:hAnsi="Times New Roman"/>
                <w:sz w:val="20"/>
                <w:szCs w:val="20"/>
                <w:color w:val="auto"/>
                <w:w w:val="98"/>
              </w:rPr>
              <w:t>(c)</w:t>
            </w:r>
          </w:p>
        </w:tc>
        <w:tc>
          <w:tcPr>
            <w:tcW w:w="22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800" w:type="dxa"/>
            <w:vAlign w:val="bottom"/>
            <w:gridSpan w:val="2"/>
            <w:shd w:val="clear" w:color="auto" w:fill="E7E7E3"/>
          </w:tcPr>
          <w:p>
            <w:pPr>
              <w:jc w:val="center"/>
              <w:ind w:right="200"/>
              <w:spacing w:after="0" w:line="208" w:lineRule="exact"/>
              <w:rPr>
                <w:sz w:val="20"/>
                <w:szCs w:val="20"/>
                <w:color w:val="auto"/>
              </w:rPr>
            </w:pPr>
            <w:r>
              <w:rPr>
                <w:rFonts w:ascii="Times New Roman" w:cs="Times New Roman" w:eastAsia="Times New Roman" w:hAnsi="Times New Roman"/>
                <w:sz w:val="20"/>
                <w:szCs w:val="20"/>
                <w:color w:val="auto"/>
              </w:rPr>
              <w:t>(d)</w:t>
            </w:r>
          </w:p>
        </w:tc>
      </w:tr>
      <w:tr>
        <w:trPr>
          <w:trHeight w:val="230"/>
        </w:trPr>
        <w:tc>
          <w:tcPr>
            <w:tcW w:w="36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4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32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Total number of</w:t>
            </w:r>
          </w:p>
        </w:tc>
        <w:tc>
          <w:tcPr>
            <w:tcW w:w="2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800" w:type="dxa"/>
            <w:vAlign w:val="bottom"/>
            <w:gridSpan w:val="2"/>
            <w:shd w:val="clear" w:color="auto" w:fill="E7E7E3"/>
          </w:tcPr>
          <w:p>
            <w:pPr>
              <w:jc w:val="center"/>
              <w:ind w:right="220"/>
              <w:spacing w:after="0"/>
              <w:rPr>
                <w:sz w:val="20"/>
                <w:szCs w:val="20"/>
                <w:color w:val="auto"/>
              </w:rPr>
            </w:pPr>
            <w:r>
              <w:rPr>
                <w:rFonts w:ascii="Times New Roman" w:cs="Times New Roman" w:eastAsia="Times New Roman" w:hAnsi="Times New Roman"/>
                <w:sz w:val="20"/>
                <w:szCs w:val="20"/>
                <w:color w:val="auto"/>
              </w:rPr>
              <w:t>Approximate dollar</w:t>
            </w:r>
          </w:p>
        </w:tc>
      </w:tr>
      <w:tr>
        <w:trPr>
          <w:trHeight w:val="230"/>
        </w:trPr>
        <w:tc>
          <w:tcPr>
            <w:tcW w:w="36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8"/>
              </w:rPr>
              <w:t>(a)</w:t>
            </w:r>
          </w:p>
        </w:tc>
        <w:tc>
          <w:tcPr>
            <w:tcW w:w="2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320" w:type="dxa"/>
            <w:vAlign w:val="bottom"/>
            <w:shd w:val="clear" w:color="auto" w:fill="E7E7E3"/>
          </w:tcPr>
          <w:p>
            <w:pPr>
              <w:jc w:val="center"/>
              <w:ind w:right="20"/>
              <w:spacing w:after="0"/>
              <w:rPr>
                <w:sz w:val="20"/>
                <w:szCs w:val="20"/>
                <w:color w:val="auto"/>
              </w:rPr>
            </w:pPr>
            <w:r>
              <w:rPr>
                <w:rFonts w:ascii="Times New Roman" w:cs="Times New Roman" w:eastAsia="Times New Roman" w:hAnsi="Times New Roman"/>
                <w:sz w:val="20"/>
                <w:szCs w:val="20"/>
                <w:color w:val="auto"/>
              </w:rPr>
              <w:t>(b)</w:t>
            </w:r>
          </w:p>
        </w:tc>
        <w:tc>
          <w:tcPr>
            <w:tcW w:w="220" w:type="dxa"/>
            <w:vAlign w:val="bottom"/>
            <w:shd w:val="clear" w:color="auto" w:fill="E7E7E3"/>
          </w:tcPr>
          <w:p>
            <w:pPr>
              <w:spacing w:after="0"/>
              <w:rPr>
                <w:sz w:val="19"/>
                <w:szCs w:val="19"/>
                <w:color w:val="auto"/>
              </w:rPr>
            </w:pPr>
          </w:p>
        </w:tc>
        <w:tc>
          <w:tcPr>
            <w:tcW w:w="16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8"/>
              </w:rPr>
              <w:t>shares purchased as</w:t>
            </w:r>
          </w:p>
        </w:tc>
        <w:tc>
          <w:tcPr>
            <w:tcW w:w="2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800" w:type="dxa"/>
            <w:vAlign w:val="bottom"/>
            <w:gridSpan w:val="2"/>
            <w:shd w:val="clear" w:color="auto" w:fill="E7E7E3"/>
          </w:tcPr>
          <w:p>
            <w:pPr>
              <w:jc w:val="center"/>
              <w:ind w:right="220"/>
              <w:spacing w:after="0"/>
              <w:rPr>
                <w:sz w:val="20"/>
                <w:szCs w:val="20"/>
                <w:color w:val="auto"/>
              </w:rPr>
            </w:pPr>
            <w:r>
              <w:rPr>
                <w:rFonts w:ascii="Times New Roman" w:cs="Times New Roman" w:eastAsia="Times New Roman" w:hAnsi="Times New Roman"/>
                <w:sz w:val="20"/>
                <w:szCs w:val="20"/>
                <w:color w:val="auto"/>
                <w:w w:val="99"/>
              </w:rPr>
              <w:t>value of shares that</w:t>
            </w:r>
          </w:p>
        </w:tc>
      </w:tr>
      <w:tr>
        <w:trPr>
          <w:trHeight w:val="230"/>
        </w:trPr>
        <w:tc>
          <w:tcPr>
            <w:tcW w:w="36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Total number of</w:t>
            </w:r>
          </w:p>
        </w:tc>
        <w:tc>
          <w:tcPr>
            <w:tcW w:w="2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320" w:type="dxa"/>
            <w:vAlign w:val="bottom"/>
            <w:shd w:val="clear" w:color="auto" w:fill="E7E7E3"/>
          </w:tcPr>
          <w:p>
            <w:pPr>
              <w:jc w:val="center"/>
              <w:ind w:right="20"/>
              <w:spacing w:after="0"/>
              <w:rPr>
                <w:sz w:val="20"/>
                <w:szCs w:val="20"/>
                <w:color w:val="auto"/>
              </w:rPr>
            </w:pPr>
            <w:r>
              <w:rPr>
                <w:rFonts w:ascii="Times New Roman" w:cs="Times New Roman" w:eastAsia="Times New Roman" w:hAnsi="Times New Roman"/>
                <w:sz w:val="20"/>
                <w:szCs w:val="20"/>
                <w:color w:val="auto"/>
                <w:w w:val="99"/>
              </w:rPr>
              <w:t>Average price</w:t>
            </w:r>
          </w:p>
        </w:tc>
        <w:tc>
          <w:tcPr>
            <w:tcW w:w="220" w:type="dxa"/>
            <w:vAlign w:val="bottom"/>
            <w:shd w:val="clear" w:color="auto" w:fill="E7E7E3"/>
          </w:tcPr>
          <w:p>
            <w:pPr>
              <w:spacing w:after="0"/>
              <w:rPr>
                <w:sz w:val="19"/>
                <w:szCs w:val="19"/>
                <w:color w:val="auto"/>
              </w:rPr>
            </w:pPr>
          </w:p>
        </w:tc>
        <w:tc>
          <w:tcPr>
            <w:tcW w:w="16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rPr>
              <w:t>part of publicly</w:t>
            </w:r>
          </w:p>
        </w:tc>
        <w:tc>
          <w:tcPr>
            <w:tcW w:w="220" w:type="dxa"/>
            <w:vAlign w:val="bottom"/>
            <w:shd w:val="clear" w:color="auto" w:fill="E7E7E3"/>
          </w:tcPr>
          <w:p>
            <w:pPr>
              <w:spacing w:after="0"/>
              <w:rPr>
                <w:sz w:val="19"/>
                <w:szCs w:val="19"/>
                <w:color w:val="auto"/>
              </w:rPr>
            </w:pPr>
          </w:p>
        </w:tc>
        <w:tc>
          <w:tcPr>
            <w:tcW w:w="1900" w:type="dxa"/>
            <w:vAlign w:val="bottom"/>
            <w:gridSpan w:val="3"/>
            <w:shd w:val="clear" w:color="auto" w:fill="E7E7E3"/>
          </w:tcPr>
          <w:p>
            <w:pPr>
              <w:jc w:val="center"/>
              <w:ind w:right="120"/>
              <w:spacing w:after="0"/>
              <w:rPr>
                <w:sz w:val="20"/>
                <w:szCs w:val="20"/>
                <w:color w:val="auto"/>
              </w:rPr>
            </w:pPr>
            <w:r>
              <w:rPr>
                <w:rFonts w:ascii="Times New Roman" w:cs="Times New Roman" w:eastAsia="Times New Roman" w:hAnsi="Times New Roman"/>
                <w:sz w:val="20"/>
                <w:szCs w:val="20"/>
                <w:color w:val="auto"/>
              </w:rPr>
              <w:t>may yet be purchased</w:t>
            </w:r>
          </w:p>
        </w:tc>
      </w:tr>
      <w:tr>
        <w:trPr>
          <w:trHeight w:val="251"/>
        </w:trPr>
        <w:tc>
          <w:tcPr>
            <w:tcW w:w="3620" w:type="dxa"/>
            <w:vAlign w:val="bottom"/>
            <w:shd w:val="clear" w:color="auto" w:fill="E7E7E3"/>
          </w:tcPr>
          <w:p>
            <w:pPr>
              <w:ind w:left="1540"/>
              <w:spacing w:after="0"/>
              <w:rPr>
                <w:sz w:val="20"/>
                <w:szCs w:val="20"/>
                <w:color w:val="auto"/>
              </w:rPr>
            </w:pPr>
            <w:r>
              <w:rPr>
                <w:rFonts w:ascii="Times New Roman" w:cs="Times New Roman" w:eastAsia="Times New Roman" w:hAnsi="Times New Roman"/>
                <w:sz w:val="20"/>
                <w:szCs w:val="20"/>
                <w:color w:val="auto"/>
              </w:rPr>
              <w:t>Period</w:t>
            </w:r>
          </w:p>
        </w:tc>
        <w:tc>
          <w:tcPr>
            <w:tcW w:w="100" w:type="dxa"/>
            <w:vAlign w:val="bottom"/>
            <w:shd w:val="clear" w:color="auto" w:fill="E7E7E3"/>
          </w:tcPr>
          <w:p>
            <w:pPr>
              <w:spacing w:after="0"/>
              <w:rPr>
                <w:sz w:val="21"/>
                <w:szCs w:val="21"/>
                <w:color w:val="auto"/>
              </w:rPr>
            </w:pPr>
          </w:p>
        </w:tc>
        <w:tc>
          <w:tcPr>
            <w:tcW w:w="14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shares purchased</w:t>
            </w:r>
          </w:p>
        </w:tc>
        <w:tc>
          <w:tcPr>
            <w:tcW w:w="22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 xml:space="preserve">paid per share </w:t>
            </w:r>
            <w:r>
              <w:rPr>
                <w:rFonts w:ascii="Times New Roman" w:cs="Times New Roman" w:eastAsia="Times New Roman" w:hAnsi="Times New Roman"/>
                <w:sz w:val="13"/>
                <w:szCs w:val="13"/>
                <w:color w:val="auto"/>
                <w:w w:val="99"/>
              </w:rPr>
              <w:t>(1)</w:t>
            </w:r>
          </w:p>
        </w:tc>
        <w:tc>
          <w:tcPr>
            <w:tcW w:w="220" w:type="dxa"/>
            <w:vAlign w:val="bottom"/>
            <w:shd w:val="clear" w:color="auto" w:fill="E7E7E3"/>
          </w:tcPr>
          <w:p>
            <w:pPr>
              <w:spacing w:after="0"/>
              <w:rPr>
                <w:sz w:val="21"/>
                <w:szCs w:val="21"/>
                <w:color w:val="auto"/>
              </w:rPr>
            </w:pPr>
          </w:p>
        </w:tc>
        <w:tc>
          <w:tcPr>
            <w:tcW w:w="164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announced plan</w:t>
            </w:r>
          </w:p>
        </w:tc>
        <w:tc>
          <w:tcPr>
            <w:tcW w:w="22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1800" w:type="dxa"/>
            <w:vAlign w:val="bottom"/>
            <w:gridSpan w:val="2"/>
            <w:shd w:val="clear" w:color="auto" w:fill="E7E7E3"/>
          </w:tcPr>
          <w:p>
            <w:pPr>
              <w:jc w:val="center"/>
              <w:ind w:right="220"/>
              <w:spacing w:after="0"/>
              <w:rPr>
                <w:sz w:val="20"/>
                <w:szCs w:val="20"/>
                <w:color w:val="auto"/>
              </w:rPr>
            </w:pPr>
            <w:r>
              <w:rPr>
                <w:rFonts w:ascii="Times New Roman" w:cs="Times New Roman" w:eastAsia="Times New Roman" w:hAnsi="Times New Roman"/>
                <w:sz w:val="20"/>
                <w:szCs w:val="20"/>
                <w:color w:val="auto"/>
                <w:w w:val="99"/>
              </w:rPr>
              <w:t xml:space="preserve">under the plan </w:t>
            </w:r>
            <w:r>
              <w:rPr>
                <w:rFonts w:ascii="Times New Roman" w:cs="Times New Roman" w:eastAsia="Times New Roman" w:hAnsi="Times New Roman"/>
                <w:sz w:val="13"/>
                <w:szCs w:val="13"/>
                <w:color w:val="auto"/>
                <w:w w:val="99"/>
              </w:rPr>
              <w:t>(1)</w:t>
            </w:r>
          </w:p>
        </w:tc>
      </w:tr>
      <w:tr>
        <w:trPr>
          <w:trHeight w:val="220"/>
        </w:trPr>
        <w:tc>
          <w:tcPr>
            <w:tcW w:w="3620" w:type="dxa"/>
            <w:vAlign w:val="bottom"/>
            <w:tcBorders>
              <w:top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1440" w:type="dxa"/>
            <w:vAlign w:val="bottom"/>
            <w:tcBorders>
              <w:top w:val="single" w:sz="8" w:color="auto"/>
            </w:tcBorders>
            <w:shd w:val="clear" w:color="auto" w:fill="FEFEFE"/>
          </w:tcPr>
          <w:p>
            <w:pPr>
              <w:spacing w:after="0"/>
              <w:rPr>
                <w:sz w:val="19"/>
                <w:szCs w:val="19"/>
                <w:color w:val="auto"/>
              </w:rPr>
            </w:pPr>
          </w:p>
        </w:tc>
        <w:tc>
          <w:tcPr>
            <w:tcW w:w="220" w:type="dxa"/>
            <w:vAlign w:val="bottom"/>
            <w:tcBorders>
              <w:top w:val="single" w:sz="8" w:color="FEFEFE"/>
            </w:tcBorders>
            <w:shd w:val="clear" w:color="auto" w:fill="FEFEFE"/>
          </w:tcPr>
          <w:p>
            <w:pPr>
              <w:spacing w:after="0"/>
              <w:rPr>
                <w:sz w:val="19"/>
                <w:szCs w:val="19"/>
                <w:color w:val="auto"/>
              </w:rPr>
            </w:pPr>
          </w:p>
        </w:tc>
        <w:tc>
          <w:tcPr>
            <w:tcW w:w="120" w:type="dxa"/>
            <w:vAlign w:val="bottom"/>
            <w:tcBorders>
              <w:top w:val="single" w:sz="8" w:color="auto"/>
            </w:tcBorders>
            <w:shd w:val="clear" w:color="auto" w:fill="FEFEFE"/>
          </w:tcPr>
          <w:p>
            <w:pPr>
              <w:spacing w:after="0"/>
              <w:rPr>
                <w:sz w:val="19"/>
                <w:szCs w:val="19"/>
                <w:color w:val="auto"/>
              </w:rPr>
            </w:pPr>
          </w:p>
        </w:tc>
        <w:tc>
          <w:tcPr>
            <w:tcW w:w="1320" w:type="dxa"/>
            <w:vAlign w:val="bottom"/>
            <w:tcBorders>
              <w:top w:val="single" w:sz="8" w:color="auto"/>
            </w:tcBorders>
            <w:shd w:val="clear" w:color="auto" w:fill="FEFEFE"/>
          </w:tcPr>
          <w:p>
            <w:pPr>
              <w:spacing w:after="0"/>
              <w:rPr>
                <w:sz w:val="19"/>
                <w:szCs w:val="19"/>
                <w:color w:val="auto"/>
              </w:rPr>
            </w:pPr>
          </w:p>
        </w:tc>
        <w:tc>
          <w:tcPr>
            <w:tcW w:w="220" w:type="dxa"/>
            <w:vAlign w:val="bottom"/>
            <w:tcBorders>
              <w:top w:val="single" w:sz="8" w:color="FEFEFE"/>
            </w:tcBorders>
            <w:shd w:val="clear" w:color="auto" w:fill="FEFEFE"/>
          </w:tcPr>
          <w:p>
            <w:pPr>
              <w:spacing w:after="0"/>
              <w:rPr>
                <w:sz w:val="19"/>
                <w:szCs w:val="19"/>
                <w:color w:val="auto"/>
              </w:rPr>
            </w:pPr>
          </w:p>
        </w:tc>
        <w:tc>
          <w:tcPr>
            <w:tcW w:w="1640" w:type="dxa"/>
            <w:vAlign w:val="bottom"/>
            <w:tcBorders>
              <w:top w:val="single" w:sz="8" w:color="auto"/>
            </w:tcBorders>
            <w:shd w:val="clear" w:color="auto" w:fill="FEFEFE"/>
          </w:tcPr>
          <w:p>
            <w:pPr>
              <w:spacing w:after="0"/>
              <w:rPr>
                <w:sz w:val="19"/>
                <w:szCs w:val="19"/>
                <w:color w:val="auto"/>
              </w:rPr>
            </w:pPr>
          </w:p>
        </w:tc>
        <w:tc>
          <w:tcPr>
            <w:tcW w:w="22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auto"/>
            </w:tcBorders>
            <w:shd w:val="clear" w:color="auto" w:fill="FEFEFE"/>
          </w:tcPr>
          <w:p>
            <w:pPr>
              <w:spacing w:after="0"/>
              <w:rPr>
                <w:sz w:val="19"/>
                <w:szCs w:val="19"/>
                <w:color w:val="auto"/>
              </w:rPr>
            </w:pPr>
          </w:p>
        </w:tc>
        <w:tc>
          <w:tcPr>
            <w:tcW w:w="1700" w:type="dxa"/>
            <w:vAlign w:val="bottom"/>
            <w:tcBorders>
              <w:top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r>
      <w:tr>
        <w:trPr>
          <w:trHeight w:val="230"/>
        </w:trPr>
        <w:tc>
          <w:tcPr>
            <w:tcW w:w="362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November 3, 2024 to November 30, 2024</w:t>
            </w:r>
          </w:p>
        </w:tc>
        <w:tc>
          <w:tcPr>
            <w:tcW w:w="100" w:type="dxa"/>
            <w:vAlign w:val="bottom"/>
            <w:shd w:val="clear" w:color="auto" w:fill="E7E7E3"/>
          </w:tcPr>
          <w:p>
            <w:pPr>
              <w:spacing w:after="0"/>
              <w:rPr>
                <w:sz w:val="19"/>
                <w:szCs w:val="19"/>
                <w:color w:val="auto"/>
              </w:rPr>
            </w:pPr>
          </w:p>
        </w:tc>
        <w:tc>
          <w:tcPr>
            <w:tcW w:w="14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1,008,595</w:t>
            </w:r>
          </w:p>
        </w:tc>
        <w:tc>
          <w:tcPr>
            <w:tcW w:w="220" w:type="dxa"/>
            <w:vAlign w:val="bottom"/>
            <w:shd w:val="clear" w:color="auto" w:fill="E7E7E3"/>
          </w:tcPr>
          <w:p>
            <w:pPr>
              <w:spacing w:after="0"/>
              <w:rPr>
                <w:sz w:val="19"/>
                <w:szCs w:val="19"/>
                <w:color w:val="auto"/>
              </w:rPr>
            </w:pP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220" w:type="dxa"/>
            <w:vAlign w:val="bottom"/>
            <w:shd w:val="clear" w:color="auto" w:fill="E7E7E3"/>
          </w:tcPr>
          <w:p>
            <w:pPr>
              <w:spacing w:after="0"/>
              <w:rPr>
                <w:sz w:val="19"/>
                <w:szCs w:val="19"/>
                <w:color w:val="auto"/>
              </w:rPr>
            </w:pPr>
          </w:p>
        </w:tc>
        <w:tc>
          <w:tcPr>
            <w:tcW w:w="16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1,008,595</w:t>
            </w:r>
          </w:p>
        </w:tc>
        <w:tc>
          <w:tcPr>
            <w:tcW w:w="220" w:type="dxa"/>
            <w:vAlign w:val="bottom"/>
            <w:shd w:val="clear" w:color="auto" w:fill="E7E7E3"/>
          </w:tcPr>
          <w:p>
            <w:pPr>
              <w:spacing w:after="0"/>
              <w:rPr>
                <w:sz w:val="19"/>
                <w:szCs w:val="19"/>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1,895,404</w:t>
            </w:r>
          </w:p>
        </w:tc>
        <w:tc>
          <w:tcPr>
            <w:tcW w:w="100" w:type="dxa"/>
            <w:vAlign w:val="bottom"/>
            <w:shd w:val="clear" w:color="auto" w:fill="E7E7E3"/>
          </w:tcPr>
          <w:p>
            <w:pPr>
              <w:spacing w:after="0"/>
              <w:rPr>
                <w:sz w:val="19"/>
                <w:szCs w:val="19"/>
                <w:color w:val="auto"/>
              </w:rPr>
            </w:pPr>
          </w:p>
        </w:tc>
      </w:tr>
      <w:tr>
        <w:trPr>
          <w:trHeight w:val="230"/>
        </w:trPr>
        <w:tc>
          <w:tcPr>
            <w:tcW w:w="36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December 1, 2024 to January 4, 2025</w:t>
            </w:r>
          </w:p>
        </w:tc>
        <w:tc>
          <w:tcPr>
            <w:tcW w:w="15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218,004</w:t>
            </w:r>
          </w:p>
        </w:tc>
        <w:tc>
          <w:tcPr>
            <w:tcW w:w="3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8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218,004</w:t>
            </w:r>
          </w:p>
        </w:tc>
        <w:tc>
          <w:tcPr>
            <w:tcW w:w="3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1,331,122</w:t>
            </w:r>
          </w:p>
        </w:tc>
        <w:tc>
          <w:tcPr>
            <w:tcW w:w="100" w:type="dxa"/>
            <w:vAlign w:val="bottom"/>
            <w:shd w:val="clear" w:color="auto" w:fill="FEFEFE"/>
          </w:tcPr>
          <w:p>
            <w:pPr>
              <w:spacing w:after="0"/>
              <w:rPr>
                <w:sz w:val="19"/>
                <w:szCs w:val="19"/>
                <w:color w:val="auto"/>
              </w:rPr>
            </w:pPr>
          </w:p>
        </w:tc>
      </w:tr>
      <w:tr>
        <w:trPr>
          <w:trHeight w:val="230"/>
        </w:trPr>
        <w:tc>
          <w:tcPr>
            <w:tcW w:w="362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January 5, 2025 to February 1, 2025</w:t>
            </w:r>
          </w:p>
        </w:tc>
        <w:tc>
          <w:tcPr>
            <w:tcW w:w="100" w:type="dxa"/>
            <w:vAlign w:val="bottom"/>
            <w:tcBorders>
              <w:bottom w:val="single" w:sz="8" w:color="FEFEFE"/>
            </w:tcBorders>
            <w:shd w:val="clear" w:color="auto" w:fill="E7E7E3"/>
          </w:tcPr>
          <w:p>
            <w:pPr>
              <w:spacing w:after="0"/>
              <w:rPr>
                <w:sz w:val="19"/>
                <w:szCs w:val="19"/>
                <w:color w:val="auto"/>
              </w:rPr>
            </w:pPr>
          </w:p>
        </w:tc>
        <w:tc>
          <w:tcPr>
            <w:tcW w:w="1440" w:type="dxa"/>
            <w:vAlign w:val="bottom"/>
            <w:tcBorders>
              <w:bottom w:val="single" w:sz="8" w:color="auto"/>
            </w:tcBorders>
            <w:shd w:val="clear" w:color="auto" w:fill="E7E7E3"/>
          </w:tcPr>
          <w:p>
            <w:pPr>
              <w:spacing w:after="0"/>
              <w:rPr>
                <w:sz w:val="19"/>
                <w:szCs w:val="19"/>
                <w:color w:val="auto"/>
              </w:rPr>
            </w:pPr>
          </w:p>
        </w:tc>
        <w:tc>
          <w:tcPr>
            <w:tcW w:w="22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320" w:type="dxa"/>
            <w:vAlign w:val="bottom"/>
            <w:tcBorders>
              <w:bottom w:val="single" w:sz="8" w:color="auto"/>
            </w:tcBorders>
            <w:shd w:val="clear" w:color="auto" w:fill="E7E7E3"/>
          </w:tcPr>
          <w:p>
            <w:pPr>
              <w:spacing w:after="0"/>
              <w:rPr>
                <w:sz w:val="19"/>
                <w:szCs w:val="19"/>
                <w:color w:val="auto"/>
              </w:rPr>
            </w:pPr>
          </w:p>
        </w:tc>
        <w:tc>
          <w:tcPr>
            <w:tcW w:w="220" w:type="dxa"/>
            <w:vAlign w:val="bottom"/>
            <w:tcBorders>
              <w:bottom w:val="single" w:sz="8" w:color="FEFEFE"/>
            </w:tcBorders>
            <w:shd w:val="clear" w:color="auto" w:fill="E7E7E3"/>
          </w:tcPr>
          <w:p>
            <w:pPr>
              <w:spacing w:after="0"/>
              <w:rPr>
                <w:sz w:val="19"/>
                <w:szCs w:val="19"/>
                <w:color w:val="auto"/>
              </w:rPr>
            </w:pPr>
          </w:p>
        </w:tc>
        <w:tc>
          <w:tcPr>
            <w:tcW w:w="1640" w:type="dxa"/>
            <w:vAlign w:val="bottom"/>
            <w:tcBorders>
              <w:bottom w:val="single" w:sz="8" w:color="auto"/>
            </w:tcBorders>
            <w:shd w:val="clear" w:color="auto" w:fill="E7E7E3"/>
          </w:tcPr>
          <w:p>
            <w:pPr>
              <w:spacing w:after="0"/>
              <w:rPr>
                <w:sz w:val="19"/>
                <w:szCs w:val="19"/>
                <w:color w:val="auto"/>
              </w:rPr>
            </w:pPr>
          </w:p>
        </w:tc>
        <w:tc>
          <w:tcPr>
            <w:tcW w:w="22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700" w:type="dxa"/>
            <w:vAlign w:val="bottom"/>
            <w:tcBorders>
              <w:bottom w:val="single" w:sz="8" w:color="auto"/>
            </w:tcBorders>
            <w:shd w:val="clear" w:color="auto" w:fill="E7E7E3"/>
          </w:tcPr>
          <w:p>
            <w:pPr>
              <w:spacing w:after="0"/>
              <w:rPr>
                <w:sz w:val="19"/>
                <w:szCs w:val="19"/>
                <w:color w:val="auto"/>
              </w:rPr>
            </w:pP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362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shd w:val="clear" w:color="auto" w:fill="FEFEFE"/>
          </w:tcPr>
          <w:p>
            <w:pPr>
              <w:spacing w:after="0"/>
              <w:rPr>
                <w:sz w:val="19"/>
                <w:szCs w:val="19"/>
                <w:color w:val="auto"/>
              </w:rPr>
            </w:pPr>
          </w:p>
        </w:tc>
        <w:tc>
          <w:tcPr>
            <w:tcW w:w="144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1,226,599</w:t>
            </w:r>
          </w:p>
        </w:tc>
        <w:tc>
          <w:tcPr>
            <w:tcW w:w="220" w:type="dxa"/>
            <w:vAlign w:val="bottom"/>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2.70</w:t>
            </w:r>
          </w:p>
        </w:tc>
        <w:tc>
          <w:tcPr>
            <w:tcW w:w="220" w:type="dxa"/>
            <w:vAlign w:val="bottom"/>
            <w:shd w:val="clear" w:color="auto" w:fill="FEFEFE"/>
          </w:tcPr>
          <w:p>
            <w:pPr>
              <w:spacing w:after="0"/>
              <w:rPr>
                <w:sz w:val="19"/>
                <w:szCs w:val="19"/>
                <w:color w:val="auto"/>
              </w:rPr>
            </w:pPr>
          </w:p>
        </w:tc>
        <w:tc>
          <w:tcPr>
            <w:tcW w:w="164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1,226,599</w:t>
            </w:r>
          </w:p>
        </w:tc>
        <w:tc>
          <w:tcPr>
            <w:tcW w:w="220" w:type="dxa"/>
            <w:vAlign w:val="bottom"/>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bottom w:val="single" w:sz="8" w:color="auto"/>
            </w:tcBorders>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280" w:right="120" w:hanging="6"/>
        <w:spacing w:after="0" w:line="279" w:lineRule="auto"/>
        <w:tabs>
          <w:tab w:leader="none" w:pos="56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price paid per share and the approximate dollar value of shares that may yet be purchased under the plan excludes the accrual of excise tax of $0.1 million as of February 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Performance Graph</w:t>
      </w:r>
    </w:p>
    <w:p>
      <w:pPr>
        <w:spacing w:after="0" w:line="22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following performance graph compares our cumulative stockholder return with a broad market index (S&amp;P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2020. We paid no cash dividends during the periods shown. The performance of the indices is shown on a total return (dividends reinvested) basis. The graph lines merely connect January 31 of each year and do not reflect fluctuations between those dates. In addition, we have provided below a chart of the annual percentage return of our common stock, the S&amp;P 500 and the Dow Jones U.S. Apparel Retailers.</w:t>
      </w:r>
    </w:p>
    <w:p>
      <w:pPr>
        <w:sectPr>
          <w:pgSz w:w="11880" w:h="15480" w:orient="portrait"/>
          <w:cols w:equalWidth="0" w:num="1">
            <w:col w:w="10800"/>
          </w:cols>
          <w:pgMar w:left="540" w:top="88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883" w:right="540" w:bottom="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430530</wp:posOffset>
            </wp:positionV>
            <wp:extent cx="6858000" cy="3248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Return Percentage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gridSpan w:val="2"/>
            <w:vMerge w:val="restart"/>
            <w:shd w:val="clear" w:color="auto" w:fill="FEFEFE"/>
          </w:tcPr>
          <w:p>
            <w:pPr>
              <w:spacing w:after="0"/>
              <w:rPr>
                <w:sz w:val="20"/>
                <w:szCs w:val="20"/>
                <w:color w:val="auto"/>
              </w:rPr>
            </w:pPr>
            <w:r>
              <w:rPr>
                <w:rFonts w:ascii="Times New Roman" w:cs="Times New Roman" w:eastAsia="Times New Roman" w:hAnsi="Times New Roman"/>
                <w:sz w:val="20"/>
                <w:szCs w:val="20"/>
                <w:color w:val="auto"/>
              </w:rPr>
              <w:t>Company/Index</w:t>
            </w:r>
          </w:p>
        </w:tc>
        <w:tc>
          <w:tcPr>
            <w:tcW w:w="10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70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50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50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080" w:type="dxa"/>
            <w:vAlign w:val="bottom"/>
            <w:gridSpan w:val="5"/>
            <w:shd w:val="clear" w:color="auto" w:fill="FEFEFE"/>
          </w:tcPr>
          <w:p>
            <w:pPr>
              <w:jc w:val="right"/>
              <w:ind w:right="300"/>
              <w:spacing w:after="0"/>
              <w:rPr>
                <w:sz w:val="20"/>
                <w:szCs w:val="20"/>
                <w:color w:val="auto"/>
              </w:rPr>
            </w:pPr>
            <w:r>
              <w:rPr>
                <w:rFonts w:ascii="Times New Roman" w:cs="Times New Roman" w:eastAsia="Times New Roman" w:hAnsi="Times New Roman"/>
                <w:sz w:val="16"/>
                <w:szCs w:val="16"/>
                <w:color w:val="auto"/>
              </w:rPr>
              <w:t>Year ended</w:t>
            </w:r>
          </w:p>
        </w:tc>
        <w:tc>
          <w:tcPr>
            <w:tcW w:w="8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50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6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360" w:type="dxa"/>
            <w:vAlign w:val="bottom"/>
            <w:gridSpan w:val="2"/>
            <w:vMerge w:val="continue"/>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7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000" w:type="dxa"/>
            <w:vAlign w:val="bottom"/>
            <w:gridSpan w:val="4"/>
            <w:shd w:val="clear" w:color="auto" w:fill="FEFEFE"/>
          </w:tcPr>
          <w:p>
            <w:pPr>
              <w:jc w:val="right"/>
              <w:ind w:right="500"/>
              <w:spacing w:after="0"/>
              <w:rPr>
                <w:sz w:val="20"/>
                <w:szCs w:val="20"/>
                <w:color w:val="auto"/>
              </w:rPr>
            </w:pPr>
            <w:r>
              <w:rPr>
                <w:rFonts w:ascii="Times New Roman" w:cs="Times New Roman" w:eastAsia="Times New Roman" w:hAnsi="Times New Roman"/>
                <w:sz w:val="16"/>
                <w:szCs w:val="16"/>
                <w:color w:val="auto"/>
              </w:rPr>
              <w:t>Jan 21</w:t>
            </w:r>
          </w:p>
        </w:tc>
        <w:tc>
          <w:tcPr>
            <w:tcW w:w="80" w:type="dxa"/>
            <w:vAlign w:val="bottom"/>
            <w:shd w:val="clear" w:color="auto" w:fill="FEFEFE"/>
          </w:tcPr>
          <w:p>
            <w:pPr>
              <w:spacing w:after="0"/>
              <w:rPr>
                <w:sz w:val="20"/>
                <w:szCs w:val="20"/>
                <w:color w:val="auto"/>
              </w:rPr>
            </w:pPr>
          </w:p>
        </w:tc>
        <w:tc>
          <w:tcPr>
            <w:tcW w:w="980" w:type="dxa"/>
            <w:vAlign w:val="bottom"/>
            <w:gridSpan w:val="4"/>
            <w:shd w:val="clear" w:color="auto" w:fill="FEFEFE"/>
          </w:tcPr>
          <w:p>
            <w:pPr>
              <w:ind w:left="80"/>
              <w:spacing w:after="0"/>
              <w:rPr>
                <w:sz w:val="20"/>
                <w:szCs w:val="20"/>
                <w:color w:val="auto"/>
              </w:rPr>
            </w:pPr>
            <w:r>
              <w:rPr>
                <w:rFonts w:ascii="Times New Roman" w:cs="Times New Roman" w:eastAsia="Times New Roman" w:hAnsi="Times New Roman"/>
                <w:sz w:val="16"/>
                <w:szCs w:val="16"/>
                <w:color w:val="auto"/>
              </w:rPr>
              <w:t>Jan 22</w:t>
            </w:r>
          </w:p>
        </w:tc>
        <w:tc>
          <w:tcPr>
            <w:tcW w:w="80" w:type="dxa"/>
            <w:vAlign w:val="bottom"/>
            <w:shd w:val="clear" w:color="auto" w:fill="FEFEFE"/>
          </w:tcPr>
          <w:p>
            <w:pPr>
              <w:spacing w:after="0"/>
              <w:rPr>
                <w:sz w:val="20"/>
                <w:szCs w:val="20"/>
                <w:color w:val="auto"/>
              </w:rPr>
            </w:pPr>
          </w:p>
        </w:tc>
        <w:tc>
          <w:tcPr>
            <w:tcW w:w="1000" w:type="dxa"/>
            <w:vAlign w:val="bottom"/>
            <w:gridSpan w:val="4"/>
            <w:shd w:val="clear" w:color="auto" w:fill="FEFEFE"/>
          </w:tcPr>
          <w:p>
            <w:pPr>
              <w:jc w:val="right"/>
              <w:ind w:right="520"/>
              <w:spacing w:after="0"/>
              <w:rPr>
                <w:sz w:val="20"/>
                <w:szCs w:val="20"/>
                <w:color w:val="auto"/>
              </w:rPr>
            </w:pPr>
            <w:r>
              <w:rPr>
                <w:rFonts w:ascii="Times New Roman" w:cs="Times New Roman" w:eastAsia="Times New Roman" w:hAnsi="Times New Roman"/>
                <w:sz w:val="16"/>
                <w:szCs w:val="16"/>
                <w:color w:val="auto"/>
              </w:rPr>
              <w:t>Jan 23</w:t>
            </w:r>
          </w:p>
        </w:tc>
        <w:tc>
          <w:tcPr>
            <w:tcW w:w="80" w:type="dxa"/>
            <w:vAlign w:val="bottom"/>
            <w:shd w:val="clear" w:color="auto" w:fill="FEFEFE"/>
          </w:tcPr>
          <w:p>
            <w:pPr>
              <w:spacing w:after="0"/>
              <w:rPr>
                <w:sz w:val="20"/>
                <w:szCs w:val="20"/>
                <w:color w:val="auto"/>
              </w:rPr>
            </w:pPr>
          </w:p>
        </w:tc>
        <w:tc>
          <w:tcPr>
            <w:tcW w:w="980" w:type="dxa"/>
            <w:vAlign w:val="bottom"/>
            <w:gridSpan w:val="4"/>
            <w:shd w:val="clear" w:color="auto" w:fill="FEFEFE"/>
          </w:tcPr>
          <w:p>
            <w:pPr>
              <w:ind w:left="80"/>
              <w:spacing w:after="0"/>
              <w:rPr>
                <w:sz w:val="20"/>
                <w:szCs w:val="20"/>
                <w:color w:val="auto"/>
              </w:rPr>
            </w:pPr>
            <w:r>
              <w:rPr>
                <w:rFonts w:ascii="Times New Roman" w:cs="Times New Roman" w:eastAsia="Times New Roman" w:hAnsi="Times New Roman"/>
                <w:sz w:val="16"/>
                <w:szCs w:val="16"/>
                <w:color w:val="auto"/>
              </w:rPr>
              <w:t>Jan 24</w:t>
            </w:r>
          </w:p>
        </w:tc>
        <w:tc>
          <w:tcPr>
            <w:tcW w:w="10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620" w:type="dxa"/>
            <w:vAlign w:val="bottom"/>
            <w:shd w:val="clear" w:color="auto" w:fill="FEFEFE"/>
          </w:tcPr>
          <w:p>
            <w:pPr>
              <w:jc w:val="right"/>
              <w:ind w:right="105"/>
              <w:spacing w:after="0"/>
              <w:rPr>
                <w:sz w:val="20"/>
                <w:szCs w:val="20"/>
                <w:color w:val="auto"/>
              </w:rPr>
            </w:pPr>
            <w:r>
              <w:rPr>
                <w:rFonts w:ascii="Times New Roman" w:cs="Times New Roman" w:eastAsia="Times New Roman" w:hAnsi="Times New Roman"/>
                <w:sz w:val="16"/>
                <w:szCs w:val="16"/>
                <w:color w:val="auto"/>
                <w:w w:val="96"/>
              </w:rPr>
              <w:t>Jan 25</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vMerge w:val="restart"/>
            <w:shd w:val="clear" w:color="auto" w:fill="E7E7E3"/>
          </w:tcPr>
          <w:p>
            <w:pPr>
              <w:spacing w:after="0" w:line="222" w:lineRule="exact"/>
              <w:rPr>
                <w:sz w:val="20"/>
                <w:szCs w:val="20"/>
                <w:color w:val="auto"/>
              </w:rPr>
            </w:pPr>
            <w:r>
              <w:rPr>
                <w:rFonts w:ascii="Times New Roman" w:cs="Times New Roman" w:eastAsia="Times New Roman" w:hAnsi="Times New Roman"/>
                <w:sz w:val="20"/>
                <w:szCs w:val="20"/>
                <w:color w:val="auto"/>
              </w:rPr>
              <w:t>DXLG</w:t>
            </w:r>
          </w:p>
        </w:tc>
        <w:tc>
          <w:tcPr>
            <w:tcW w:w="3080" w:type="dxa"/>
            <w:vAlign w:val="bottom"/>
            <w:tcBorders>
              <w:top w:val="single" w:sz="8" w:color="FEFEFE"/>
            </w:tcBorders>
            <w:vMerge w:val="restart"/>
            <w:shd w:val="clear" w:color="auto" w:fill="E7E7E3"/>
          </w:tcPr>
          <w:p>
            <w:pPr>
              <w:spacing w:after="0" w:line="20" w:lineRule="exact"/>
              <w:rPr>
                <w:sz w:val="1"/>
                <w:szCs w:val="1"/>
                <w:color w:val="auto"/>
              </w:rPr>
            </w:pPr>
          </w:p>
        </w:tc>
        <w:tc>
          <w:tcPr>
            <w:tcW w:w="100" w:type="dxa"/>
            <w:vAlign w:val="bottom"/>
            <w:tcBorders>
              <w:top w:val="single" w:sz="8" w:color="FEFEFE"/>
            </w:tcBorders>
            <w:shd w:val="clear" w:color="auto" w:fill="E7E7E3"/>
          </w:tcPr>
          <w:p>
            <w:pPr>
              <w:spacing w:after="0" w:line="20" w:lineRule="exact"/>
              <w:rPr>
                <w:sz w:val="1"/>
                <w:szCs w:val="1"/>
                <w:color w:val="auto"/>
              </w:rPr>
            </w:pPr>
          </w:p>
        </w:tc>
        <w:tc>
          <w:tcPr>
            <w:tcW w:w="160" w:type="dxa"/>
            <w:vAlign w:val="bottom"/>
            <w:tcBorders>
              <w:top w:val="single" w:sz="8" w:color="FEFEFE"/>
            </w:tcBorders>
            <w:shd w:val="clear" w:color="auto" w:fill="E7E7E3"/>
          </w:tcPr>
          <w:p>
            <w:pPr>
              <w:spacing w:after="0" w:line="20" w:lineRule="exact"/>
              <w:rPr>
                <w:sz w:val="1"/>
                <w:szCs w:val="1"/>
                <w:color w:val="auto"/>
              </w:rPr>
            </w:pPr>
          </w:p>
        </w:tc>
        <w:tc>
          <w:tcPr>
            <w:tcW w:w="700" w:type="dxa"/>
            <w:vAlign w:val="bottom"/>
            <w:tcBorders>
              <w:top w:val="single" w:sz="8" w:color="FEFEFE"/>
            </w:tcBorders>
            <w:shd w:val="clear" w:color="auto" w:fill="E7E7E3"/>
          </w:tcPr>
          <w:p>
            <w:pPr>
              <w:spacing w:after="0" w:line="20" w:lineRule="exact"/>
              <w:rPr>
                <w:sz w:val="1"/>
                <w:szCs w:val="1"/>
                <w:color w:val="auto"/>
              </w:rPr>
            </w:pPr>
          </w:p>
        </w:tc>
        <w:tc>
          <w:tcPr>
            <w:tcW w:w="140" w:type="dxa"/>
            <w:vAlign w:val="bottom"/>
            <w:tcBorders>
              <w:top w:val="single" w:sz="8" w:color="FEFEFE"/>
            </w:tcBorders>
            <w:shd w:val="clear" w:color="auto" w:fill="E7E7E3"/>
          </w:tcPr>
          <w:p>
            <w:pPr>
              <w:spacing w:after="0" w:line="20" w:lineRule="exact"/>
              <w:rPr>
                <w:sz w:val="1"/>
                <w:szCs w:val="1"/>
                <w:color w:val="auto"/>
              </w:rPr>
            </w:pPr>
          </w:p>
        </w:tc>
        <w:tc>
          <w:tcPr>
            <w:tcW w:w="80" w:type="dxa"/>
            <w:vAlign w:val="bottom"/>
            <w:tcBorders>
              <w:top w:val="single" w:sz="8" w:color="FEFEFE"/>
            </w:tcBorders>
            <w:shd w:val="clear" w:color="auto" w:fill="000000"/>
          </w:tcPr>
          <w:p>
            <w:pPr>
              <w:spacing w:after="0" w:line="20" w:lineRule="exact"/>
              <w:rPr>
                <w:sz w:val="1"/>
                <w:szCs w:val="1"/>
                <w:color w:val="auto"/>
              </w:rPr>
            </w:pPr>
          </w:p>
        </w:tc>
        <w:tc>
          <w:tcPr>
            <w:tcW w:w="160" w:type="dxa"/>
            <w:vAlign w:val="bottom"/>
            <w:tcBorders>
              <w:top w:val="single" w:sz="8" w:color="FEFEFE"/>
            </w:tcBorders>
            <w:shd w:val="clear" w:color="auto" w:fill="000000"/>
          </w:tcPr>
          <w:p>
            <w:pPr>
              <w:spacing w:after="0" w:line="20" w:lineRule="exact"/>
              <w:rPr>
                <w:sz w:val="1"/>
                <w:szCs w:val="1"/>
                <w:color w:val="auto"/>
              </w:rPr>
            </w:pPr>
          </w:p>
        </w:tc>
        <w:tc>
          <w:tcPr>
            <w:tcW w:w="500" w:type="dxa"/>
            <w:vAlign w:val="bottom"/>
            <w:tcBorders>
              <w:top w:val="single" w:sz="8" w:color="FEFEFE"/>
            </w:tcBorders>
            <w:shd w:val="clear" w:color="auto" w:fill="000000"/>
          </w:tcPr>
          <w:p>
            <w:pPr>
              <w:spacing w:after="0" w:line="20" w:lineRule="exact"/>
              <w:rPr>
                <w:sz w:val="1"/>
                <w:szCs w:val="1"/>
                <w:color w:val="auto"/>
              </w:rPr>
            </w:pPr>
          </w:p>
        </w:tc>
        <w:tc>
          <w:tcPr>
            <w:tcW w:w="200" w:type="dxa"/>
            <w:vAlign w:val="bottom"/>
            <w:tcBorders>
              <w:top w:val="single" w:sz="8" w:color="FEFEFE"/>
            </w:tcBorders>
          </w:tcPr>
          <w:p>
            <w:pPr>
              <w:spacing w:after="0" w:line="20" w:lineRule="exact"/>
              <w:rPr>
                <w:sz w:val="1"/>
                <w:szCs w:val="1"/>
                <w:color w:val="auto"/>
              </w:rPr>
            </w:pPr>
          </w:p>
        </w:tc>
        <w:tc>
          <w:tcPr>
            <w:tcW w:w="140" w:type="dxa"/>
            <w:vAlign w:val="bottom"/>
            <w:tcBorders>
              <w:top w:val="single" w:sz="8" w:color="FEFEFE"/>
            </w:tcBorders>
          </w:tcPr>
          <w:p>
            <w:pPr>
              <w:spacing w:after="0" w:line="20" w:lineRule="exact"/>
              <w:rPr>
                <w:sz w:val="1"/>
                <w:szCs w:val="1"/>
                <w:color w:val="auto"/>
              </w:rPr>
            </w:pPr>
          </w:p>
        </w:tc>
        <w:tc>
          <w:tcPr>
            <w:tcW w:w="80" w:type="dxa"/>
            <w:vAlign w:val="bottom"/>
            <w:tcBorders>
              <w:top w:val="single" w:sz="8" w:color="FEFEFE"/>
            </w:tcBorders>
            <w:shd w:val="clear" w:color="auto" w:fill="000000"/>
          </w:tcPr>
          <w:p>
            <w:pPr>
              <w:spacing w:after="0" w:line="20" w:lineRule="exact"/>
              <w:rPr>
                <w:sz w:val="1"/>
                <w:szCs w:val="1"/>
                <w:color w:val="auto"/>
              </w:rPr>
            </w:pPr>
          </w:p>
        </w:tc>
        <w:tc>
          <w:tcPr>
            <w:tcW w:w="160" w:type="dxa"/>
            <w:vAlign w:val="bottom"/>
            <w:tcBorders>
              <w:top w:val="single" w:sz="8" w:color="FEFEFE"/>
            </w:tcBorders>
            <w:shd w:val="clear" w:color="auto" w:fill="000000"/>
          </w:tcPr>
          <w:p>
            <w:pPr>
              <w:spacing w:after="0" w:line="20" w:lineRule="exact"/>
              <w:rPr>
                <w:sz w:val="1"/>
                <w:szCs w:val="1"/>
                <w:color w:val="auto"/>
              </w:rPr>
            </w:pPr>
          </w:p>
        </w:tc>
        <w:tc>
          <w:tcPr>
            <w:tcW w:w="500" w:type="dxa"/>
            <w:vAlign w:val="bottom"/>
            <w:tcBorders>
              <w:top w:val="single" w:sz="8" w:color="FEFEFE"/>
            </w:tcBorders>
            <w:shd w:val="clear" w:color="auto" w:fill="000000"/>
          </w:tcPr>
          <w:p>
            <w:pPr>
              <w:spacing w:after="0" w:line="20" w:lineRule="exact"/>
              <w:rPr>
                <w:sz w:val="1"/>
                <w:szCs w:val="1"/>
                <w:color w:val="auto"/>
              </w:rPr>
            </w:pPr>
          </w:p>
        </w:tc>
        <w:tc>
          <w:tcPr>
            <w:tcW w:w="200" w:type="dxa"/>
            <w:vAlign w:val="bottom"/>
            <w:tcBorders>
              <w:top w:val="single" w:sz="8" w:color="FEFEFE"/>
            </w:tcBorders>
          </w:tcPr>
          <w:p>
            <w:pPr>
              <w:spacing w:after="0" w:line="20" w:lineRule="exact"/>
              <w:rPr>
                <w:sz w:val="1"/>
                <w:szCs w:val="1"/>
                <w:color w:val="auto"/>
              </w:rPr>
            </w:pPr>
          </w:p>
        </w:tc>
        <w:tc>
          <w:tcPr>
            <w:tcW w:w="120" w:type="dxa"/>
            <w:vAlign w:val="bottom"/>
            <w:tcBorders>
              <w:top w:val="single" w:sz="8" w:color="FEFEFE"/>
            </w:tcBorders>
          </w:tcPr>
          <w:p>
            <w:pPr>
              <w:spacing w:after="0" w:line="20" w:lineRule="exact"/>
              <w:rPr>
                <w:sz w:val="1"/>
                <w:szCs w:val="1"/>
                <w:color w:val="auto"/>
              </w:rPr>
            </w:pPr>
          </w:p>
        </w:tc>
        <w:tc>
          <w:tcPr>
            <w:tcW w:w="80" w:type="dxa"/>
            <w:vAlign w:val="bottom"/>
            <w:tcBorders>
              <w:top w:val="single" w:sz="8" w:color="FEFEFE"/>
            </w:tcBorders>
            <w:shd w:val="clear" w:color="auto" w:fill="000000"/>
          </w:tcPr>
          <w:p>
            <w:pPr>
              <w:spacing w:after="0" w:line="20" w:lineRule="exact"/>
              <w:rPr>
                <w:sz w:val="1"/>
                <w:szCs w:val="1"/>
                <w:color w:val="auto"/>
              </w:rPr>
            </w:pPr>
          </w:p>
        </w:tc>
        <w:tc>
          <w:tcPr>
            <w:tcW w:w="160" w:type="dxa"/>
            <w:vAlign w:val="bottom"/>
            <w:tcBorders>
              <w:top w:val="single" w:sz="8" w:color="FEFEFE"/>
            </w:tcBorders>
            <w:shd w:val="clear" w:color="auto" w:fill="000000"/>
          </w:tcPr>
          <w:p>
            <w:pPr>
              <w:spacing w:after="0" w:line="20" w:lineRule="exact"/>
              <w:rPr>
                <w:sz w:val="1"/>
                <w:szCs w:val="1"/>
                <w:color w:val="auto"/>
              </w:rPr>
            </w:pPr>
          </w:p>
        </w:tc>
        <w:tc>
          <w:tcPr>
            <w:tcW w:w="500" w:type="dxa"/>
            <w:vAlign w:val="bottom"/>
            <w:tcBorders>
              <w:top w:val="single" w:sz="8" w:color="FEFEFE"/>
            </w:tcBorders>
            <w:shd w:val="clear" w:color="auto" w:fill="000000"/>
          </w:tcPr>
          <w:p>
            <w:pPr>
              <w:spacing w:after="0" w:line="20" w:lineRule="exact"/>
              <w:rPr>
                <w:sz w:val="1"/>
                <w:szCs w:val="1"/>
                <w:color w:val="auto"/>
              </w:rPr>
            </w:pPr>
          </w:p>
        </w:tc>
        <w:tc>
          <w:tcPr>
            <w:tcW w:w="200" w:type="dxa"/>
            <w:vAlign w:val="bottom"/>
            <w:tcBorders>
              <w:top w:val="single" w:sz="8" w:color="FEFEFE"/>
            </w:tcBorders>
          </w:tcPr>
          <w:p>
            <w:pPr>
              <w:spacing w:after="0" w:line="20" w:lineRule="exact"/>
              <w:rPr>
                <w:sz w:val="1"/>
                <w:szCs w:val="1"/>
                <w:color w:val="auto"/>
              </w:rPr>
            </w:pPr>
          </w:p>
        </w:tc>
        <w:tc>
          <w:tcPr>
            <w:tcW w:w="140" w:type="dxa"/>
            <w:vAlign w:val="bottom"/>
            <w:tcBorders>
              <w:top w:val="single" w:sz="8" w:color="FEFEFE"/>
            </w:tcBorders>
          </w:tcPr>
          <w:p>
            <w:pPr>
              <w:spacing w:after="0" w:line="20" w:lineRule="exact"/>
              <w:rPr>
                <w:sz w:val="1"/>
                <w:szCs w:val="1"/>
                <w:color w:val="auto"/>
              </w:rPr>
            </w:pPr>
          </w:p>
        </w:tc>
        <w:tc>
          <w:tcPr>
            <w:tcW w:w="80" w:type="dxa"/>
            <w:vAlign w:val="bottom"/>
            <w:tcBorders>
              <w:top w:val="single" w:sz="8" w:color="FEFEFE"/>
            </w:tcBorders>
            <w:shd w:val="clear" w:color="auto" w:fill="000000"/>
          </w:tcPr>
          <w:p>
            <w:pPr>
              <w:spacing w:after="0" w:line="20" w:lineRule="exact"/>
              <w:rPr>
                <w:sz w:val="1"/>
                <w:szCs w:val="1"/>
                <w:color w:val="auto"/>
              </w:rPr>
            </w:pPr>
          </w:p>
        </w:tc>
        <w:tc>
          <w:tcPr>
            <w:tcW w:w="160" w:type="dxa"/>
            <w:vAlign w:val="bottom"/>
            <w:tcBorders>
              <w:top w:val="single" w:sz="8" w:color="FEFEFE"/>
            </w:tcBorders>
            <w:shd w:val="clear" w:color="auto" w:fill="000000"/>
          </w:tcPr>
          <w:p>
            <w:pPr>
              <w:spacing w:after="0" w:line="20" w:lineRule="exact"/>
              <w:rPr>
                <w:sz w:val="1"/>
                <w:szCs w:val="1"/>
                <w:color w:val="auto"/>
              </w:rPr>
            </w:pPr>
          </w:p>
        </w:tc>
        <w:tc>
          <w:tcPr>
            <w:tcW w:w="500" w:type="dxa"/>
            <w:vAlign w:val="bottom"/>
            <w:tcBorders>
              <w:top w:val="single" w:sz="8" w:color="FEFEFE"/>
            </w:tcBorders>
            <w:shd w:val="clear" w:color="auto" w:fill="000000"/>
          </w:tcPr>
          <w:p>
            <w:pPr>
              <w:spacing w:after="0" w:line="20" w:lineRule="exact"/>
              <w:rPr>
                <w:sz w:val="1"/>
                <w:szCs w:val="1"/>
                <w:color w:val="auto"/>
              </w:rPr>
            </w:pPr>
          </w:p>
        </w:tc>
        <w:tc>
          <w:tcPr>
            <w:tcW w:w="200" w:type="dxa"/>
            <w:vAlign w:val="bottom"/>
            <w:tcBorders>
              <w:top w:val="single" w:sz="8" w:color="FEFEFE"/>
            </w:tcBorders>
          </w:tcPr>
          <w:p>
            <w:pPr>
              <w:spacing w:after="0" w:line="20" w:lineRule="exact"/>
              <w:rPr>
                <w:sz w:val="1"/>
                <w:szCs w:val="1"/>
                <w:color w:val="auto"/>
              </w:rPr>
            </w:pPr>
          </w:p>
        </w:tc>
        <w:tc>
          <w:tcPr>
            <w:tcW w:w="120" w:type="dxa"/>
            <w:vAlign w:val="bottom"/>
            <w:tcBorders>
              <w:top w:val="single" w:sz="8" w:color="FEFEFE"/>
            </w:tcBorders>
          </w:tcPr>
          <w:p>
            <w:pPr>
              <w:spacing w:after="0" w:line="20" w:lineRule="exact"/>
              <w:rPr>
                <w:sz w:val="1"/>
                <w:szCs w:val="1"/>
                <w:color w:val="auto"/>
              </w:rPr>
            </w:pPr>
          </w:p>
        </w:tc>
        <w:tc>
          <w:tcPr>
            <w:tcW w:w="100" w:type="dxa"/>
            <w:vAlign w:val="bottom"/>
            <w:tcBorders>
              <w:top w:val="single" w:sz="8" w:color="FEFEFE"/>
            </w:tcBorders>
            <w:shd w:val="clear" w:color="auto" w:fill="000000"/>
          </w:tcPr>
          <w:p>
            <w:pPr>
              <w:spacing w:after="0" w:line="20" w:lineRule="exact"/>
              <w:rPr>
                <w:sz w:val="1"/>
                <w:szCs w:val="1"/>
                <w:color w:val="auto"/>
              </w:rPr>
            </w:pPr>
          </w:p>
        </w:tc>
        <w:tc>
          <w:tcPr>
            <w:tcW w:w="100" w:type="dxa"/>
            <w:vAlign w:val="bottom"/>
            <w:tcBorders>
              <w:top w:val="single" w:sz="8" w:color="FEFEFE"/>
            </w:tcBorders>
            <w:shd w:val="clear" w:color="auto" w:fill="000000"/>
          </w:tcPr>
          <w:p>
            <w:pPr>
              <w:spacing w:after="0" w:line="20" w:lineRule="exact"/>
              <w:rPr>
                <w:sz w:val="1"/>
                <w:szCs w:val="1"/>
                <w:color w:val="auto"/>
              </w:rPr>
            </w:pPr>
          </w:p>
        </w:tc>
        <w:tc>
          <w:tcPr>
            <w:tcW w:w="620" w:type="dxa"/>
            <w:vAlign w:val="bottom"/>
            <w:tcBorders>
              <w:top w:val="single" w:sz="8" w:color="FEFEFE"/>
            </w:tcBorders>
            <w:shd w:val="clear" w:color="auto" w:fill="000000"/>
          </w:tcPr>
          <w:p>
            <w:pPr>
              <w:spacing w:after="0" w:line="20" w:lineRule="exact"/>
              <w:rPr>
                <w:sz w:val="1"/>
                <w:szCs w:val="1"/>
                <w:color w:val="auto"/>
              </w:rPr>
            </w:pPr>
          </w:p>
        </w:tc>
        <w:tc>
          <w:tcPr>
            <w:tcW w:w="140" w:type="dxa"/>
            <w:vAlign w:val="bottom"/>
            <w:tcBorders>
              <w:top w:val="single" w:sz="8" w:color="FEFEFE"/>
            </w:tcBorders>
          </w:tcPr>
          <w:p>
            <w:pPr>
              <w:spacing w:after="0" w:line="20" w:lineRule="exact"/>
              <w:rPr>
                <w:sz w:val="1"/>
                <w:szCs w:val="1"/>
                <w:color w:val="auto"/>
              </w:rPr>
            </w:pPr>
          </w:p>
        </w:tc>
        <w:tc>
          <w:tcPr>
            <w:tcW w:w="100" w:type="dxa"/>
            <w:vAlign w:val="bottom"/>
            <w:tcBorders>
              <w:top w:val="single" w:sz="8" w:color="FEFEF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280" w:type="dxa"/>
            <w:vAlign w:val="bottom"/>
            <w:vMerge w:val="continue"/>
            <w:shd w:val="clear" w:color="auto" w:fill="E7E7E3"/>
          </w:tcPr>
          <w:p>
            <w:pPr>
              <w:spacing w:after="0"/>
              <w:rPr>
                <w:sz w:val="17"/>
                <w:szCs w:val="17"/>
                <w:color w:val="auto"/>
              </w:rPr>
            </w:pPr>
          </w:p>
        </w:tc>
        <w:tc>
          <w:tcPr>
            <w:tcW w:w="3080" w:type="dxa"/>
            <w:vAlign w:val="bottom"/>
            <w:vMerge w:val="continue"/>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70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20"/>
                <w:szCs w:val="20"/>
                <w:color w:val="auto"/>
              </w:rPr>
              <w:t>(27.9%)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rPr>
              <w:t>441.3%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rPr>
              <w:t>70.0%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20"/>
                <w:szCs w:val="20"/>
                <w:color w:val="auto"/>
              </w:rPr>
              <w:t>(43.5%)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0"/>
                <w:szCs w:val="20"/>
                <w:color w:val="auto"/>
              </w:rPr>
              <w:t>(34.6%)</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S&amp;P 500</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7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7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15.2%</w:t>
            </w: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7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19.3%</w:t>
            </w:r>
          </w:p>
        </w:tc>
        <w:tc>
          <w:tcPr>
            <w:tcW w:w="1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840" w:type="dxa"/>
            <w:vAlign w:val="bottom"/>
            <w:gridSpan w:val="3"/>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700" w:type="dxa"/>
            <w:vAlign w:val="bottom"/>
            <w:gridSpan w:val="2"/>
            <w:shd w:val="clear" w:color="auto" w:fill="FEFEFE"/>
          </w:tcPr>
          <w:p>
            <w:pPr>
              <w:ind w:left="140"/>
              <w:spacing w:after="0"/>
              <w:rPr>
                <w:sz w:val="20"/>
                <w:szCs w:val="20"/>
                <w:color w:val="auto"/>
              </w:rPr>
            </w:pPr>
            <w:r>
              <w:rPr>
                <w:rFonts w:ascii="Times New Roman" w:cs="Times New Roman" w:eastAsia="Times New Roman" w:hAnsi="Times New Roman"/>
                <w:sz w:val="20"/>
                <w:szCs w:val="20"/>
                <w:color w:val="auto"/>
              </w:rPr>
              <w:t>21.8%</w:t>
            </w: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gridSpan w:val="3"/>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Dow Jones U.S. Apparel Retailers</w:t>
            </w:r>
          </w:p>
        </w:tc>
        <w:tc>
          <w:tcPr>
            <w:tcW w:w="10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6.2%</w:t>
            </w: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8.1%</w:t>
            </w:r>
          </w:p>
        </w:tc>
        <w:tc>
          <w:tcPr>
            <w:tcW w:w="12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8.6%</w:t>
            </w: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00" w:type="dxa"/>
            <w:vAlign w:val="bottom"/>
            <w:gridSpan w:val="2"/>
            <w:shd w:val="clear" w:color="auto" w:fill="E7E7E3"/>
          </w:tcPr>
          <w:p>
            <w:pPr>
              <w:ind w:left="140"/>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860" w:type="dxa"/>
            <w:vAlign w:val="bottom"/>
            <w:gridSpan w:val="3"/>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460"/>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Indexed Returns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FEFEFE"/>
          </w:tcPr>
          <w:p>
            <w:pPr>
              <w:spacing w:after="0"/>
              <w:rPr>
                <w:sz w:val="19"/>
                <w:szCs w:val="19"/>
                <w:color w:val="auto"/>
              </w:rPr>
            </w:pPr>
          </w:p>
        </w:tc>
        <w:tc>
          <w:tcPr>
            <w:tcW w:w="30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00" w:type="dxa"/>
            <w:vAlign w:val="bottom"/>
            <w:gridSpan w:val="3"/>
            <w:shd w:val="clear" w:color="auto" w:fill="FEFEFE"/>
          </w:tcPr>
          <w:p>
            <w:pPr>
              <w:ind w:left="60"/>
              <w:spacing w:after="0"/>
              <w:rPr>
                <w:sz w:val="20"/>
                <w:szCs w:val="20"/>
                <w:color w:val="auto"/>
              </w:rPr>
            </w:pPr>
            <w:r>
              <w:rPr>
                <w:rFonts w:ascii="Times New Roman" w:cs="Times New Roman" w:eastAsia="Times New Roman" w:hAnsi="Times New Roman"/>
                <w:sz w:val="16"/>
                <w:szCs w:val="16"/>
                <w:color w:val="auto"/>
              </w:rPr>
              <w:t>Base Period</w:t>
            </w: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5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6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E7E7E3"/>
            </w:tcBorders>
            <w:shd w:val="clear" w:color="auto" w:fill="FEFEFE"/>
          </w:tcPr>
          <w:p>
            <w:pPr>
              <w:spacing w:after="0"/>
              <w:rPr>
                <w:sz w:val="19"/>
                <w:szCs w:val="19"/>
                <w:color w:val="auto"/>
              </w:rPr>
            </w:pPr>
          </w:p>
        </w:tc>
        <w:tc>
          <w:tcPr>
            <w:tcW w:w="30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00" w:type="dxa"/>
            <w:vAlign w:val="bottom"/>
            <w:tcBorders>
              <w:bottom w:val="single" w:sz="8" w:color="auto"/>
            </w:tcBorders>
            <w:shd w:val="clear" w:color="auto" w:fill="FEFEFE"/>
          </w:tcPr>
          <w:p>
            <w:pPr>
              <w:jc w:val="right"/>
              <w:ind w:right="125"/>
              <w:spacing w:after="0"/>
              <w:rPr>
                <w:sz w:val="20"/>
                <w:szCs w:val="20"/>
                <w:color w:val="auto"/>
              </w:rPr>
            </w:pPr>
            <w:r>
              <w:rPr>
                <w:rFonts w:ascii="Times New Roman" w:cs="Times New Roman" w:eastAsia="Times New Roman" w:hAnsi="Times New Roman"/>
                <w:sz w:val="16"/>
                <w:szCs w:val="16"/>
                <w:color w:val="auto"/>
              </w:rPr>
              <w:t>Jan 20</w:t>
            </w:r>
          </w:p>
        </w:tc>
        <w:tc>
          <w:tcPr>
            <w:tcW w:w="140" w:type="dxa"/>
            <w:vAlign w:val="bottom"/>
            <w:tcBorders>
              <w:bottom w:val="single" w:sz="8" w:color="E7E7E3"/>
            </w:tcBorders>
            <w:shd w:val="clear" w:color="auto" w:fill="FEFEFE"/>
          </w:tcPr>
          <w:p>
            <w:pPr>
              <w:spacing w:after="0"/>
              <w:rPr>
                <w:sz w:val="19"/>
                <w:szCs w:val="19"/>
                <w:color w:val="auto"/>
              </w:rPr>
            </w:pPr>
          </w:p>
        </w:tc>
        <w:tc>
          <w:tcPr>
            <w:tcW w:w="8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00" w:type="dxa"/>
            <w:vAlign w:val="bottom"/>
            <w:tcBorders>
              <w:bottom w:val="single" w:sz="8" w:color="auto"/>
            </w:tcBorders>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16"/>
                <w:szCs w:val="16"/>
                <w:color w:val="auto"/>
              </w:rPr>
              <w:t>Jan 21</w:t>
            </w:r>
          </w:p>
        </w:tc>
        <w:tc>
          <w:tcPr>
            <w:tcW w:w="140" w:type="dxa"/>
            <w:vAlign w:val="bottom"/>
            <w:tcBorders>
              <w:bottom w:val="single" w:sz="8" w:color="E7E7E3"/>
            </w:tcBorders>
            <w:shd w:val="clear" w:color="auto" w:fill="FEFEFE"/>
          </w:tcPr>
          <w:p>
            <w:pPr>
              <w:spacing w:after="0"/>
              <w:rPr>
                <w:sz w:val="19"/>
                <w:szCs w:val="19"/>
                <w:color w:val="auto"/>
              </w:rPr>
            </w:pPr>
          </w:p>
        </w:tc>
        <w:tc>
          <w:tcPr>
            <w:tcW w:w="8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00" w:type="dxa"/>
            <w:vAlign w:val="bottom"/>
            <w:tcBorders>
              <w:bottom w:val="single" w:sz="8" w:color="auto"/>
            </w:tcBorders>
            <w:gridSpan w:val="2"/>
            <w:shd w:val="clear" w:color="auto" w:fill="FEFEFE"/>
          </w:tcPr>
          <w:p>
            <w:pPr>
              <w:jc w:val="right"/>
              <w:ind w:right="240"/>
              <w:spacing w:after="0"/>
              <w:rPr>
                <w:sz w:val="20"/>
                <w:szCs w:val="20"/>
                <w:color w:val="auto"/>
              </w:rPr>
            </w:pPr>
            <w:r>
              <w:rPr>
                <w:rFonts w:ascii="Times New Roman" w:cs="Times New Roman" w:eastAsia="Times New Roman" w:hAnsi="Times New Roman"/>
                <w:sz w:val="16"/>
                <w:szCs w:val="16"/>
                <w:color w:val="auto"/>
              </w:rPr>
              <w:t>Jan 22</w:t>
            </w:r>
          </w:p>
        </w:tc>
        <w:tc>
          <w:tcPr>
            <w:tcW w:w="120" w:type="dxa"/>
            <w:vAlign w:val="bottom"/>
            <w:tcBorders>
              <w:bottom w:val="single" w:sz="8" w:color="E7E7E3"/>
            </w:tcBorders>
            <w:shd w:val="clear" w:color="auto" w:fill="FEFEFE"/>
          </w:tcPr>
          <w:p>
            <w:pPr>
              <w:spacing w:after="0"/>
              <w:rPr>
                <w:sz w:val="19"/>
                <w:szCs w:val="19"/>
                <w:color w:val="auto"/>
              </w:rPr>
            </w:pPr>
          </w:p>
        </w:tc>
        <w:tc>
          <w:tcPr>
            <w:tcW w:w="8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00" w:type="dxa"/>
            <w:vAlign w:val="bottom"/>
            <w:tcBorders>
              <w:bottom w:val="single" w:sz="8" w:color="auto"/>
            </w:tcBorders>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16"/>
                <w:szCs w:val="16"/>
                <w:color w:val="auto"/>
              </w:rPr>
              <w:t>Jan 23</w:t>
            </w:r>
          </w:p>
        </w:tc>
        <w:tc>
          <w:tcPr>
            <w:tcW w:w="140" w:type="dxa"/>
            <w:vAlign w:val="bottom"/>
            <w:tcBorders>
              <w:bottom w:val="single" w:sz="8" w:color="E7E7E3"/>
            </w:tcBorders>
            <w:shd w:val="clear" w:color="auto" w:fill="FEFEFE"/>
          </w:tcPr>
          <w:p>
            <w:pPr>
              <w:spacing w:after="0"/>
              <w:rPr>
                <w:sz w:val="19"/>
                <w:szCs w:val="19"/>
                <w:color w:val="auto"/>
              </w:rPr>
            </w:pPr>
          </w:p>
        </w:tc>
        <w:tc>
          <w:tcPr>
            <w:tcW w:w="8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00" w:type="dxa"/>
            <w:vAlign w:val="bottom"/>
            <w:tcBorders>
              <w:bottom w:val="single" w:sz="8" w:color="auto"/>
            </w:tcBorders>
            <w:gridSpan w:val="2"/>
            <w:shd w:val="clear" w:color="auto" w:fill="FEFEFE"/>
          </w:tcPr>
          <w:p>
            <w:pPr>
              <w:ind w:left="60"/>
              <w:spacing w:after="0"/>
              <w:rPr>
                <w:sz w:val="20"/>
                <w:szCs w:val="20"/>
                <w:color w:val="auto"/>
              </w:rPr>
            </w:pPr>
            <w:r>
              <w:rPr>
                <w:rFonts w:ascii="Times New Roman" w:cs="Times New Roman" w:eastAsia="Times New Roman" w:hAnsi="Times New Roman"/>
                <w:sz w:val="16"/>
                <w:szCs w:val="16"/>
                <w:color w:val="auto"/>
              </w:rPr>
              <w:t>Jan 24</w:t>
            </w:r>
          </w:p>
        </w:tc>
        <w:tc>
          <w:tcPr>
            <w:tcW w:w="12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760" w:type="dxa"/>
            <w:vAlign w:val="bottom"/>
            <w:tcBorders>
              <w:bottom w:val="single" w:sz="8" w:color="auto"/>
            </w:tcBorders>
            <w:gridSpan w:val="2"/>
            <w:shd w:val="clear" w:color="auto" w:fill="FEFEFE"/>
          </w:tcPr>
          <w:p>
            <w:pPr>
              <w:jc w:val="right"/>
              <w:ind w:right="240"/>
              <w:spacing w:after="0"/>
              <w:rPr>
                <w:sz w:val="20"/>
                <w:szCs w:val="20"/>
                <w:color w:val="auto"/>
              </w:rPr>
            </w:pPr>
            <w:r>
              <w:rPr>
                <w:rFonts w:ascii="Times New Roman" w:cs="Times New Roman" w:eastAsia="Times New Roman" w:hAnsi="Times New Roman"/>
                <w:sz w:val="16"/>
                <w:szCs w:val="16"/>
                <w:color w:val="auto"/>
              </w:rPr>
              <w:t>Jan 25</w:t>
            </w:r>
          </w:p>
        </w:tc>
        <w:tc>
          <w:tcPr>
            <w:tcW w:w="100" w:type="dxa"/>
            <w:vAlign w:val="bottom"/>
            <w:tcBorders>
              <w:bottom w:val="single" w:sz="8" w:color="E7E7E3"/>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E7E7E3"/>
          </w:tcPr>
          <w:p>
            <w:pPr>
              <w:spacing w:after="0" w:line="199" w:lineRule="exact"/>
              <w:rPr>
                <w:sz w:val="20"/>
                <w:szCs w:val="20"/>
                <w:color w:val="auto"/>
              </w:rPr>
            </w:pPr>
            <w:r>
              <w:rPr>
                <w:rFonts w:ascii="Times New Roman" w:cs="Times New Roman" w:eastAsia="Times New Roman" w:hAnsi="Times New Roman"/>
                <w:sz w:val="20"/>
                <w:szCs w:val="20"/>
                <w:color w:val="auto"/>
              </w:rPr>
              <w:t>Company/Index</w:t>
            </w:r>
          </w:p>
        </w:tc>
        <w:tc>
          <w:tcPr>
            <w:tcW w:w="10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70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5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5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5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shd w:val="clear" w:color="auto" w:fill="E7E7E3"/>
          </w:tcPr>
          <w:p>
            <w:pPr>
              <w:spacing w:after="0"/>
              <w:rPr>
                <w:sz w:val="17"/>
                <w:szCs w:val="17"/>
                <w:color w:val="auto"/>
              </w:rPr>
            </w:pPr>
          </w:p>
        </w:tc>
        <w:tc>
          <w:tcPr>
            <w:tcW w:w="5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62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Borders>
              <w:top w:val="single" w:sz="8" w:color="auto"/>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DXLG</w:t>
            </w:r>
          </w:p>
        </w:tc>
        <w:tc>
          <w:tcPr>
            <w:tcW w:w="3080" w:type="dxa"/>
            <w:vAlign w:val="bottom"/>
            <w:tcBorders>
              <w:top w:val="single" w:sz="8" w:color="E7E7E3"/>
            </w:tcBorders>
            <w:shd w:val="clear" w:color="auto" w:fill="FEFEFE"/>
          </w:tcPr>
          <w:p>
            <w:pPr>
              <w:spacing w:after="0"/>
              <w:rPr>
                <w:sz w:val="19"/>
                <w:szCs w:val="19"/>
                <w:color w:val="auto"/>
              </w:rPr>
            </w:pPr>
          </w:p>
        </w:tc>
        <w:tc>
          <w:tcPr>
            <w:tcW w:w="10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tcBorders>
              <w:top w:val="single" w:sz="8" w:color="E7E7E3"/>
            </w:tcBorders>
            <w:shd w:val="clear" w:color="auto" w:fill="FEFEFE"/>
          </w:tcPr>
          <w:p>
            <w:pPr>
              <w:spacing w:after="0"/>
              <w:rPr>
                <w:sz w:val="19"/>
                <w:szCs w:val="19"/>
                <w:color w:val="auto"/>
              </w:rPr>
            </w:pPr>
          </w:p>
        </w:tc>
        <w:tc>
          <w:tcPr>
            <w:tcW w:w="8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E7E7E3"/>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72.07</w:t>
            </w:r>
          </w:p>
        </w:tc>
        <w:tc>
          <w:tcPr>
            <w:tcW w:w="140" w:type="dxa"/>
            <w:vAlign w:val="bottom"/>
            <w:tcBorders>
              <w:top w:val="single" w:sz="8" w:color="E7E7E3"/>
            </w:tcBorders>
            <w:shd w:val="clear" w:color="auto" w:fill="FEFEFE"/>
          </w:tcPr>
          <w:p>
            <w:pPr>
              <w:spacing w:after="0"/>
              <w:rPr>
                <w:sz w:val="19"/>
                <w:szCs w:val="19"/>
                <w:color w:val="auto"/>
              </w:rPr>
            </w:pPr>
          </w:p>
        </w:tc>
        <w:tc>
          <w:tcPr>
            <w:tcW w:w="8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E7E7E3"/>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390.09</w:t>
            </w:r>
          </w:p>
        </w:tc>
        <w:tc>
          <w:tcPr>
            <w:tcW w:w="120" w:type="dxa"/>
            <w:vAlign w:val="bottom"/>
            <w:tcBorders>
              <w:top w:val="single" w:sz="8" w:color="E7E7E3"/>
            </w:tcBorders>
            <w:shd w:val="clear" w:color="auto" w:fill="FEFEFE"/>
          </w:tcPr>
          <w:p>
            <w:pPr>
              <w:spacing w:after="0"/>
              <w:rPr>
                <w:sz w:val="19"/>
                <w:szCs w:val="19"/>
                <w:color w:val="auto"/>
              </w:rPr>
            </w:pPr>
          </w:p>
        </w:tc>
        <w:tc>
          <w:tcPr>
            <w:tcW w:w="8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E7E7E3"/>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663.06</w:t>
            </w:r>
          </w:p>
        </w:tc>
        <w:tc>
          <w:tcPr>
            <w:tcW w:w="140" w:type="dxa"/>
            <w:vAlign w:val="bottom"/>
            <w:tcBorders>
              <w:top w:val="single" w:sz="8" w:color="E7E7E3"/>
            </w:tcBorders>
            <w:shd w:val="clear" w:color="auto" w:fill="FEFEFE"/>
          </w:tcPr>
          <w:p>
            <w:pPr>
              <w:spacing w:after="0"/>
              <w:rPr>
                <w:sz w:val="19"/>
                <w:szCs w:val="19"/>
                <w:color w:val="auto"/>
              </w:rPr>
            </w:pPr>
          </w:p>
        </w:tc>
        <w:tc>
          <w:tcPr>
            <w:tcW w:w="8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E7E7E3"/>
            </w:tcBorders>
            <w:gridSpan w:val="2"/>
            <w:shd w:val="clear" w:color="auto" w:fill="FEFEFE"/>
          </w:tcPr>
          <w:p>
            <w:pPr>
              <w:ind w:left="140"/>
              <w:spacing w:after="0"/>
              <w:rPr>
                <w:sz w:val="20"/>
                <w:szCs w:val="20"/>
                <w:color w:val="auto"/>
              </w:rPr>
            </w:pPr>
            <w:r>
              <w:rPr>
                <w:rFonts w:ascii="Times New Roman" w:cs="Times New Roman" w:eastAsia="Times New Roman" w:hAnsi="Times New Roman"/>
                <w:sz w:val="20"/>
                <w:szCs w:val="20"/>
                <w:color w:val="auto"/>
                <w:w w:val="98"/>
              </w:rPr>
              <w:t>374.77</w:t>
            </w:r>
          </w:p>
        </w:tc>
        <w:tc>
          <w:tcPr>
            <w:tcW w:w="120" w:type="dxa"/>
            <w:vAlign w:val="bottom"/>
            <w:tcBorders>
              <w:top w:val="single" w:sz="8" w:color="E7E7E3"/>
            </w:tcBorders>
            <w:shd w:val="clear" w:color="auto" w:fill="FEFEFE"/>
          </w:tcPr>
          <w:p>
            <w:pPr>
              <w:spacing w:after="0"/>
              <w:rPr>
                <w:sz w:val="19"/>
                <w:szCs w:val="19"/>
                <w:color w:val="auto"/>
              </w:rPr>
            </w:pPr>
          </w:p>
        </w:tc>
        <w:tc>
          <w:tcPr>
            <w:tcW w:w="100" w:type="dxa"/>
            <w:vAlign w:val="bottom"/>
            <w:tcBorders>
              <w:top w:val="single" w:sz="8" w:color="E7E7E3"/>
            </w:tcBorders>
            <w:shd w:val="clear" w:color="auto" w:fill="FEFEFE"/>
          </w:tcPr>
          <w:p>
            <w:pPr>
              <w:spacing w:after="0"/>
              <w:rPr>
                <w:sz w:val="19"/>
                <w:szCs w:val="19"/>
                <w:color w:val="auto"/>
              </w:rPr>
            </w:pPr>
          </w:p>
        </w:tc>
        <w:tc>
          <w:tcPr>
            <w:tcW w:w="10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E7E7E3"/>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245.05</w:t>
            </w:r>
          </w:p>
        </w:tc>
        <w:tc>
          <w:tcPr>
            <w:tcW w:w="100" w:type="dxa"/>
            <w:vAlign w:val="bottom"/>
            <w:tcBorders>
              <w:top w:val="single" w:sz="8" w:color="E7E7E3"/>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S&amp;P 500</w:t>
            </w:r>
          </w:p>
        </w:tc>
        <w:tc>
          <w:tcPr>
            <w:tcW w:w="10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3"/>
              </w:rPr>
              <w:t>$</w:t>
            </w:r>
          </w:p>
        </w:tc>
        <w:tc>
          <w:tcPr>
            <w:tcW w:w="7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3"/>
              </w:rPr>
              <w:t>115.15</w:t>
            </w: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3"/>
              </w:rPr>
              <w:t>$</w:t>
            </w:r>
          </w:p>
        </w:tc>
        <w:tc>
          <w:tcPr>
            <w:tcW w:w="7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3"/>
              </w:rPr>
              <w:t>137.40</w:t>
            </w:r>
          </w:p>
        </w:tc>
        <w:tc>
          <w:tcPr>
            <w:tcW w:w="12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3"/>
              </w:rPr>
              <w:t>$</w:t>
            </w:r>
          </w:p>
        </w:tc>
        <w:tc>
          <w:tcPr>
            <w:tcW w:w="7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3"/>
              </w:rPr>
              <w:t>126.20</w:t>
            </w:r>
          </w:p>
        </w:tc>
        <w:tc>
          <w:tcPr>
            <w:tcW w:w="14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3"/>
              </w:rPr>
              <w:t>$</w:t>
            </w:r>
          </w:p>
        </w:tc>
        <w:tc>
          <w:tcPr>
            <w:tcW w:w="700" w:type="dxa"/>
            <w:vAlign w:val="bottom"/>
            <w:gridSpan w:val="2"/>
            <w:shd w:val="clear" w:color="auto" w:fill="E7E7E3"/>
          </w:tcPr>
          <w:p>
            <w:pPr>
              <w:ind w:left="140"/>
              <w:spacing w:after="0"/>
              <w:rPr>
                <w:sz w:val="20"/>
                <w:szCs w:val="20"/>
                <w:color w:val="auto"/>
              </w:rPr>
            </w:pPr>
            <w:r>
              <w:rPr>
                <w:rFonts w:ascii="Times New Roman" w:cs="Times New Roman" w:eastAsia="Times New Roman" w:hAnsi="Times New Roman"/>
                <w:sz w:val="20"/>
                <w:szCs w:val="20"/>
                <w:color w:val="auto"/>
                <w:w w:val="98"/>
                <w:shd w:val="clear" w:color="auto" w:fill="E7E7E3"/>
              </w:rPr>
              <w:t>153.73</w:t>
            </w:r>
          </w:p>
        </w:tc>
        <w:tc>
          <w:tcPr>
            <w:tcW w:w="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3"/>
              </w:rPr>
              <w:t>$</w:t>
            </w:r>
          </w:p>
        </w:tc>
        <w:tc>
          <w:tcPr>
            <w:tcW w:w="76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3"/>
              </w:rPr>
              <w:t>187.27</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Dow Jones U.S. Apparel Retailers</w:t>
            </w: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106.22</w:t>
            </w: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114.78</w:t>
            </w:r>
          </w:p>
        </w:tc>
        <w:tc>
          <w:tcPr>
            <w:tcW w:w="1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124.59</w:t>
            </w:r>
          </w:p>
        </w:tc>
        <w:tc>
          <w:tcPr>
            <w:tcW w:w="1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shd w:val="clear" w:color="auto" w:fill="FEFEFE"/>
          </w:tcPr>
          <w:p>
            <w:pPr>
              <w:ind w:left="140"/>
              <w:spacing w:after="0"/>
              <w:rPr>
                <w:sz w:val="20"/>
                <w:szCs w:val="20"/>
                <w:color w:val="auto"/>
              </w:rPr>
            </w:pPr>
            <w:r>
              <w:rPr>
                <w:rFonts w:ascii="Times New Roman" w:cs="Times New Roman" w:eastAsia="Times New Roman" w:hAnsi="Times New Roman"/>
                <w:sz w:val="20"/>
                <w:szCs w:val="20"/>
                <w:color w:val="auto"/>
                <w:w w:val="98"/>
              </w:rPr>
              <w:t>141.23</w:t>
            </w: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173.20</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-1618615</wp:posOffset>
            </wp:positionV>
            <wp:extent cx="3240405" cy="152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0405" cy="15240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-1783080</wp:posOffset>
            </wp:positionV>
            <wp:extent cx="326517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65170" cy="31115"/>
                    </a:xfrm>
                    <a:prstGeom prst="rect">
                      <a:avLst/>
                    </a:prstGeom>
                    <a:noFill/>
                  </pic:spPr>
                </pic:pic>
              </a:graphicData>
            </a:graphic>
          </wp:anchor>
        </w:drawing>
      </w:r>
    </w:p>
    <w:p>
      <w:pPr>
        <w:spacing w:after="0" w:line="7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performance graph above shall not be deemed “filed” for purposes of Section 18 of the Exchange Act or otherwise subject to the liability of that section. This performance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Reserved</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1440" w:right="5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i w:val="1"/>
          <w:iCs w:val="1"/>
          <w:color w:val="auto"/>
        </w:rPr>
        <w:t>The following is a discussion and analysis of our financial condition and results of operations for fiscal 2024 as compared to fiscal 2023. Our Annual Report on Form 10-K for the year ended February 3, 2024 (fiscal 2023) includes a discussion and analysis of our financial condition and results of operations comparing fiscal 2023 to fiscal 2022 in Item 7 of Part II, “Management’s Discussion and Analysis of Financial Condition and Results of Operations.”</w:t>
      </w:r>
    </w:p>
    <w:p>
      <w:pPr>
        <w:spacing w:after="0" w:line="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noted above in Part I,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Annual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figures discussed below may not foot due to rounding.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We have two principal operating segments: our stores and direct business. We consider our stores and direct business segments to be similar in terms of economic characteristics, production processes and operations, and we have therefore aggregated them into one reportable segment consistent with our integrated commerce approach.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Comparable Sales and E-Commerce (Direct) Sales Definition</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Fiscal 2024 included 52 weeks as compared to fiscal 2023, which included 53 weeks. Accordingly, year-over-year comparisons of total sales for the fourth quarter and full year are affected by an extra week of sales in fiscal 2023. However, for comparable sales, the Company is reporting on a comparable weeks basis (i.e., the 13 and 52 weeks ended February 1, 2025 compared with the 13 and 52 weeks ended February 3, 2024).</w:t>
      </w:r>
    </w:p>
    <w:p>
      <w:pPr>
        <w:spacing w:after="0" w:line="7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Our customer’s shopping experience continues to evolve across multiple channels, and we are continually adapting to meet the customer's needs. The majority of our stores have the capability to fulfill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 up in a store or at curbside. We define store sales as sales that originate and are fulfilled directly at the store level. E-commerce sales, which we also refer to as direct sales, are defined as sales that originate online, whether through our website, at the store level, our Guest Engagement Center, or through a third-party marketplace.</w:t>
      </w:r>
    </w:p>
    <w:p>
      <w:pPr>
        <w:spacing w:after="0" w:line="8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9"/>
          <w:szCs w:val="19"/>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1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monitor certain financial measures other than those that are in accordance with U.S. generally accepted accounting principles (“GAAP”) on a regular basis in order to track the progress of our business. These non-GAAP financial measures include free cash flow, free cash flow before capital expenditures for store development, adjusted net income, adjusted net income per share, adjusted EBITDA and adjusted EBITDA margin. We believe that these measures provide helpful information with respect to the Company’s operating performance and that the inclusion of these measures is important to assist investors in comparing our performance in fiscal 2024 to fiscal 2023.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11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auto"/>
        </w:rPr>
        <w:t>Our fiscal year is a 52-week or 53-week period ending on the Saturday closest to January 31. Fiscal 2024 was a 52-week period and fiscal 2023 was a 53-week period.</w:t>
      </w:r>
    </w:p>
    <w:p>
      <w:pPr>
        <w:sectPr>
          <w:pgSz w:w="11880" w:h="15480" w:orient="portrait"/>
          <w:cols w:equalWidth="0" w:num="1">
            <w:col w:w="10780"/>
          </w:cols>
          <w:pgMar w:left="540" w:top="6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780"/>
          </w:cols>
          <w:pgMar w:left="540" w:top="653" w:right="5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OVERVIEW</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01"/>
        </w:trPr>
        <w:tc>
          <w:tcPr>
            <w:tcW w:w="53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360" w:type="dxa"/>
            <w:vAlign w:val="bottom"/>
            <w:gridSpan w:val="2"/>
            <w:shd w:val="clear" w:color="auto" w:fill="FEFEFE"/>
          </w:tcPr>
          <w:p>
            <w:pPr>
              <w:jc w:val="right"/>
              <w:ind w:right="480"/>
              <w:spacing w:after="0"/>
              <w:rPr>
                <w:sz w:val="20"/>
                <w:szCs w:val="20"/>
                <w:color w:val="auto"/>
              </w:rPr>
            </w:pPr>
            <w:r>
              <w:rPr>
                <w:rFonts w:ascii="Times New Roman" w:cs="Times New Roman" w:eastAsia="Times New Roman" w:hAnsi="Times New Roman"/>
                <w:sz w:val="16"/>
                <w:szCs w:val="16"/>
                <w:color w:val="auto"/>
              </w:rPr>
              <w:t>Fiscal 2024</w:t>
            </w:r>
          </w:p>
        </w:tc>
        <w:tc>
          <w:tcPr>
            <w:tcW w:w="200" w:type="dxa"/>
            <w:vAlign w:val="bottom"/>
            <w:shd w:val="clear" w:color="auto" w:fill="FEFEFE"/>
          </w:tcPr>
          <w:p>
            <w:pPr>
              <w:spacing w:after="0"/>
              <w:rPr>
                <w:sz w:val="17"/>
                <w:szCs w:val="17"/>
                <w:color w:val="auto"/>
              </w:rPr>
            </w:pPr>
          </w:p>
        </w:tc>
        <w:tc>
          <w:tcPr>
            <w:tcW w:w="1400" w:type="dxa"/>
            <w:vAlign w:val="bottom"/>
            <w:gridSpan w:val="2"/>
            <w:shd w:val="clear" w:color="auto" w:fill="FEFEFE"/>
          </w:tcPr>
          <w:p>
            <w:pPr>
              <w:jc w:val="right"/>
              <w:ind w:right="500"/>
              <w:spacing w:after="0"/>
              <w:rPr>
                <w:sz w:val="20"/>
                <w:szCs w:val="20"/>
                <w:color w:val="auto"/>
              </w:rPr>
            </w:pPr>
            <w:r>
              <w:rPr>
                <w:rFonts w:ascii="Times New Roman" w:cs="Times New Roman" w:eastAsia="Times New Roman" w:hAnsi="Times New Roman"/>
                <w:sz w:val="16"/>
                <w:szCs w:val="16"/>
                <w:color w:val="auto"/>
              </w:rPr>
              <w:t>Fiscal 2023</w:t>
            </w:r>
          </w:p>
        </w:tc>
      </w:tr>
      <w:tr>
        <w:trPr>
          <w:trHeight w:val="160"/>
        </w:trPr>
        <w:tc>
          <w:tcPr>
            <w:tcW w:w="5380" w:type="dxa"/>
            <w:vAlign w:val="bottom"/>
            <w:tcBorders>
              <w:top w:val="single" w:sz="8" w:color="FEFEFE"/>
            </w:tcBorders>
            <w:shd w:val="clear" w:color="auto" w:fill="FEFEFE"/>
          </w:tcPr>
          <w:p>
            <w:pPr>
              <w:spacing w:after="0"/>
              <w:rPr>
                <w:sz w:val="13"/>
                <w:szCs w:val="13"/>
                <w:color w:val="auto"/>
              </w:rPr>
            </w:pPr>
          </w:p>
        </w:tc>
        <w:tc>
          <w:tcPr>
            <w:tcW w:w="140" w:type="dxa"/>
            <w:vAlign w:val="bottom"/>
            <w:tcBorders>
              <w:top w:val="single" w:sz="8" w:color="FEFEFE"/>
            </w:tcBorders>
            <w:shd w:val="clear" w:color="auto" w:fill="FEFEFE"/>
          </w:tcPr>
          <w:p>
            <w:pPr>
              <w:spacing w:after="0"/>
              <w:rPr>
                <w:sz w:val="13"/>
                <w:szCs w:val="13"/>
                <w:color w:val="auto"/>
              </w:rPr>
            </w:pPr>
          </w:p>
        </w:tc>
        <w:tc>
          <w:tcPr>
            <w:tcW w:w="1180" w:type="dxa"/>
            <w:vAlign w:val="bottom"/>
            <w:tcBorders>
              <w:top w:val="single" w:sz="8" w:color="auto"/>
            </w:tcBorders>
            <w:gridSpan w:val="2"/>
            <w:shd w:val="clear" w:color="auto" w:fill="FEFEFE"/>
          </w:tcPr>
          <w:p>
            <w:pPr>
              <w:jc w:val="right"/>
              <w:spacing w:after="0" w:line="160" w:lineRule="exact"/>
              <w:rPr>
                <w:sz w:val="20"/>
                <w:szCs w:val="20"/>
                <w:color w:val="auto"/>
              </w:rPr>
            </w:pPr>
            <w:r>
              <w:rPr>
                <w:rFonts w:ascii="Times New Roman" w:cs="Times New Roman" w:eastAsia="Times New Roman" w:hAnsi="Times New Roman"/>
                <w:sz w:val="16"/>
                <w:szCs w:val="16"/>
                <w:i w:val="1"/>
                <w:iCs w:val="1"/>
                <w:color w:val="auto"/>
                <w:w w:val="94"/>
              </w:rPr>
              <w:t>(in millions, except</w:t>
            </w:r>
          </w:p>
        </w:tc>
        <w:tc>
          <w:tcPr>
            <w:tcW w:w="340" w:type="dxa"/>
            <w:vAlign w:val="bottom"/>
            <w:tcBorders>
              <w:top w:val="single" w:sz="8" w:color="FEFEFE"/>
            </w:tcBorders>
            <w:shd w:val="clear" w:color="auto" w:fill="FEFEFE"/>
          </w:tcPr>
          <w:p>
            <w:pPr>
              <w:jc w:val="right"/>
              <w:spacing w:after="0" w:line="160" w:lineRule="exact"/>
              <w:rPr>
                <w:sz w:val="20"/>
                <w:szCs w:val="20"/>
                <w:color w:val="auto"/>
              </w:rPr>
            </w:pPr>
            <w:r>
              <w:rPr>
                <w:rFonts w:ascii="Times New Roman" w:cs="Times New Roman" w:eastAsia="Times New Roman" w:hAnsi="Times New Roman"/>
                <w:sz w:val="16"/>
                <w:szCs w:val="16"/>
                <w:i w:val="1"/>
                <w:iCs w:val="1"/>
                <w:color w:val="auto"/>
              </w:rPr>
              <w:t>for</w:t>
            </w:r>
          </w:p>
        </w:tc>
        <w:tc>
          <w:tcPr>
            <w:tcW w:w="1300" w:type="dxa"/>
            <w:vAlign w:val="bottom"/>
            <w:tcBorders>
              <w:top w:val="single" w:sz="8" w:color="auto"/>
            </w:tcBorders>
            <w:gridSpan w:val="2"/>
            <w:shd w:val="clear" w:color="auto" w:fill="FEFEFE"/>
          </w:tcPr>
          <w:p>
            <w:pPr>
              <w:ind w:left="20"/>
              <w:spacing w:after="0" w:line="160" w:lineRule="exact"/>
              <w:rPr>
                <w:sz w:val="20"/>
                <w:szCs w:val="20"/>
                <w:color w:val="auto"/>
              </w:rPr>
            </w:pPr>
            <w:r>
              <w:rPr>
                <w:rFonts w:ascii="Times New Roman" w:cs="Times New Roman" w:eastAsia="Times New Roman" w:hAnsi="Times New Roman"/>
                <w:sz w:val="16"/>
                <w:szCs w:val="16"/>
                <w:i w:val="1"/>
                <w:iCs w:val="1"/>
                <w:color w:val="auto"/>
              </w:rPr>
              <w:t>percentage of sales</w:t>
            </w:r>
          </w:p>
        </w:tc>
        <w:tc>
          <w:tcPr>
            <w:tcW w:w="300" w:type="dxa"/>
            <w:vAlign w:val="bottom"/>
            <w:tcBorders>
              <w:top w:val="single" w:sz="8" w:color="FEFEFE"/>
            </w:tcBorders>
            <w:shd w:val="clear" w:color="auto" w:fill="FEFEFE"/>
          </w:tcPr>
          <w:p>
            <w:pPr>
              <w:jc w:val="right"/>
              <w:spacing w:after="0" w:line="160" w:lineRule="exact"/>
              <w:rPr>
                <w:sz w:val="20"/>
                <w:szCs w:val="20"/>
                <w:color w:val="auto"/>
              </w:rPr>
            </w:pPr>
            <w:r>
              <w:rPr>
                <w:rFonts w:ascii="Times New Roman" w:cs="Times New Roman" w:eastAsia="Times New Roman" w:hAnsi="Times New Roman"/>
                <w:sz w:val="16"/>
                <w:szCs w:val="16"/>
                <w:i w:val="1"/>
                <w:iCs w:val="1"/>
                <w:color w:val="auto"/>
                <w:w w:val="91"/>
              </w:rPr>
              <w:t>and</w:t>
            </w:r>
          </w:p>
        </w:tc>
      </w:tr>
      <w:tr>
        <w:trPr>
          <w:trHeight w:val="198"/>
        </w:trPr>
        <w:tc>
          <w:tcPr>
            <w:tcW w:w="53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2960" w:type="dxa"/>
            <w:vAlign w:val="bottom"/>
            <w:gridSpan w:val="5"/>
            <w:shd w:val="clear" w:color="auto" w:fill="FEFEFE"/>
          </w:tcPr>
          <w:p>
            <w:pPr>
              <w:jc w:val="right"/>
              <w:ind w:right="1000"/>
              <w:spacing w:after="0"/>
              <w:rPr>
                <w:sz w:val="20"/>
                <w:szCs w:val="20"/>
                <w:color w:val="auto"/>
              </w:rPr>
            </w:pPr>
            <w:r>
              <w:rPr>
                <w:rFonts w:ascii="Times New Roman" w:cs="Times New Roman" w:eastAsia="Times New Roman" w:hAnsi="Times New Roman"/>
                <w:sz w:val="16"/>
                <w:szCs w:val="16"/>
                <w:i w:val="1"/>
                <w:iCs w:val="1"/>
                <w:color w:val="auto"/>
              </w:rPr>
              <w:t>per share data)</w:t>
            </w: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Sales</w:t>
            </w:r>
          </w:p>
        </w:tc>
        <w:tc>
          <w:tcPr>
            <w:tcW w:w="3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467.0</w:t>
            </w: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Adjusted net income (Non-GAAP)</w:t>
            </w: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Adjusted EBITDA (Non-GAAP)</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020" w:type="dxa"/>
            <w:vAlign w:val="bottom"/>
            <w:shd w:val="clear" w:color="auto" w:fill="E7E7E3"/>
          </w:tcPr>
          <w:p>
            <w:pPr>
              <w:spacing w:after="0"/>
              <w:rPr>
                <w:sz w:val="19"/>
                <w:szCs w:val="19"/>
                <w:color w:val="auto"/>
              </w:rPr>
            </w:pP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Per diluted share:</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2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Adjusted net income (Non-GAAP)</w:t>
            </w:r>
          </w:p>
        </w:tc>
        <w:tc>
          <w:tcPr>
            <w:tcW w:w="3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020" w:type="dxa"/>
            <w:vAlign w:val="bottom"/>
            <w:shd w:val="clear" w:color="auto" w:fill="E7E7E3"/>
          </w:tcPr>
          <w:p>
            <w:pPr>
              <w:spacing w:after="0"/>
              <w:rPr>
                <w:sz w:val="19"/>
                <w:szCs w:val="19"/>
                <w:color w:val="auto"/>
              </w:rPr>
            </w:pP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As a percentage of sales:</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2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36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20"/>
                <w:szCs w:val="20"/>
                <w:color w:val="auto"/>
              </w:rPr>
              <w:t>46.5%</w:t>
            </w:r>
          </w:p>
        </w:tc>
        <w:tc>
          <w:tcPr>
            <w:tcW w:w="200" w:type="dxa"/>
            <w:vAlign w:val="bottom"/>
            <w:shd w:val="clear" w:color="auto" w:fill="E7E7E3"/>
          </w:tcPr>
          <w:p>
            <w:pPr>
              <w:spacing w:after="0"/>
              <w:rPr>
                <w:sz w:val="19"/>
                <w:szCs w:val="19"/>
                <w:color w:val="auto"/>
              </w:rPr>
            </w:pPr>
          </w:p>
        </w:tc>
        <w:tc>
          <w:tcPr>
            <w:tcW w:w="140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48.4%</w:t>
            </w: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SG&amp;A expenses</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36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42.5%</w:t>
            </w:r>
          </w:p>
        </w:tc>
        <w:tc>
          <w:tcPr>
            <w:tcW w:w="200" w:type="dxa"/>
            <w:vAlign w:val="bottom"/>
            <w:shd w:val="clear" w:color="auto" w:fill="FEFEFE"/>
          </w:tcPr>
          <w:p>
            <w:pPr>
              <w:spacing w:after="0"/>
              <w:rPr>
                <w:sz w:val="19"/>
                <w:szCs w:val="19"/>
                <w:color w:val="auto"/>
              </w:rPr>
            </w:pPr>
          </w:p>
        </w:tc>
        <w:tc>
          <w:tcPr>
            <w:tcW w:w="140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37.7%</w:t>
            </w: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Operating margin</w:t>
            </w: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36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20"/>
                <w:szCs w:val="20"/>
                <w:color w:val="auto"/>
              </w:rPr>
              <w:t>0.8%</w:t>
            </w:r>
          </w:p>
        </w:tc>
        <w:tc>
          <w:tcPr>
            <w:tcW w:w="200" w:type="dxa"/>
            <w:vAlign w:val="bottom"/>
            <w:shd w:val="clear" w:color="auto" w:fill="E7E7E3"/>
          </w:tcPr>
          <w:p>
            <w:pPr>
              <w:spacing w:after="0"/>
              <w:rPr>
                <w:sz w:val="19"/>
                <w:szCs w:val="19"/>
                <w:color w:val="auto"/>
              </w:rPr>
            </w:pPr>
          </w:p>
        </w:tc>
        <w:tc>
          <w:tcPr>
            <w:tcW w:w="140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Adjusted EBITDA margin (Non-GAAP)</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36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shd w:val="clear" w:color="auto" w:fill="FEFEFE"/>
          </w:tcPr>
          <w:p>
            <w:pPr>
              <w:spacing w:after="0"/>
              <w:rPr>
                <w:sz w:val="19"/>
                <w:szCs w:val="19"/>
                <w:color w:val="auto"/>
              </w:rPr>
            </w:pPr>
          </w:p>
        </w:tc>
        <w:tc>
          <w:tcPr>
            <w:tcW w:w="140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53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020" w:type="dxa"/>
            <w:vAlign w:val="bottom"/>
            <w:shd w:val="clear" w:color="auto" w:fill="E7E7E3"/>
          </w:tcPr>
          <w:p>
            <w:pPr>
              <w:spacing w:after="0"/>
              <w:rPr>
                <w:sz w:val="19"/>
                <w:szCs w:val="19"/>
                <w:color w:val="auto"/>
              </w:rPr>
            </w:pP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Liquidity:</w:t>
            </w:r>
          </w:p>
        </w:tc>
        <w:tc>
          <w:tcPr>
            <w:tcW w:w="14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020" w:type="dxa"/>
            <w:vAlign w:val="bottom"/>
            <w:shd w:val="clear" w:color="auto" w:fill="FEFEFE"/>
          </w:tcPr>
          <w:p>
            <w:pPr>
              <w:spacing w:after="0"/>
              <w:rPr>
                <w:sz w:val="19"/>
                <w:szCs w:val="19"/>
                <w:color w:val="auto"/>
              </w:rPr>
            </w:pP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3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300" w:type="dxa"/>
            <w:vAlign w:val="bottom"/>
            <w:shd w:val="clear" w:color="auto" w:fill="E7E7E3"/>
          </w:tcPr>
          <w:p>
            <w:pPr>
              <w:spacing w:after="0"/>
              <w:rPr>
                <w:sz w:val="19"/>
                <w:szCs w:val="19"/>
                <w:color w:val="auto"/>
              </w:rPr>
            </w:pPr>
          </w:p>
        </w:tc>
      </w:tr>
      <w:tr>
        <w:trPr>
          <w:trHeight w:val="230"/>
        </w:trPr>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Free cash flow (Non-GAAP)</w:t>
            </w:r>
          </w:p>
        </w:tc>
        <w:tc>
          <w:tcPr>
            <w:tcW w:w="3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3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300" w:type="dxa"/>
            <w:vAlign w:val="bottom"/>
            <w:shd w:val="clear" w:color="auto" w:fill="FEFEFE"/>
          </w:tcPr>
          <w:p>
            <w:pPr>
              <w:spacing w:after="0"/>
              <w:rPr>
                <w:sz w:val="19"/>
                <w:szCs w:val="19"/>
                <w:color w:val="auto"/>
              </w:rPr>
            </w:pPr>
          </w:p>
        </w:tc>
      </w:tr>
      <w:tr>
        <w:trPr>
          <w:trHeight w:val="230"/>
        </w:trPr>
        <w:tc>
          <w:tcPr>
            <w:tcW w:w="53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020" w:type="dxa"/>
            <w:vAlign w:val="bottom"/>
            <w:shd w:val="clear" w:color="auto" w:fill="E7E7E3"/>
          </w:tcPr>
          <w:p>
            <w:pPr>
              <w:spacing w:after="0"/>
              <w:rPr>
                <w:sz w:val="19"/>
                <w:szCs w:val="19"/>
                <w:color w:val="auto"/>
              </w:rPr>
            </w:pPr>
          </w:p>
        </w:tc>
        <w:tc>
          <w:tcPr>
            <w:tcW w:w="34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300" w:type="dxa"/>
            <w:vAlign w:val="bottom"/>
            <w:shd w:val="clear" w:color="auto" w:fill="E7E7E3"/>
          </w:tcPr>
          <w:p>
            <w:pPr>
              <w:spacing w:after="0"/>
              <w:rPr>
                <w:sz w:val="19"/>
                <w:szCs w:val="19"/>
                <w:color w:val="auto"/>
              </w:rPr>
            </w:pPr>
          </w:p>
        </w:tc>
      </w:tr>
    </w:tbl>
    <w:p>
      <w:pPr>
        <w:spacing w:after="0" w:line="2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financial results for fiscal 2024 were below expectations given a difficult men’s apparel sector that negatively impacted traffic levels to our stores and online conversion. We believe that our customers have pulled back from shopping for apparel and when they do shop, they have been very price conscious, gravitating toward our more moderate and entry-level price points. Our comparable sales for fiscal 2024 decreased 10.6%, with comparable sales from our stores down 9.6% and our direct business down 12.8%. Despite the disappointing sales performance, we have maintained our disciplined operating regimen and improved our merchandise margin, thereby enabling us to maintain profitability and positive free cash flow. Despite our diligence to manage operating expenses, certain elements of our cost structure, including occupancy expense, were deleveraged by the sales shortfall.</w:t>
      </w:r>
    </w:p>
    <w:p>
      <w:pPr>
        <w:spacing w:after="0" w:line="20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Net income for fiscal 2024 of $0.05 per diluted share included an impairment charge of $1.3 million and a non-recurring accrual for estimated legal settlement costs of $1.0 million. Net income for fiscal 2023 of $0.43 per diluted share included a non-recurring pretax charge of $5.7 million recognized in connection with the termination of our frozen retirement plans and an impairment charge of $0.1 million. Adjusting for these non-recurring charges and impairment charges, adjusted net income for fiscal 2024 was $0.07 per diluted share as compared to $0.50 per diluted share for fiscal 2023.</w:t>
      </w:r>
    </w:p>
    <w:p>
      <w:pPr>
        <w:spacing w:after="0" w:line="19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maintained a strong balance sheet with cash and investments of $48.4 million and a healthy inventory position, which was down 6.8% to fiscal 2023. We had no borrowings under our credit facility during fiscal 2024, and at February 1, 2025 our availability under our credit facility was $64.7 million. We generated cash flow from operations of $29.6 million and utilized $27.7 million for capital expenditures, resulting in free cash flow for fiscal 2024 of $1.9 million. Approximately $13.7 million of our $27.7 million in capital expenditures was spent on store development with the balance used primarily for technology projects, including our new e-commerce site. During fiscal 2024, we used our free cash flow, together with available cash on hand, to repurchase approximately $13.7 million, or 4.9 million shares of our common stock.</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We have not observed any improvement in the men's apparel market, and as we head into fiscal 2025 we believe that we will likely remain in a down sales cycle through at least the early half of fiscal 2025. As such, we are taking a measured and balanced approach to our business in fiscal 2025. Although we have a responsibility to grow the business, we are seeking to find the right balance between growth and a minimum level of profitability. While this orientation in balancing growth levels against profit is critical, it does force us to further prioritize our strategic objectives appropriately and with rigor. We believe that consumer sentiment among Big</w:t>
      </w:r>
    </w:p>
    <w:p>
      <w:pPr>
        <w:spacing w:after="0" w:line="3" w:lineRule="exact"/>
        <w:rPr>
          <w:sz w:val="20"/>
          <w:szCs w:val="20"/>
          <w:color w:val="auto"/>
        </w:rPr>
      </w:pPr>
    </w:p>
    <w:p>
      <w:pPr>
        <w:ind w:right="20"/>
        <w:spacing w:after="0" w:line="279" w:lineRule="auto"/>
        <w:tabs>
          <w:tab w:leader="none" w:pos="16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Tall consumers will recover over time and protecting the foundational infrastructure of the operations we have built will benefit top-line and bottom-line performance in the future.</w:t>
      </w:r>
    </w:p>
    <w:p>
      <w:pPr>
        <w:spacing w:after="0" w:line="16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We are monitoring the emerging situation with tariffs, and we have minimal exposure in China, Mexico and Canada. Collectively, these three countries represent less than 5% of our own-sourced product and we expect that the impact on gross margin in fiscal 2025 would be less than 10 basis points. However, our exposure could grow if tariffs become more widespread.</w:t>
      </w:r>
    </w:p>
    <w:p>
      <w:pPr>
        <w:sectPr>
          <w:pgSz w:w="11880" w:h="15480" w:orient="portrait"/>
          <w:cols w:equalWidth="0" w:num="1">
            <w:col w:w="10780"/>
          </w:cols>
          <w:pgMar w:left="540" w:top="65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780"/>
          </w:cols>
          <w:pgMar w:left="540" w:top="658" w:right="56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66"/>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SALES</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4"/>
        </w:trPr>
        <w:tc>
          <w:tcPr>
            <w:tcW w:w="33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FEFEFE"/>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680" w:type="dxa"/>
            <w:vAlign w:val="bottom"/>
            <w:tcBorders>
              <w:bottom w:val="single" w:sz="8" w:color="auto"/>
            </w:tcBorders>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color w:val="auto"/>
              </w:rPr>
              <w:t>Fiscal 2024</w:t>
            </w:r>
          </w:p>
        </w:tc>
        <w:tc>
          <w:tcPr>
            <w:tcW w:w="1580" w:type="dxa"/>
            <w:vAlign w:val="bottom"/>
            <w:tcBorders>
              <w:bottom w:val="single" w:sz="8" w:color="FEFEFE"/>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1860" w:type="dxa"/>
            <w:vAlign w:val="bottom"/>
            <w:tcBorders>
              <w:bottom w:val="single" w:sz="8" w:color="auto"/>
            </w:tcBorders>
            <w:shd w:val="clear" w:color="auto" w:fill="FEFEFE"/>
          </w:tcPr>
          <w:p>
            <w:pPr>
              <w:jc w:val="right"/>
              <w:ind w:right="560"/>
              <w:spacing w:after="0"/>
              <w:rPr>
                <w:sz w:val="20"/>
                <w:szCs w:val="20"/>
                <w:color w:val="auto"/>
              </w:rPr>
            </w:pPr>
            <w:r>
              <w:rPr>
                <w:rFonts w:ascii="Times New Roman" w:cs="Times New Roman" w:eastAsia="Times New Roman" w:hAnsi="Times New Roman"/>
                <w:sz w:val="20"/>
                <w:szCs w:val="20"/>
                <w:color w:val="auto"/>
              </w:rPr>
              <w:t>Fiscal 2023</w:t>
            </w:r>
          </w:p>
        </w:tc>
        <w:tc>
          <w:tcPr>
            <w:tcW w:w="1340" w:type="dxa"/>
            <w:vAlign w:val="bottom"/>
            <w:tcBorders>
              <w:bottom w:val="single" w:sz="8" w:color="FEFEFE"/>
            </w:tcBorders>
            <w:shd w:val="clear" w:color="auto" w:fill="FEFEFE"/>
          </w:tcPr>
          <w:p>
            <w:pPr>
              <w:spacing w:after="0"/>
              <w:rPr>
                <w:sz w:val="21"/>
                <w:szCs w:val="21"/>
                <w:color w:val="auto"/>
              </w:rPr>
            </w:pPr>
          </w:p>
        </w:tc>
      </w:tr>
      <w:tr>
        <w:trPr>
          <w:trHeight w:val="234"/>
        </w:trPr>
        <w:tc>
          <w:tcPr>
            <w:tcW w:w="33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Store sales</w:t>
            </w:r>
          </w:p>
        </w:tc>
        <w:tc>
          <w:tcPr>
            <w:tcW w:w="300" w:type="dxa"/>
            <w:vAlign w:val="bottom"/>
            <w:shd w:val="clear" w:color="auto" w:fill="FEFEFE"/>
          </w:tcPr>
          <w:p>
            <w:pPr>
              <w:spacing w:after="0"/>
              <w:rPr>
                <w:sz w:val="20"/>
                <w:szCs w:val="20"/>
                <w:color w:val="auto"/>
              </w:rPr>
            </w:pPr>
          </w:p>
        </w:tc>
        <w:tc>
          <w:tcPr>
            <w:tcW w:w="30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325,713</w:t>
            </w:r>
          </w:p>
        </w:tc>
        <w:tc>
          <w:tcPr>
            <w:tcW w:w="15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69.7%</w:t>
            </w:r>
          </w:p>
        </w:tc>
        <w:tc>
          <w:tcPr>
            <w:tcW w:w="380" w:type="dxa"/>
            <w:vAlign w:val="bottom"/>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358,710</w:t>
            </w:r>
          </w:p>
        </w:tc>
        <w:tc>
          <w:tcPr>
            <w:tcW w:w="134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6"/>
                <w:szCs w:val="16"/>
                <w:i w:val="1"/>
                <w:iCs w:val="1"/>
                <w:color w:val="auto"/>
              </w:rPr>
              <w:t>68.7%</w:t>
            </w:r>
          </w:p>
        </w:tc>
      </w:tr>
      <w:tr>
        <w:trPr>
          <w:trHeight w:val="244"/>
        </w:trPr>
        <w:tc>
          <w:tcPr>
            <w:tcW w:w="336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Direct sales</w:t>
            </w:r>
          </w:p>
        </w:tc>
        <w:tc>
          <w:tcPr>
            <w:tcW w:w="300" w:type="dxa"/>
            <w:vAlign w:val="bottom"/>
            <w:tcBorders>
              <w:bottom w:val="single" w:sz="8" w:color="FEFEFE"/>
            </w:tcBorders>
            <w:shd w:val="clear" w:color="auto" w:fill="E7E7E3"/>
          </w:tcPr>
          <w:p>
            <w:pPr>
              <w:spacing w:after="0"/>
              <w:rPr>
                <w:sz w:val="21"/>
                <w:szCs w:val="21"/>
                <w:color w:val="auto"/>
              </w:rPr>
            </w:pPr>
          </w:p>
        </w:tc>
        <w:tc>
          <w:tcPr>
            <w:tcW w:w="300" w:type="dxa"/>
            <w:vAlign w:val="bottom"/>
            <w:tcBorders>
              <w:bottom w:val="single" w:sz="8" w:color="auto"/>
            </w:tcBorders>
            <w:shd w:val="clear" w:color="auto" w:fill="E7E7E3"/>
          </w:tcPr>
          <w:p>
            <w:pPr>
              <w:spacing w:after="0"/>
              <w:rPr>
                <w:sz w:val="21"/>
                <w:szCs w:val="21"/>
                <w:color w:val="auto"/>
              </w:rPr>
            </w:pPr>
          </w:p>
        </w:tc>
        <w:tc>
          <w:tcPr>
            <w:tcW w:w="16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141,302</w:t>
            </w:r>
          </w:p>
        </w:tc>
        <w:tc>
          <w:tcPr>
            <w:tcW w:w="158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16"/>
                <w:szCs w:val="16"/>
                <w:i w:val="1"/>
                <w:iCs w:val="1"/>
                <w:color w:val="auto"/>
              </w:rPr>
              <w:t>30.3%</w:t>
            </w:r>
          </w:p>
        </w:tc>
        <w:tc>
          <w:tcPr>
            <w:tcW w:w="380" w:type="dxa"/>
            <w:vAlign w:val="bottom"/>
            <w:tcBorders>
              <w:bottom w:val="single" w:sz="8" w:color="auto"/>
            </w:tcBorders>
            <w:shd w:val="clear" w:color="auto" w:fill="E7E7E3"/>
          </w:tcPr>
          <w:p>
            <w:pPr>
              <w:spacing w:after="0"/>
              <w:rPr>
                <w:sz w:val="21"/>
                <w:szCs w:val="21"/>
                <w:color w:val="auto"/>
              </w:rPr>
            </w:pPr>
          </w:p>
        </w:tc>
        <w:tc>
          <w:tcPr>
            <w:tcW w:w="18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163,105</w:t>
            </w:r>
          </w:p>
        </w:tc>
        <w:tc>
          <w:tcPr>
            <w:tcW w:w="1340" w:type="dxa"/>
            <w:vAlign w:val="bottom"/>
            <w:tcBorders>
              <w:bottom w:val="single" w:sz="8" w:color="FEFEFE"/>
            </w:tcBorders>
            <w:shd w:val="clear" w:color="auto" w:fill="E7E7E3"/>
          </w:tcPr>
          <w:p>
            <w:pPr>
              <w:ind w:left="120"/>
              <w:spacing w:after="0"/>
              <w:rPr>
                <w:sz w:val="20"/>
                <w:szCs w:val="20"/>
                <w:color w:val="auto"/>
              </w:rPr>
            </w:pPr>
            <w:r>
              <w:rPr>
                <w:rFonts w:ascii="Times New Roman" w:cs="Times New Roman" w:eastAsia="Times New Roman" w:hAnsi="Times New Roman"/>
                <w:sz w:val="16"/>
                <w:szCs w:val="16"/>
                <w:i w:val="1"/>
                <w:iCs w:val="1"/>
                <w:color w:val="auto"/>
              </w:rPr>
              <w:t>31.3%</w:t>
            </w:r>
          </w:p>
        </w:tc>
      </w:tr>
      <w:tr>
        <w:trPr>
          <w:trHeight w:val="234"/>
        </w:trPr>
        <w:tc>
          <w:tcPr>
            <w:tcW w:w="33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sales</w:t>
            </w:r>
          </w:p>
        </w:tc>
        <w:tc>
          <w:tcPr>
            <w:tcW w:w="300" w:type="dxa"/>
            <w:vAlign w:val="bottom"/>
            <w:shd w:val="clear" w:color="auto" w:fill="FEFEFE"/>
          </w:tcPr>
          <w:p>
            <w:pPr>
              <w:spacing w:after="0"/>
              <w:rPr>
                <w:sz w:val="20"/>
                <w:szCs w:val="20"/>
                <w:color w:val="auto"/>
              </w:rPr>
            </w:pPr>
          </w:p>
        </w:tc>
        <w:tc>
          <w:tcPr>
            <w:tcW w:w="30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467,015</w:t>
            </w:r>
          </w:p>
        </w:tc>
        <w:tc>
          <w:tcPr>
            <w:tcW w:w="15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100.0%</w:t>
            </w:r>
          </w:p>
        </w:tc>
        <w:tc>
          <w:tcPr>
            <w:tcW w:w="380" w:type="dxa"/>
            <w:vAlign w:val="bottom"/>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521,815</w:t>
            </w:r>
          </w:p>
        </w:tc>
        <w:tc>
          <w:tcPr>
            <w:tcW w:w="134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6"/>
                <w:szCs w:val="16"/>
                <w:i w:val="1"/>
                <w:iCs w:val="1"/>
                <w:color w:val="auto"/>
              </w:rPr>
              <w:t>100.0%</w:t>
            </w:r>
          </w:p>
        </w:tc>
      </w:tr>
    </w:tbl>
    <w:p>
      <w:pPr>
        <w:spacing w:after="0" w:line="2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For fiscal 2024, total sales decreased 10.5% to $467.0 million from $521.8 million for fiscal 2023. The decrease was primarily due to a decrease in comparable sales of 10.6%, with stores down 9.6% and the direct business down 12.8% and the impact of the 53rd week in fiscal 2023, partially offset by an increase in non-comparable store sales and reduced loyalty program costs. Sales for the 53rd week of fiscal 2023 were $7.1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15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For fiscal 2024, gross margin, inclusive of occupancy costs, was 46.5% compared to 48.4% for fiscal 2023. The decrease of 190 basis points was due to an increase of 230 basis points in occupancy costs, as a percentage of sales, primarily due to the deleveraging from lower sales and increased rents from lease extensions. Merchandise margin for fiscal 2024 increased 40 basis points due to favorable outbound shipping costs, a shift in product mix, and a decrease in loyalty expense partially offset by an increase in markdown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1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(“SG&amp;A”) expenses were $198.3 million, or 42.5% of sales, for fiscal 2024 as compared to $196.5 million, or 37.7% of sales, for fiscal 2023. Despite a modest increase of $1.8 million, or 0.9%, SG&amp;A expenses, as a percentage of sales, were deleveraged by 480 basis point due to the lower sales base. The increase of $1.8 million was due to an increase in marketing costs, which included our brand campaign in the second quarter, an increase in healthcare costs and technology costs as well as a $1.0 million accrual for estimated non-recurring legal settlement costs. SG&amp;A expenses for fiscal 2023 also included costs for the 53rd week of approximately $2.7 million.</w:t>
      </w:r>
    </w:p>
    <w:p>
      <w:pPr>
        <w:spacing w:after="0" w:line="8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auto"/>
        </w:rPr>
        <w:t>For fiscal 2024, marketing costs were 6.8% of sales as compared to 5.9% in fiscal 2023. For fiscal 2025, we expect our marketing costs to be approximately 6.0% of sales, and we do not plan to pursue our brand awareness campaign at this time.</w:t>
      </w:r>
    </w:p>
    <w:p>
      <w:pPr>
        <w:spacing w:after="0" w:line="8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24.1% of sales for fiscal 2024 as compared to 21.3% of sales for fiscal 2023. Corporate Support Costs, which include the distribution center and corporate overhead costs, represented 18.4% of sales for fiscal 2024 as compared to 16.4% of sales for fiscal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(GAIN) OF ASSETS</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For fiscal 2024, the Company recorded a total asset impairment charge of $1.3 million for certain store property. For fiscal 2023, the Company recorded a total asset impairment charge of $0.1 million, which included a write-down for certain store property and equipment and operating lease right-of-use assets.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1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Depreciation and amortization expense for fiscal 2024 was $13.9 million, as compared to $13.8 million in fiscal 2023. The slight increase in depreciation and amortization expense reflects the increase in capital expenditures over the past few years as we invest in our stores, e-commerce and other technology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FROM TERMINATION OF RETIREMENT PLANS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During fiscal 2023, we terminated the frozen Casual Male Noncontributory Pension Plan “Casual Male Corp. Retirement Plan,” which was previously known as the J. Baker, Inc. Qualified Plan (the “Pension Plan”) and the frozen Casual Male Supplemental Executive Retirement Plan (the “SERP”). Through the purchase of nonparticipating annuities, we completed a final settlement of the SERP in the third quarter and a final settlement of the Pension Plan in the fourth quarter.</w:t>
      </w:r>
    </w:p>
    <w:p>
      <w:pPr>
        <w:spacing w:after="0" w:line="70" w:lineRule="exact"/>
        <w:rPr>
          <w:sz w:val="20"/>
          <w:szCs w:val="20"/>
          <w:color w:val="auto"/>
        </w:rPr>
      </w:pPr>
    </w:p>
    <w:p>
      <w:pPr>
        <w:ind w:right="1020"/>
        <w:spacing w:after="0" w:line="279" w:lineRule="auto"/>
        <w:rPr>
          <w:sz w:val="20"/>
          <w:szCs w:val="20"/>
          <w:color w:val="auto"/>
        </w:rPr>
      </w:pPr>
      <w:r>
        <w:rPr>
          <w:rFonts w:ascii="Times New Roman" w:cs="Times New Roman" w:eastAsia="Times New Roman" w:hAnsi="Times New Roman"/>
          <w:sz w:val="20"/>
          <w:szCs w:val="20"/>
          <w:color w:val="auto"/>
        </w:rPr>
        <w:t>For fiscal 2023, we recognized a charge of $ 5.7 million representing the recognition of the unrealized loss that was part of Accumulated Other Comprehensive Loss on the Consolidated Balance Sheet.</w:t>
      </w:r>
    </w:p>
    <w:p>
      <w:pPr>
        <w:sectPr>
          <w:pgSz w:w="11880" w:h="15480" w:orient="portrait"/>
          <w:cols w:equalWidth="0" w:num="1">
            <w:col w:w="10800"/>
          </w:cols>
          <w:pgMar w:left="540" w:top="658" w:right="54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658" w:right="54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18"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0"/>
          <w:szCs w:val="20"/>
          <w:color w:val="auto"/>
        </w:rPr>
        <w:t>Net interest income for fiscal 2024 and fiscal 2023 was $2.1 million for each period. We invest excess cash in short-term, US government-backed investments. Interest costs for both fiscal years were immaterial because we had no outstanding debt and no borrowings under our credit facility during either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0"/>
          <w:szCs w:val="20"/>
          <w:color w:val="auto"/>
        </w:rPr>
        <w:t>For fiscal 2024 and fiscal 2023, the Company’s effective tax rate was 47.5% and 27.4%, respectively. The increase in the effective tax rate in fiscal 2024 was primarily due to permanent book-to-tax differences combined with a lower pretax income as compared to fiscal 2023. See Note F to the Consolidated Financial Statements.</w:t>
      </w:r>
    </w:p>
    <w:p>
      <w:pPr>
        <w:spacing w:after="0" w:line="6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At February 1, 2025, we have a valuation allowance of $1.5 million, primarily against certain state and foreign net operating losses ("NOLs").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Realization of our deferred tax assets, which relate principally to federal net operating loss carryforwards, of which approximately</w:t>
      </w: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$3.4 million will expire in fiscal 2037 and $39.9 million that do not expire, is dependent on generating sufficient taxable income. For state income tax purposes, we have $38.3 million of net operating losses that are available to offset future taxable income, the majority of which will expire from fiscal 2025 through fiscal 2045. The utilization of our NOLs reduces our taxable income and, as a result, we have minimal cash taxes.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w:t>
      </w:r>
    </w:p>
    <w:p>
      <w:pPr>
        <w:spacing w:after="0" w:line="118"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20"/>
          <w:szCs w:val="20"/>
          <w:color w:val="auto"/>
        </w:rPr>
        <w:t>Net income for fiscal 2024 was $3.1 million, or $0.05 per diluted share, as compared to a net income for fiscal 2023 of $27.9 million, or $0.43 per diluted share. Net income for fiscal 2023 included net income for the 53rd week, which was approximately $1.2 million.</w:t>
      </w:r>
    </w:p>
    <w:p>
      <w:pPr>
        <w:spacing w:after="0" w:line="45"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color w:val="auto"/>
        </w:rPr>
        <w:t>On a non-GAAP basis, adjusting for any asset impairment (gain), accrual for estimated non-recurring legal settlement costs and the loss from the termination of the retirement plans, adjusted net income for fiscal 2024 was $4.3 million, or $0.07 per diluted share, as compared to adjusted net income of $32.1 million, or $0.50 per diluted share for fiscal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 comparison of sales in each quarter of the past two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(Certain columns may not foot due to rounding.)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w w:val="98"/>
              </w:rPr>
              <w:t>(in millions, except percentages)</w:t>
            </w:r>
          </w:p>
        </w:tc>
        <w:tc>
          <w:tcPr>
            <w:tcW w:w="3480" w:type="dxa"/>
            <w:vAlign w:val="bottom"/>
            <w:tcBorders>
              <w:bottom w:val="single" w:sz="8" w:color="FEFEFE"/>
            </w:tcBorders>
            <w:shd w:val="clear" w:color="auto" w:fill="FEFEFE"/>
          </w:tcPr>
          <w:p>
            <w:pPr>
              <w:spacing w:after="0"/>
              <w:rPr>
                <w:sz w:val="16"/>
                <w:szCs w:val="16"/>
                <w:color w:val="auto"/>
              </w:rPr>
            </w:pPr>
          </w:p>
        </w:tc>
        <w:tc>
          <w:tcPr>
            <w:tcW w:w="360" w:type="dxa"/>
            <w:vAlign w:val="bottom"/>
            <w:tcBorders>
              <w:bottom w:val="single" w:sz="8" w:color="FEFEFE"/>
            </w:tcBorders>
            <w:shd w:val="clear" w:color="auto" w:fill="FEFEFE"/>
          </w:tcPr>
          <w:p>
            <w:pPr>
              <w:spacing w:after="0"/>
              <w:rPr>
                <w:sz w:val="16"/>
                <w:szCs w:val="16"/>
                <w:color w:val="auto"/>
              </w:rPr>
            </w:pPr>
          </w:p>
        </w:tc>
        <w:tc>
          <w:tcPr>
            <w:tcW w:w="1360" w:type="dxa"/>
            <w:vAlign w:val="bottom"/>
            <w:tcBorders>
              <w:bottom w:val="single" w:sz="8" w:color="FEFEFE"/>
            </w:tcBorders>
            <w:gridSpan w:val="3"/>
            <w:shd w:val="clear" w:color="auto" w:fill="FEFEFE"/>
          </w:tcPr>
          <w:p>
            <w:pPr>
              <w:ind w:left="440"/>
              <w:spacing w:after="0"/>
              <w:rPr>
                <w:sz w:val="20"/>
                <w:szCs w:val="20"/>
                <w:color w:val="auto"/>
              </w:rPr>
            </w:pPr>
            <w:r>
              <w:rPr>
                <w:rFonts w:ascii="Times New Roman" w:cs="Times New Roman" w:eastAsia="Times New Roman" w:hAnsi="Times New Roman"/>
                <w:sz w:val="16"/>
                <w:szCs w:val="16"/>
                <w:color w:val="auto"/>
              </w:rPr>
              <w:t>Fiscal 2024</w:t>
            </w:r>
          </w:p>
        </w:tc>
        <w:tc>
          <w:tcPr>
            <w:tcW w:w="620" w:type="dxa"/>
            <w:vAlign w:val="bottom"/>
            <w:tcBorders>
              <w:bottom w:val="single" w:sz="8" w:color="FEFEFE"/>
            </w:tcBorders>
            <w:shd w:val="clear" w:color="auto" w:fill="FEFEFE"/>
          </w:tcPr>
          <w:p>
            <w:pPr>
              <w:spacing w:after="0"/>
              <w:rPr>
                <w:sz w:val="16"/>
                <w:szCs w:val="16"/>
                <w:color w:val="auto"/>
              </w:rPr>
            </w:pPr>
          </w:p>
        </w:tc>
        <w:tc>
          <w:tcPr>
            <w:tcW w:w="320" w:type="dxa"/>
            <w:vAlign w:val="bottom"/>
            <w:tcBorders>
              <w:bottom w:val="single" w:sz="8" w:color="FEFEFE"/>
            </w:tcBorders>
            <w:shd w:val="clear" w:color="auto" w:fill="FEFEFE"/>
          </w:tcPr>
          <w:p>
            <w:pPr>
              <w:spacing w:after="0"/>
              <w:rPr>
                <w:sz w:val="16"/>
                <w:szCs w:val="16"/>
                <w:color w:val="auto"/>
              </w:rPr>
            </w:pPr>
          </w:p>
        </w:tc>
        <w:tc>
          <w:tcPr>
            <w:tcW w:w="360" w:type="dxa"/>
            <w:vAlign w:val="bottom"/>
            <w:tcBorders>
              <w:bottom w:val="single" w:sz="8" w:color="FEFEFE"/>
            </w:tcBorders>
            <w:shd w:val="clear" w:color="auto" w:fill="FEFEFE"/>
          </w:tcPr>
          <w:p>
            <w:pPr>
              <w:spacing w:after="0"/>
              <w:rPr>
                <w:sz w:val="16"/>
                <w:szCs w:val="16"/>
                <w:color w:val="auto"/>
              </w:rPr>
            </w:pPr>
          </w:p>
        </w:tc>
        <w:tc>
          <w:tcPr>
            <w:tcW w:w="1400" w:type="dxa"/>
            <w:vAlign w:val="bottom"/>
            <w:tcBorders>
              <w:bottom w:val="single" w:sz="8" w:color="FEFEFE"/>
            </w:tcBorders>
            <w:gridSpan w:val="3"/>
            <w:shd w:val="clear" w:color="auto" w:fill="FEFEFE"/>
          </w:tcPr>
          <w:p>
            <w:pPr>
              <w:ind w:left="460"/>
              <w:spacing w:after="0"/>
              <w:rPr>
                <w:sz w:val="20"/>
                <w:szCs w:val="20"/>
                <w:color w:val="auto"/>
              </w:rPr>
            </w:pPr>
            <w:r>
              <w:rPr>
                <w:rFonts w:ascii="Times New Roman" w:cs="Times New Roman" w:eastAsia="Times New Roman" w:hAnsi="Times New Roman"/>
                <w:sz w:val="16"/>
                <w:szCs w:val="16"/>
                <w:color w:val="auto"/>
              </w:rPr>
              <w:t>Fiscal 2023</w:t>
            </w:r>
          </w:p>
        </w:tc>
        <w:tc>
          <w:tcPr>
            <w:tcW w:w="640" w:type="dxa"/>
            <w:vAlign w:val="bottom"/>
            <w:tcBorders>
              <w:bottom w:val="single" w:sz="8" w:color="FEFEFE"/>
            </w:tcBorders>
            <w:shd w:val="clear" w:color="auto" w:fill="FEFEFE"/>
          </w:tcPr>
          <w:p>
            <w:pPr>
              <w:spacing w:after="0"/>
              <w:rPr>
                <w:sz w:val="16"/>
                <w:szCs w:val="16"/>
                <w:color w:val="auto"/>
              </w:rPr>
            </w:pPr>
          </w:p>
        </w:tc>
        <w:tc>
          <w:tcPr>
            <w:tcW w:w="180" w:type="dxa"/>
            <w:vAlign w:val="bottom"/>
            <w:tcBorders>
              <w:bottom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E7E7E3"/>
          </w:tcPr>
          <w:p>
            <w:pPr>
              <w:spacing w:after="0"/>
              <w:rPr>
                <w:sz w:val="20"/>
                <w:szCs w:val="20"/>
                <w:color w:val="auto"/>
              </w:rPr>
            </w:pPr>
            <w:r>
              <w:rPr>
                <w:rFonts w:ascii="Times New Roman" w:cs="Times New Roman" w:eastAsia="Times New Roman" w:hAnsi="Times New Roman"/>
                <w:sz w:val="20"/>
                <w:szCs w:val="20"/>
                <w:color w:val="auto"/>
              </w:rPr>
              <w:t>First quarter</w:t>
            </w:r>
          </w:p>
        </w:tc>
        <w:tc>
          <w:tcPr>
            <w:tcW w:w="3480" w:type="dxa"/>
            <w:vAlign w:val="bottom"/>
            <w:shd w:val="clear" w:color="auto" w:fill="E7E7E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vMerge w:val="continue"/>
            <w:shd w:val="clear" w:color="auto" w:fill="E7E7E3"/>
          </w:tcPr>
          <w:p>
            <w:pPr>
              <w:spacing w:after="0"/>
              <w:rPr>
                <w:sz w:val="18"/>
                <w:szCs w:val="18"/>
                <w:color w:val="auto"/>
              </w:rPr>
            </w:pPr>
          </w:p>
        </w:tc>
        <w:tc>
          <w:tcPr>
            <w:tcW w:w="3480" w:type="dxa"/>
            <w:vAlign w:val="bottom"/>
            <w:shd w:val="clear" w:color="auto" w:fill="E7E7E3"/>
          </w:tcPr>
          <w:p>
            <w:pPr>
              <w:spacing w:after="0"/>
              <w:rPr>
                <w:sz w:val="18"/>
                <w:szCs w:val="18"/>
                <w:color w:val="auto"/>
              </w:rPr>
            </w:pPr>
          </w:p>
        </w:tc>
        <w:tc>
          <w:tcPr>
            <w:tcW w:w="36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115.5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40"/>
              <w:spacing w:after="0" w:line="217" w:lineRule="exact"/>
              <w:rPr>
                <w:sz w:val="20"/>
                <w:szCs w:val="20"/>
                <w:color w:val="auto"/>
              </w:rPr>
            </w:pPr>
            <w:r>
              <w:rPr>
                <w:rFonts w:ascii="Times New Roman" w:cs="Times New Roman" w:eastAsia="Times New Roman" w:hAnsi="Times New Roman"/>
                <w:sz w:val="20"/>
                <w:szCs w:val="20"/>
                <w:color w:val="auto"/>
              </w:rPr>
              <w:t>24.7%</w:t>
            </w:r>
          </w:p>
        </w:tc>
        <w:tc>
          <w:tcPr>
            <w:tcW w:w="36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125.4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line="217" w:lineRule="exact"/>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30"/>
        </w:trPr>
        <w:tc>
          <w:tcPr>
            <w:tcW w:w="20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3480" w:type="dxa"/>
            <w:vAlign w:val="bottom"/>
            <w:shd w:val="clear" w:color="auto" w:fill="FEFEFE"/>
          </w:tcPr>
          <w:p>
            <w:pPr>
              <w:spacing w:after="0"/>
              <w:rPr>
                <w:sz w:val="19"/>
                <w:szCs w:val="19"/>
                <w:color w:val="auto"/>
              </w:rPr>
            </w:pPr>
          </w:p>
        </w:tc>
        <w:tc>
          <w:tcPr>
            <w:tcW w:w="360" w:type="dxa"/>
            <w:vAlign w:val="bottom"/>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124.8</w:t>
            </w:r>
          </w:p>
        </w:tc>
        <w:tc>
          <w:tcPr>
            <w:tcW w:w="20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9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20"/>
                <w:szCs w:val="20"/>
                <w:color w:val="auto"/>
              </w:rPr>
              <w:t>26.7%</w:t>
            </w:r>
          </w:p>
        </w:tc>
        <w:tc>
          <w:tcPr>
            <w:tcW w:w="360" w:type="dxa"/>
            <w:vAlign w:val="bottom"/>
            <w:shd w:val="clear" w:color="auto" w:fill="FEFEFE"/>
          </w:tcPr>
          <w:p>
            <w:pPr>
              <w:spacing w:after="0"/>
              <w:rPr>
                <w:sz w:val="19"/>
                <w:szCs w:val="19"/>
                <w:color w:val="auto"/>
              </w:rPr>
            </w:pPr>
          </w:p>
        </w:tc>
        <w:tc>
          <w:tcPr>
            <w:tcW w:w="7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24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8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230"/>
        </w:trPr>
        <w:tc>
          <w:tcPr>
            <w:tcW w:w="20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384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0" w:type="dxa"/>
            <w:vAlign w:val="bottom"/>
            <w:shd w:val="clear" w:color="auto" w:fill="E7E7E3"/>
          </w:tcPr>
          <w:p>
            <w:pPr>
              <w:spacing w:after="0"/>
              <w:rPr>
                <w:sz w:val="19"/>
                <w:szCs w:val="19"/>
                <w:color w:val="auto"/>
              </w:rPr>
            </w:pPr>
          </w:p>
        </w:tc>
        <w:tc>
          <w:tcPr>
            <w:tcW w:w="440" w:type="dxa"/>
            <w:vAlign w:val="bottom"/>
            <w:shd w:val="clear" w:color="auto" w:fill="E7E7E3"/>
          </w:tcPr>
          <w:p>
            <w:pPr>
              <w:spacing w:after="0"/>
              <w:rPr>
                <w:sz w:val="19"/>
                <w:szCs w:val="19"/>
                <w:color w:val="auto"/>
              </w:rPr>
            </w:pPr>
          </w:p>
        </w:tc>
        <w:tc>
          <w:tcPr>
            <w:tcW w:w="9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20"/>
                <w:szCs w:val="20"/>
                <w:color w:val="auto"/>
              </w:rPr>
              <w:t>23.0%</w:t>
            </w:r>
          </w:p>
        </w:tc>
        <w:tc>
          <w:tcPr>
            <w:tcW w:w="360" w:type="dxa"/>
            <w:vAlign w:val="bottom"/>
            <w:shd w:val="clear" w:color="auto" w:fill="E7E7E3"/>
          </w:tcPr>
          <w:p>
            <w:pPr>
              <w:spacing w:after="0"/>
              <w:rPr>
                <w:sz w:val="19"/>
                <w:szCs w:val="19"/>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240" w:type="dxa"/>
            <w:vAlign w:val="bottom"/>
            <w:shd w:val="clear" w:color="auto" w:fill="E7E7E3"/>
          </w:tcPr>
          <w:p>
            <w:pPr>
              <w:spacing w:after="0"/>
              <w:rPr>
                <w:sz w:val="19"/>
                <w:szCs w:val="19"/>
                <w:color w:val="auto"/>
              </w:rPr>
            </w:pPr>
          </w:p>
        </w:tc>
        <w:tc>
          <w:tcPr>
            <w:tcW w:w="440" w:type="dxa"/>
            <w:vAlign w:val="bottom"/>
            <w:shd w:val="clear" w:color="auto" w:fill="E7E7E3"/>
          </w:tcPr>
          <w:p>
            <w:pPr>
              <w:spacing w:after="0"/>
              <w:rPr>
                <w:sz w:val="19"/>
                <w:szCs w:val="19"/>
                <w:color w:val="auto"/>
              </w:rPr>
            </w:pPr>
          </w:p>
        </w:tc>
        <w:tc>
          <w:tcPr>
            <w:tcW w:w="82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30"/>
        </w:trPr>
        <w:tc>
          <w:tcPr>
            <w:tcW w:w="20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3480" w:type="dxa"/>
            <w:vAlign w:val="bottom"/>
            <w:shd w:val="clear" w:color="auto" w:fill="FEFEFE"/>
          </w:tcPr>
          <w:p>
            <w:pPr>
              <w:spacing w:after="0"/>
              <w:rPr>
                <w:sz w:val="19"/>
                <w:szCs w:val="19"/>
                <w:color w:val="auto"/>
              </w:rPr>
            </w:pPr>
          </w:p>
        </w:tc>
        <w:tc>
          <w:tcPr>
            <w:tcW w:w="360" w:type="dxa"/>
            <w:vAlign w:val="bottom"/>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200" w:type="dxa"/>
            <w:vAlign w:val="bottom"/>
            <w:shd w:val="clear" w:color="auto" w:fill="FEFEF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25.5%</w:t>
            </w:r>
          </w:p>
        </w:tc>
        <w:tc>
          <w:tcPr>
            <w:tcW w:w="360" w:type="dxa"/>
            <w:vAlign w:val="bottom"/>
            <w:shd w:val="clear" w:color="auto" w:fill="FEFEFE"/>
          </w:tcPr>
          <w:p>
            <w:pPr>
              <w:spacing w:after="0"/>
              <w:rPr>
                <w:sz w:val="19"/>
                <w:szCs w:val="19"/>
                <w:color w:val="auto"/>
              </w:rPr>
            </w:pPr>
          </w:p>
        </w:tc>
        <w:tc>
          <w:tcPr>
            <w:tcW w:w="7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0"/>
        </w:trPr>
        <w:tc>
          <w:tcPr>
            <w:tcW w:w="2080" w:type="dxa"/>
            <w:vAlign w:val="bottom"/>
            <w:tcBorders>
              <w:bottom w:val="single" w:sz="8" w:color="E7E7E3"/>
            </w:tcBorders>
            <w:shd w:val="clear" w:color="auto" w:fill="E7E7E3"/>
          </w:tcPr>
          <w:p>
            <w:pPr>
              <w:spacing w:after="0" w:line="20" w:lineRule="exact"/>
              <w:rPr>
                <w:sz w:val="1"/>
                <w:szCs w:val="1"/>
                <w:color w:val="auto"/>
              </w:rPr>
            </w:pPr>
          </w:p>
        </w:tc>
        <w:tc>
          <w:tcPr>
            <w:tcW w:w="3480" w:type="dxa"/>
            <w:vAlign w:val="bottom"/>
            <w:tcBorders>
              <w:bottom w:val="single" w:sz="8" w:color="E7E7E3"/>
            </w:tcBorders>
            <w:shd w:val="clear" w:color="auto" w:fill="E7E7E3"/>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E7E7E3"/>
            </w:tcBorders>
            <w:shd w:val="clear" w:color="auto" w:fill="E7E7E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bottom w:val="single" w:sz="8" w:color="E7E7E3"/>
            </w:tcBorders>
            <w:shd w:val="clear" w:color="auto" w:fill="E7E7E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80" w:type="dxa"/>
            <w:vAlign w:val="bottom"/>
            <w:shd w:val="clear" w:color="auto" w:fill="E7E7E3"/>
          </w:tcPr>
          <w:p>
            <w:pPr>
              <w:spacing w:after="0"/>
              <w:rPr>
                <w:sz w:val="17"/>
                <w:szCs w:val="17"/>
                <w:color w:val="auto"/>
              </w:rPr>
            </w:pPr>
          </w:p>
        </w:tc>
        <w:tc>
          <w:tcPr>
            <w:tcW w:w="3480" w:type="dxa"/>
            <w:vAlign w:val="bottom"/>
            <w:shd w:val="clear" w:color="auto" w:fill="E7E7E3"/>
          </w:tcPr>
          <w:p>
            <w:pPr>
              <w:spacing w:after="0"/>
              <w:rPr>
                <w:sz w:val="17"/>
                <w:szCs w:val="17"/>
                <w:color w:val="auto"/>
              </w:rPr>
            </w:pPr>
          </w:p>
        </w:tc>
        <w:tc>
          <w:tcPr>
            <w:tcW w:w="360" w:type="dxa"/>
            <w:vAlign w:val="bottom"/>
            <w:shd w:val="clear" w:color="auto" w:fill="E7E7E3"/>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E7E7E3"/>
          </w:tcPr>
          <w:p>
            <w:pPr>
              <w:jc w:val="right"/>
              <w:spacing w:after="0" w:line="200" w:lineRule="exact"/>
              <w:rPr>
                <w:sz w:val="20"/>
                <w:szCs w:val="20"/>
                <w:color w:val="auto"/>
              </w:rPr>
            </w:pPr>
            <w:r>
              <w:rPr>
                <w:rFonts w:ascii="Times New Roman" w:cs="Times New Roman" w:eastAsia="Times New Roman" w:hAnsi="Times New Roman"/>
                <w:sz w:val="20"/>
                <w:szCs w:val="20"/>
                <w:color w:val="auto"/>
              </w:rPr>
              <w:t>467.0</w:t>
            </w:r>
          </w:p>
        </w:tc>
        <w:tc>
          <w:tcPr>
            <w:tcW w:w="200" w:type="dxa"/>
            <w:vAlign w:val="bottom"/>
            <w:shd w:val="clear" w:color="auto" w:fill="E7E7E3"/>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rPr>
              <w:t>100.0%</w:t>
            </w:r>
          </w:p>
        </w:tc>
        <w:tc>
          <w:tcPr>
            <w:tcW w:w="360" w:type="dxa"/>
            <w:vAlign w:val="bottom"/>
            <w:shd w:val="clear" w:color="auto" w:fill="E7E7E3"/>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E7E7E3"/>
          </w:tcPr>
          <w:p>
            <w:pPr>
              <w:jc w:val="right"/>
              <w:spacing w:after="0" w:line="200" w:lineRule="exact"/>
              <w:rPr>
                <w:sz w:val="20"/>
                <w:szCs w:val="20"/>
                <w:color w:val="auto"/>
              </w:rPr>
            </w:pPr>
            <w:r>
              <w:rPr>
                <w:rFonts w:ascii="Times New Roman" w:cs="Times New Roman" w:eastAsia="Times New Roman" w:hAnsi="Times New Roman"/>
                <w:sz w:val="20"/>
                <w:szCs w:val="20"/>
                <w:color w:val="auto"/>
              </w:rPr>
              <w:t>521.8</w:t>
            </w:r>
          </w:p>
        </w:tc>
        <w:tc>
          <w:tcPr>
            <w:tcW w:w="240" w:type="dxa"/>
            <w:vAlign w:val="bottom"/>
            <w:shd w:val="clear" w:color="auto" w:fill="E7E7E3"/>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-742315</wp:posOffset>
            </wp:positionV>
            <wp:extent cx="3203575" cy="152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3575" cy="15240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-297815</wp:posOffset>
            </wp:positionV>
            <wp:extent cx="2392680" cy="298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298450"/>
                    </a:xfrm>
                    <a:prstGeom prst="rect">
                      <a:avLst/>
                    </a:prstGeom>
                    <a:noFill/>
                  </pic:spPr>
                </pic:pic>
              </a:graphicData>
            </a:graphic>
          </wp:anchor>
        </w:drawing>
      </w:r>
    </w:p>
    <w:p>
      <w:pPr>
        <w:spacing w:after="0" w:line="199" w:lineRule="exact"/>
        <w:rPr>
          <w:sz w:val="20"/>
          <w:szCs w:val="20"/>
          <w:color w:val="auto"/>
        </w:rPr>
      </w:pPr>
    </w:p>
    <w:p>
      <w:pPr>
        <w:ind w:right="320"/>
        <w:spacing w:after="0" w:line="279" w:lineRule="auto"/>
        <w:tabs>
          <w:tab w:leader="none" w:pos="28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2023 was a 53-week year as compared to fiscal 2024, which was a 52-week year and, as such, the fourth quarter of fiscal 2023 included an additional week of sales of $7.1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11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20"/>
          <w:szCs w:val="20"/>
          <w:color w:val="auto"/>
        </w:rPr>
        <w:t>During fiscal 2024, we continued to see the effect of inflationary pressures on raw materials, services and labor and consumer spending. While there seems to be improvement, we cannot be certain of the effect that inflation (or deflation) may have on our results of operations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Our primary sources of liquidity are our cash and cash equivalents, cash generated from operations and availability under our credit facility, which is discussed below. We believe that these sources of liquidity will be sufficient to fund our working capital requirements, commitments and capital expenditures. Cash that is in excess of our forecasted needs may be invested in money market accounts and U.S. government-backed securities.</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We believe that our cash, investments, cash generated from operations, and borrowings available to us under our credit facility will be adequate to meet our liquidity needs and capital expenditure requirements for at least the next 12 months. We also believe that cash flows from operating activities and cash on hand will be sufficient to satisfy our capital requirements in the long term; however, to the</w:t>
      </w:r>
    </w:p>
    <w:p>
      <w:pPr>
        <w:sectPr>
          <w:pgSz w:w="11880" w:h="15480" w:orient="portrait"/>
          <w:cols w:equalWidth="0" w:num="1">
            <w:col w:w="10800"/>
          </w:cols>
          <w:pgMar w:left="540" w:top="658" w:right="5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658" w:right="540" w:bottom="0" w:gutter="0" w:footer="0" w:header="0"/>
          <w:type w:val="continuous"/>
        </w:sectPr>
      </w:pPr>
    </w:p>
    <w:bookmarkStart w:id="31" w:name="page32"/>
    <w:bookmarkEnd w:id="31"/>
    <w:p>
      <w:pPr>
        <w:ind w:right="300"/>
        <w:spacing w:after="0" w:line="279" w:lineRule="auto"/>
        <w:rPr>
          <w:sz w:val="20"/>
          <w:szCs w:val="20"/>
          <w:color w:val="auto"/>
        </w:rPr>
      </w:pPr>
      <w:r>
        <w:rPr>
          <w:rFonts w:ascii="Times New Roman" w:cs="Times New Roman" w:eastAsia="Times New Roman" w:hAnsi="Times New Roman"/>
          <w:sz w:val="20"/>
          <w:szCs w:val="20"/>
          <w:color w:val="auto"/>
        </w:rPr>
        <w:t>extent future capital requirements exceed cash on hand plus cash flows from operating activities, we anticipate that working capital will be financed by our credit facility.</w:t>
      </w:r>
    </w:p>
    <w:p>
      <w:pPr>
        <w:spacing w:after="0" w:line="45"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9"/>
          <w:szCs w:val="19"/>
          <w:color w:val="auto"/>
        </w:rPr>
        <w:t xml:space="preserve">At February 1, 2025 our material contractual obligations primarily consisted of our operating lease obligations, as disclosed in Note E,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to the Consolidated Financial Statements. In addition to our lease obligations, at February 1, 2025, we were also contractually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committed pursuant to a merchandise purchase obligation to meet minimum purchases of $10.0 million annually through fiscal 2028.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financial data regarding our liquidity position at the end of the past two fiscal years: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040" w:type="dxa"/>
            <w:vAlign w:val="bottom"/>
            <w:shd w:val="clear" w:color="auto" w:fill="FEFEFE"/>
          </w:tcPr>
          <w:p>
            <w:pPr>
              <w:jc w:val="right"/>
              <w:ind w:right="142"/>
              <w:spacing w:after="0"/>
              <w:rPr>
                <w:sz w:val="20"/>
                <w:szCs w:val="20"/>
                <w:color w:val="auto"/>
              </w:rPr>
            </w:pPr>
            <w:r>
              <w:rPr>
                <w:rFonts w:ascii="Times New Roman" w:cs="Times New Roman" w:eastAsia="Times New Roman" w:hAnsi="Times New Roman"/>
                <w:sz w:val="16"/>
                <w:szCs w:val="16"/>
                <w:color w:val="auto"/>
              </w:rPr>
              <w:t>Fiscal 2024</w:t>
            </w:r>
          </w:p>
        </w:tc>
        <w:tc>
          <w:tcPr>
            <w:tcW w:w="2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020" w:type="dxa"/>
            <w:vAlign w:val="bottom"/>
            <w:shd w:val="clear" w:color="auto" w:fill="FEFEFE"/>
          </w:tcPr>
          <w:p>
            <w:pPr>
              <w:jc w:val="right"/>
              <w:ind w:right="122"/>
              <w:spacing w:after="0"/>
              <w:rPr>
                <w:sz w:val="20"/>
                <w:szCs w:val="20"/>
                <w:color w:val="auto"/>
              </w:rPr>
            </w:pPr>
            <w:r>
              <w:rPr>
                <w:rFonts w:ascii="Times New Roman" w:cs="Times New Roman" w:eastAsia="Times New Roman" w:hAnsi="Times New Roman"/>
                <w:sz w:val="16"/>
                <w:szCs w:val="16"/>
                <w:color w:val="auto"/>
              </w:rPr>
              <w:t>Fiscal 2023</w:t>
            </w:r>
          </w:p>
        </w:tc>
        <w:tc>
          <w:tcPr>
            <w:tcW w:w="220" w:type="dxa"/>
            <w:vAlign w:val="bottom"/>
            <w:shd w:val="clear" w:color="auto" w:fill="FEFEFE"/>
          </w:tcPr>
          <w:p>
            <w:pPr>
              <w:spacing w:after="0"/>
              <w:rPr>
                <w:sz w:val="16"/>
                <w:szCs w:val="16"/>
                <w:color w:val="auto"/>
              </w:rPr>
            </w:pPr>
          </w:p>
        </w:tc>
      </w:tr>
      <w:tr>
        <w:trPr>
          <w:trHeight w:val="20"/>
        </w:trPr>
        <w:tc>
          <w:tcPr>
            <w:tcW w:w="780" w:type="dxa"/>
            <w:vAlign w:val="bottom"/>
            <w:tcBorders>
              <w:bottom w:val="single" w:sz="8" w:color="FEFEFE"/>
            </w:tcBorders>
            <w:shd w:val="clear" w:color="auto" w:fill="000000"/>
          </w:tcPr>
          <w:p>
            <w:pPr>
              <w:spacing w:after="0" w:line="20" w:lineRule="exact"/>
              <w:rPr>
                <w:sz w:val="1"/>
                <w:szCs w:val="1"/>
                <w:color w:val="auto"/>
              </w:rPr>
            </w:pPr>
          </w:p>
        </w:tc>
        <w:tc>
          <w:tcPr>
            <w:tcW w:w="4900" w:type="dxa"/>
            <w:vAlign w:val="bottom"/>
            <w:tcBorders>
              <w:bottom w:val="single" w:sz="8" w:color="FEFEFE"/>
            </w:tcBorders>
            <w:shd w:val="clear" w:color="auto" w:fill="FEFEFE"/>
          </w:tcPr>
          <w:p>
            <w:pPr>
              <w:spacing w:after="0" w:line="20" w:lineRule="exact"/>
              <w:rPr>
                <w:sz w:val="1"/>
                <w:szCs w:val="1"/>
                <w:color w:val="auto"/>
              </w:rPr>
            </w:pPr>
          </w:p>
        </w:tc>
        <w:tc>
          <w:tcPr>
            <w:tcW w:w="140" w:type="dxa"/>
            <w:vAlign w:val="bottom"/>
            <w:tcBorders>
              <w:bottom w:val="single" w:sz="8" w:color="FEFEFE"/>
            </w:tcBorders>
            <w:shd w:val="clear" w:color="auto" w:fill="FEFEFE"/>
          </w:tcPr>
          <w:p>
            <w:pPr>
              <w:spacing w:after="0" w:line="20" w:lineRule="exact"/>
              <w:rPr>
                <w:sz w:val="1"/>
                <w:szCs w:val="1"/>
                <w:color w:val="auto"/>
              </w:rPr>
            </w:pPr>
          </w:p>
        </w:tc>
        <w:tc>
          <w:tcPr>
            <w:tcW w:w="160" w:type="dxa"/>
            <w:vAlign w:val="bottom"/>
            <w:tcBorders>
              <w:bottom w:val="single" w:sz="8" w:color="auto"/>
            </w:tcBorders>
            <w:shd w:val="clear" w:color="auto" w:fill="FEFEFE"/>
          </w:tcPr>
          <w:p>
            <w:pPr>
              <w:spacing w:after="0" w:line="20" w:lineRule="exact"/>
              <w:rPr>
                <w:sz w:val="1"/>
                <w:szCs w:val="1"/>
                <w:color w:val="auto"/>
              </w:rPr>
            </w:pPr>
          </w:p>
        </w:tc>
        <w:tc>
          <w:tcPr>
            <w:tcW w:w="1040" w:type="dxa"/>
            <w:vAlign w:val="bottom"/>
            <w:tcBorders>
              <w:bottom w:val="single" w:sz="8" w:color="auto"/>
            </w:tcBorders>
            <w:shd w:val="clear" w:color="auto" w:fill="FEFEFE"/>
          </w:tcPr>
          <w:p>
            <w:pPr>
              <w:spacing w:after="0" w:line="20" w:lineRule="exact"/>
              <w:rPr>
                <w:sz w:val="1"/>
                <w:szCs w:val="1"/>
                <w:color w:val="auto"/>
              </w:rPr>
            </w:pPr>
          </w:p>
        </w:tc>
        <w:tc>
          <w:tcPr>
            <w:tcW w:w="220" w:type="dxa"/>
            <w:vAlign w:val="bottom"/>
            <w:tcBorders>
              <w:bottom w:val="single" w:sz="8" w:color="FEFEFE"/>
            </w:tcBorders>
            <w:shd w:val="clear" w:color="auto" w:fill="FEFEFE"/>
          </w:tcPr>
          <w:p>
            <w:pPr>
              <w:spacing w:after="0" w:line="20" w:lineRule="exact"/>
              <w:rPr>
                <w:sz w:val="1"/>
                <w:szCs w:val="1"/>
                <w:color w:val="auto"/>
              </w:rPr>
            </w:pPr>
          </w:p>
        </w:tc>
        <w:tc>
          <w:tcPr>
            <w:tcW w:w="160" w:type="dxa"/>
            <w:vAlign w:val="bottom"/>
            <w:tcBorders>
              <w:bottom w:val="single" w:sz="8" w:color="auto"/>
            </w:tcBorders>
            <w:shd w:val="clear" w:color="auto" w:fill="FEFEFE"/>
          </w:tcPr>
          <w:p>
            <w:pPr>
              <w:spacing w:after="0" w:line="20" w:lineRule="exact"/>
              <w:rPr>
                <w:sz w:val="1"/>
                <w:szCs w:val="1"/>
                <w:color w:val="auto"/>
              </w:rPr>
            </w:pPr>
          </w:p>
        </w:tc>
        <w:tc>
          <w:tcPr>
            <w:tcW w:w="1020" w:type="dxa"/>
            <w:vAlign w:val="bottom"/>
            <w:tcBorders>
              <w:bottom w:val="single" w:sz="8" w:color="auto"/>
            </w:tcBorders>
            <w:shd w:val="clear" w:color="auto" w:fill="FEFEFE"/>
          </w:tcPr>
          <w:p>
            <w:pPr>
              <w:spacing w:after="0" w:line="20" w:lineRule="exact"/>
              <w:rPr>
                <w:sz w:val="1"/>
                <w:szCs w:val="1"/>
                <w:color w:val="auto"/>
              </w:rPr>
            </w:pPr>
          </w:p>
        </w:tc>
        <w:tc>
          <w:tcPr>
            <w:tcW w:w="220" w:type="dxa"/>
            <w:vAlign w:val="bottom"/>
            <w:tcBorders>
              <w:bottom w:val="single" w:sz="8" w:color="FEFEFE"/>
            </w:tcBorders>
            <w:shd w:val="clear" w:color="auto" w:fill="FEFEFE"/>
          </w:tcPr>
          <w:p>
            <w:pPr>
              <w:spacing w:after="0" w:line="20" w:lineRule="exact"/>
              <w:rPr>
                <w:sz w:val="1"/>
                <w:szCs w:val="1"/>
                <w:color w:val="auto"/>
              </w:rPr>
            </w:pPr>
          </w:p>
        </w:tc>
      </w:tr>
      <w:tr>
        <w:trPr>
          <w:trHeight w:val="231"/>
        </w:trPr>
        <w:tc>
          <w:tcPr>
            <w:tcW w:w="5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flow from operating activities (GAAP basis)</w:t>
            </w:r>
          </w:p>
        </w:tc>
        <w:tc>
          <w:tcPr>
            <w:tcW w:w="140" w:type="dxa"/>
            <w:vAlign w:val="bottom"/>
            <w:shd w:val="clear" w:color="auto" w:fill="FEFEFE"/>
          </w:tcPr>
          <w:p>
            <w:pPr>
              <w:spacing w:after="0"/>
              <w:rPr>
                <w:sz w:val="20"/>
                <w:szCs w:val="20"/>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220" w:type="dxa"/>
            <w:vAlign w:val="bottom"/>
            <w:shd w:val="clear" w:color="auto" w:fill="FEFEFE"/>
          </w:tcPr>
          <w:p>
            <w:pPr>
              <w:spacing w:after="0"/>
              <w:rPr>
                <w:sz w:val="20"/>
                <w:szCs w:val="20"/>
                <w:color w:val="auto"/>
              </w:rPr>
            </w:pPr>
          </w:p>
        </w:tc>
      </w:tr>
      <w:tr>
        <w:trPr>
          <w:trHeight w:val="244"/>
        </w:trPr>
        <w:tc>
          <w:tcPr>
            <w:tcW w:w="5680" w:type="dxa"/>
            <w:vAlign w:val="bottom"/>
            <w:tcBorders>
              <w:bottom w:val="single" w:sz="8" w:color="FEFEFE"/>
            </w:tcBorders>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Capital expenditures, excluding store development</w:t>
            </w:r>
          </w:p>
        </w:tc>
        <w:tc>
          <w:tcPr>
            <w:tcW w:w="140" w:type="dxa"/>
            <w:vAlign w:val="bottom"/>
            <w:tcBorders>
              <w:bottom w:val="single" w:sz="8" w:color="FEFEFE"/>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220" w:type="dxa"/>
            <w:vAlign w:val="bottom"/>
            <w:tcBorders>
              <w:bottom w:val="single" w:sz="8" w:color="FEFEFE"/>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20" w:type="dxa"/>
            <w:vAlign w:val="bottom"/>
            <w:tcBorders>
              <w:bottom w:val="single" w:sz="8" w:color="FEFEFE"/>
            </w:tcBorders>
            <w:shd w:val="clear" w:color="auto" w:fill="E7E7E3"/>
          </w:tcPr>
          <w:p>
            <w:pPr>
              <w:spacing w:after="0"/>
              <w:rPr>
                <w:sz w:val="21"/>
                <w:szCs w:val="21"/>
                <w:color w:val="auto"/>
              </w:rPr>
            </w:pPr>
          </w:p>
        </w:tc>
      </w:tr>
      <w:tr>
        <w:trPr>
          <w:trHeight w:val="213"/>
        </w:trPr>
        <w:tc>
          <w:tcPr>
            <w:tcW w:w="5820" w:type="dxa"/>
            <w:vAlign w:val="bottom"/>
            <w:gridSpan w:val="3"/>
            <w:shd w:val="clear" w:color="auto" w:fill="FEFEFE"/>
          </w:tcPr>
          <w:p>
            <w:pPr>
              <w:ind w:left="100"/>
              <w:spacing w:after="0" w:line="212" w:lineRule="exact"/>
              <w:rPr>
                <w:sz w:val="20"/>
                <w:szCs w:val="20"/>
                <w:color w:val="auto"/>
              </w:rPr>
            </w:pPr>
            <w:r>
              <w:rPr>
                <w:rFonts w:ascii="Times New Roman" w:cs="Times New Roman" w:eastAsia="Times New Roman" w:hAnsi="Times New Roman"/>
                <w:sz w:val="20"/>
                <w:szCs w:val="20"/>
                <w:color w:val="auto"/>
              </w:rPr>
              <w:t>Free Cash Flow before capital expenditures for store development</w:t>
            </w:r>
          </w:p>
        </w:tc>
        <w:tc>
          <w:tcPr>
            <w:tcW w:w="160" w:type="dxa"/>
            <w:vAlign w:val="bottom"/>
            <w:shd w:val="clear" w:color="auto" w:fill="FEFEFE"/>
          </w:tcPr>
          <w:p>
            <w:pPr>
              <w:spacing w:after="0"/>
              <w:rPr>
                <w:sz w:val="18"/>
                <w:szCs w:val="18"/>
                <w:color w:val="auto"/>
              </w:rPr>
            </w:pPr>
          </w:p>
        </w:tc>
        <w:tc>
          <w:tcPr>
            <w:tcW w:w="10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102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r>
      <w:tr>
        <w:trPr>
          <w:trHeight w:val="251"/>
        </w:trPr>
        <w:tc>
          <w:tcPr>
            <w:tcW w:w="5820" w:type="dxa"/>
            <w:vAlign w:val="bottom"/>
            <w:gridSpan w:val="3"/>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(non-GAAP basis)</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220" w:type="dxa"/>
            <w:vAlign w:val="bottom"/>
            <w:shd w:val="clear" w:color="auto" w:fill="FEFEFE"/>
          </w:tcPr>
          <w:p>
            <w:pPr>
              <w:spacing w:after="0"/>
              <w:rPr>
                <w:sz w:val="21"/>
                <w:szCs w:val="21"/>
                <w:color w:val="auto"/>
              </w:rPr>
            </w:pPr>
          </w:p>
        </w:tc>
      </w:tr>
      <w:tr>
        <w:trPr>
          <w:trHeight w:val="244"/>
        </w:trPr>
        <w:tc>
          <w:tcPr>
            <w:tcW w:w="5820" w:type="dxa"/>
            <w:vAlign w:val="bottom"/>
            <w:tcBorders>
              <w:bottom w:val="single" w:sz="8" w:color="FEFEFE"/>
            </w:tcBorders>
            <w:gridSpan w:val="3"/>
            <w:shd w:val="clear" w:color="auto" w:fill="E7E7E3"/>
          </w:tcPr>
          <w:p>
            <w:pPr>
              <w:spacing w:after="0"/>
              <w:rPr>
                <w:sz w:val="20"/>
                <w:szCs w:val="20"/>
                <w:color w:val="auto"/>
              </w:rPr>
            </w:pPr>
            <w:r>
              <w:rPr>
                <w:rFonts w:ascii="Times New Roman" w:cs="Times New Roman" w:eastAsia="Times New Roman" w:hAnsi="Times New Roman"/>
                <w:sz w:val="20"/>
                <w:szCs w:val="20"/>
                <w:color w:val="auto"/>
              </w:rPr>
              <w:t>Capital expenditures for store development</w:t>
            </w:r>
          </w:p>
        </w:tc>
        <w:tc>
          <w:tcPr>
            <w:tcW w:w="160" w:type="dxa"/>
            <w:vAlign w:val="bottom"/>
            <w:tcBorders>
              <w:bottom w:val="single" w:sz="8" w:color="auto"/>
            </w:tcBorders>
            <w:shd w:val="clear" w:color="auto" w:fill="E7E7E3"/>
          </w:tcPr>
          <w:p>
            <w:pPr>
              <w:spacing w:after="0"/>
              <w:rPr>
                <w:sz w:val="21"/>
                <w:szCs w:val="21"/>
                <w:color w:val="auto"/>
              </w:rPr>
            </w:pPr>
          </w:p>
        </w:tc>
        <w:tc>
          <w:tcPr>
            <w:tcW w:w="10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20" w:type="dxa"/>
            <w:vAlign w:val="bottom"/>
            <w:tcBorders>
              <w:bottom w:val="single" w:sz="8" w:color="FEFEFE"/>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spacing w:after="0"/>
              <w:rPr>
                <w:sz w:val="21"/>
                <w:szCs w:val="21"/>
                <w:color w:val="auto"/>
              </w:rPr>
            </w:pPr>
          </w:p>
        </w:tc>
        <w:tc>
          <w:tcPr>
            <w:tcW w:w="10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20" w:type="dxa"/>
            <w:vAlign w:val="bottom"/>
            <w:tcBorders>
              <w:bottom w:val="single" w:sz="8" w:color="FEFEFE"/>
            </w:tcBorders>
            <w:shd w:val="clear" w:color="auto" w:fill="E7E7E3"/>
          </w:tcPr>
          <w:p>
            <w:pPr>
              <w:spacing w:after="0"/>
              <w:rPr>
                <w:sz w:val="21"/>
                <w:szCs w:val="21"/>
                <w:color w:val="auto"/>
              </w:rPr>
            </w:pPr>
          </w:p>
        </w:tc>
      </w:tr>
      <w:tr>
        <w:trPr>
          <w:trHeight w:val="234"/>
        </w:trPr>
        <w:tc>
          <w:tcPr>
            <w:tcW w:w="5820" w:type="dxa"/>
            <w:vAlign w:val="bottom"/>
            <w:gridSpan w:val="3"/>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Free Cash Flow (non-GAAP basis)</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shd w:val="clear" w:color="auto" w:fill="FEFEFE"/>
          </w:tcPr>
          <w:p>
            <w:pPr>
              <w:spacing w:after="0"/>
              <w:rPr>
                <w:sz w:val="20"/>
                <w:szCs w:val="20"/>
                <w:color w:val="auto"/>
              </w:rPr>
            </w:pPr>
          </w:p>
        </w:tc>
      </w:tr>
      <w:tr>
        <w:trPr>
          <w:trHeight w:val="244"/>
        </w:trPr>
        <w:tc>
          <w:tcPr>
            <w:tcW w:w="5820" w:type="dxa"/>
            <w:vAlign w:val="bottom"/>
            <w:gridSpan w:val="3"/>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04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02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r>
      <w:tr>
        <w:trPr>
          <w:trHeight w:val="244"/>
        </w:trPr>
        <w:tc>
          <w:tcPr>
            <w:tcW w:w="582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cash equivalents and short-term investments, at year end</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220" w:type="dxa"/>
            <w:vAlign w:val="bottom"/>
            <w:shd w:val="clear" w:color="auto" w:fill="FEFEFE"/>
          </w:tcPr>
          <w:p>
            <w:pPr>
              <w:spacing w:after="0"/>
              <w:rPr>
                <w:sz w:val="21"/>
                <w:szCs w:val="21"/>
                <w:color w:val="auto"/>
              </w:rPr>
            </w:pPr>
          </w:p>
        </w:tc>
      </w:tr>
      <w:tr>
        <w:trPr>
          <w:trHeight w:val="244"/>
        </w:trPr>
        <w:tc>
          <w:tcPr>
            <w:tcW w:w="5820" w:type="dxa"/>
            <w:vAlign w:val="bottom"/>
            <w:gridSpan w:val="3"/>
            <w:shd w:val="clear" w:color="auto" w:fill="E7E7E3"/>
          </w:tcPr>
          <w:p>
            <w:pPr>
              <w:spacing w:after="0"/>
              <w:rPr>
                <w:sz w:val="20"/>
                <w:szCs w:val="20"/>
                <w:color w:val="auto"/>
              </w:rPr>
            </w:pPr>
            <w:r>
              <w:rPr>
                <w:rFonts w:ascii="Times New Roman" w:cs="Times New Roman" w:eastAsia="Times New Roman" w:hAnsi="Times New Roman"/>
                <w:sz w:val="20"/>
                <w:szCs w:val="20"/>
                <w:color w:val="auto"/>
              </w:rPr>
              <w:t>Total debt, net of unamortized debt issuance costs</w:t>
            </w: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7E7E3"/>
          </w:tcPr>
          <w:p>
            <w:pPr>
              <w:spacing w:after="0"/>
              <w:rPr>
                <w:sz w:val="21"/>
                <w:szCs w:val="21"/>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7E7E3"/>
          </w:tcPr>
          <w:p>
            <w:pPr>
              <w:spacing w:after="0"/>
              <w:rPr>
                <w:sz w:val="21"/>
                <w:szCs w:val="21"/>
                <w:color w:val="auto"/>
              </w:rPr>
            </w:pPr>
          </w:p>
        </w:tc>
      </w:tr>
      <w:tr>
        <w:trPr>
          <w:trHeight w:val="244"/>
        </w:trPr>
        <w:tc>
          <w:tcPr>
            <w:tcW w:w="582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20"/>
                <w:szCs w:val="20"/>
                <w:color w:val="auto"/>
              </w:rPr>
              <w:t>Unused excess availability under Credit Facility</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220" w:type="dxa"/>
            <w:vAlign w:val="bottom"/>
            <w:shd w:val="clear" w:color="auto" w:fill="FEFEFE"/>
          </w:tcPr>
          <w:p>
            <w:pPr>
              <w:spacing w:after="0"/>
              <w:rPr>
                <w:sz w:val="21"/>
                <w:szCs w:val="21"/>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220" w:type="dxa"/>
            <w:vAlign w:val="bottom"/>
            <w:shd w:val="clear" w:color="auto" w:fill="FEFEF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-1568450</wp:posOffset>
            </wp:positionV>
            <wp:extent cx="7785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8510" cy="26035"/>
                    </a:xfrm>
                    <a:prstGeom prst="rect">
                      <a:avLst/>
                    </a:prstGeom>
                    <a:noFill/>
                  </pic:spPr>
                </pic:pic>
              </a:graphicData>
            </a:graphic>
          </wp:anchor>
        </w:drawing>
      </w:r>
    </w:p>
    <w:p>
      <w:pPr>
        <w:spacing w:after="0" w:line="18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For fiscal 2024, cash flow from operations decreased to $29.6 million as compared to $49.6 million for fiscal 2023. Free cash flow, a non-GAAP measure, decreased to $1.9 million for fiscal 2024 as compared to $32.2 million for fiscal 2023. The decrease in free cash flow was due primarily to a decrease in operating income and an increase in capital expenditures.</w:t>
      </w:r>
    </w:p>
    <w:p>
      <w:pPr>
        <w:spacing w:after="0" w:line="6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Cash flow used for investing activities was $31.3 million for fiscal 2024 as compared to $49.1 million for fiscal 2023. The decrease in cash flow used for investing activities was primarily due to a reduction in purchases of short-term investments, net of maturities, of $28.2 million, partially offset by an increase in capital expenditures of $10.3 million.</w:t>
      </w:r>
    </w:p>
    <w:p>
      <w:pPr>
        <w:spacing w:after="0" w:line="17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Cash flow used for financing activities for fiscal 2024 and fiscal 2023 of $13.9 million and $24.9 million, respectively, was primarily for the repurchase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October 28, 2021, the Company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w:t>
      </w:r>
    </w:p>
    <w:p>
      <w:pPr>
        <w:spacing w:after="0" w:line="8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We had no outstanding borrowings under the Credit Facility at February 1, 2025. At February 1, 2025, outstanding standby letters of credit were $4.2 million. There were no outstanding documentary letters of credit at February 1, 2025. The Credit Facility was not utilized during fiscal 2024, resulting in average unused excess availability during fiscal 2024 of $73.6 million. Unused excess availability at February 1, 2025 was $64.7 million. Our obligations under the Credit Facility are secured by a lien on substantially all of our assets. The Company was subject to an unused line fee of 0.25% of the total commitment less average outstanding letters of credit.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Credit Facility is described in more detail in Note D to the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118"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20"/>
          <w:szCs w:val="20"/>
          <w:color w:val="auto"/>
        </w:rPr>
        <w:t>During the first quarter of fiscal 2024, the Company repurchased 52,802 shares at a total cost, including fees, of $0.2 million, completing its stock repurchase program that was approved by the Board in March 2023.</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656" w:right="540" w:bottom="0" w:gutter="0" w:footer="0" w:header="0"/>
          <w:type w:val="continuous"/>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3, 2024, the Board approved a new stock repurchase program pursuant to which the Company was authorized to repurchase up to $15.0 million of its common stock, including excise tax, through open market and privately negotiated transactions. The stock repurchase program expired on February 1, 2025. During fiscal 2024, the Company repurchased 4.8 million shares at a total cost, including fees, of $13.5 million under this stock repurchase program.</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February 1, 2025, total inventories decreased to $75.5 million from $81.0 million at February 3, 2024, which was a 6.8% decrease. We continue to take proactive measures to manage our inventory and adjust our receipt plan given the ongoing macroeconomic factors affecting consumer retail spending. At February 1, 2025, our clearance inventory was 8.6% of our inventory, as compared to 9.5% at February 3, 2024, and below our historical benchmark of approximately 10.0%. Our inventory has decreased by over 26% and our inventory turnover rate has improved by over 30% from fiscal 2019.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no off-balance sheet arrangements as defined by 303(a)(4) of Regulation S-K.</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open stores and related square footage at February 1, 2025 and February 3, 2024, respectively:</w:t>
      </w:r>
    </w:p>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01"/>
        </w:trPr>
        <w:tc>
          <w:tcPr>
            <w:tcW w:w="488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2220" w:type="dxa"/>
            <w:vAlign w:val="bottom"/>
            <w:gridSpan w:val="4"/>
            <w:shd w:val="clear" w:color="auto" w:fill="FEFEFE"/>
          </w:tcPr>
          <w:p>
            <w:pPr>
              <w:jc w:val="right"/>
              <w:ind w:right="373"/>
              <w:spacing w:after="0"/>
              <w:rPr>
                <w:sz w:val="20"/>
                <w:szCs w:val="20"/>
                <w:color w:val="auto"/>
              </w:rPr>
            </w:pPr>
            <w:r>
              <w:rPr>
                <w:rFonts w:ascii="Times New Roman" w:cs="Times New Roman" w:eastAsia="Times New Roman" w:hAnsi="Times New Roman"/>
                <w:sz w:val="16"/>
                <w:szCs w:val="16"/>
                <w:color w:val="auto"/>
              </w:rPr>
              <w:t>At February 1, 2025</w:t>
            </w:r>
          </w:p>
        </w:tc>
        <w:tc>
          <w:tcPr>
            <w:tcW w:w="200" w:type="dxa"/>
            <w:vAlign w:val="bottom"/>
            <w:shd w:val="clear" w:color="auto" w:fill="FEFEFE"/>
          </w:tcPr>
          <w:p>
            <w:pPr>
              <w:spacing w:after="0"/>
              <w:rPr>
                <w:sz w:val="17"/>
                <w:szCs w:val="17"/>
                <w:color w:val="auto"/>
              </w:rPr>
            </w:pPr>
          </w:p>
        </w:tc>
        <w:tc>
          <w:tcPr>
            <w:tcW w:w="2240" w:type="dxa"/>
            <w:vAlign w:val="bottom"/>
            <w:gridSpan w:val="4"/>
            <w:shd w:val="clear" w:color="auto" w:fill="FEFEFE"/>
          </w:tcPr>
          <w:p>
            <w:pPr>
              <w:jc w:val="right"/>
              <w:ind w:right="373"/>
              <w:spacing w:after="0"/>
              <w:rPr>
                <w:sz w:val="20"/>
                <w:szCs w:val="20"/>
                <w:color w:val="auto"/>
              </w:rPr>
            </w:pPr>
            <w:r>
              <w:rPr>
                <w:rFonts w:ascii="Times New Roman" w:cs="Times New Roman" w:eastAsia="Times New Roman" w:hAnsi="Times New Roman"/>
                <w:sz w:val="16"/>
                <w:szCs w:val="16"/>
                <w:color w:val="auto"/>
              </w:rPr>
              <w:t>At February 3, 2024</w:t>
            </w:r>
          </w:p>
        </w:tc>
        <w:tc>
          <w:tcPr>
            <w:tcW w:w="100" w:type="dxa"/>
            <w:vAlign w:val="bottom"/>
            <w:shd w:val="clear" w:color="auto" w:fill="FEFEFE"/>
          </w:tcPr>
          <w:p>
            <w:pPr>
              <w:spacing w:after="0"/>
              <w:rPr>
                <w:sz w:val="17"/>
                <w:szCs w:val="17"/>
                <w:color w:val="auto"/>
              </w:rPr>
            </w:pPr>
          </w:p>
        </w:tc>
      </w:tr>
      <w:tr>
        <w:trPr>
          <w:trHeight w:val="177"/>
        </w:trPr>
        <w:tc>
          <w:tcPr>
            <w:tcW w:w="48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68"/>
              <w:spacing w:after="0" w:line="177" w:lineRule="exact"/>
              <w:rPr>
                <w:sz w:val="20"/>
                <w:szCs w:val="20"/>
                <w:color w:val="auto"/>
              </w:rPr>
            </w:pPr>
            <w:r>
              <w:rPr>
                <w:rFonts w:ascii="Times New Roman" w:cs="Times New Roman" w:eastAsia="Times New Roman" w:hAnsi="Times New Roman"/>
                <w:sz w:val="16"/>
                <w:szCs w:val="16"/>
                <w:color w:val="auto"/>
              </w:rPr>
              <w:t>Number of</w:t>
            </w: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0" w:type="dxa"/>
            <w:vAlign w:val="bottom"/>
            <w:shd w:val="clear" w:color="auto" w:fill="FEFEFE"/>
          </w:tcPr>
          <w:p>
            <w:pPr>
              <w:jc w:val="right"/>
              <w:ind w:right="193"/>
              <w:spacing w:after="0" w:line="177" w:lineRule="exact"/>
              <w:rPr>
                <w:sz w:val="20"/>
                <w:szCs w:val="20"/>
                <w:color w:val="auto"/>
              </w:rPr>
            </w:pPr>
            <w:r>
              <w:rPr>
                <w:rFonts w:ascii="Times New Roman" w:cs="Times New Roman" w:eastAsia="Times New Roman" w:hAnsi="Times New Roman"/>
                <w:sz w:val="16"/>
                <w:szCs w:val="16"/>
                <w:color w:val="auto"/>
              </w:rPr>
              <w:t>Square</w:t>
            </w:r>
          </w:p>
        </w:tc>
        <w:tc>
          <w:tcPr>
            <w:tcW w:w="20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72"/>
              <w:spacing w:after="0" w:line="177" w:lineRule="exact"/>
              <w:rPr>
                <w:sz w:val="20"/>
                <w:szCs w:val="20"/>
                <w:color w:val="auto"/>
              </w:rPr>
            </w:pPr>
            <w:r>
              <w:rPr>
                <w:rFonts w:ascii="Times New Roman" w:cs="Times New Roman" w:eastAsia="Times New Roman" w:hAnsi="Times New Roman"/>
                <w:sz w:val="16"/>
                <w:szCs w:val="16"/>
                <w:color w:val="auto"/>
              </w:rPr>
              <w:t>Number of</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40" w:type="dxa"/>
            <w:vAlign w:val="bottom"/>
            <w:shd w:val="clear" w:color="auto" w:fill="FEFEFE"/>
          </w:tcPr>
          <w:p>
            <w:pPr>
              <w:jc w:val="right"/>
              <w:ind w:right="213"/>
              <w:spacing w:after="0" w:line="177" w:lineRule="exact"/>
              <w:rPr>
                <w:sz w:val="20"/>
                <w:szCs w:val="20"/>
                <w:color w:val="auto"/>
              </w:rPr>
            </w:pPr>
            <w:r>
              <w:rPr>
                <w:rFonts w:ascii="Times New Roman" w:cs="Times New Roman" w:eastAsia="Times New Roman" w:hAnsi="Times New Roman"/>
                <w:sz w:val="16"/>
                <w:szCs w:val="16"/>
                <w:color w:val="auto"/>
              </w:rPr>
              <w:t>Square</w:t>
            </w:r>
          </w:p>
        </w:tc>
        <w:tc>
          <w:tcPr>
            <w:tcW w:w="100" w:type="dxa"/>
            <w:vAlign w:val="bottom"/>
            <w:shd w:val="clear" w:color="auto" w:fill="FEFEFE"/>
          </w:tcPr>
          <w:p>
            <w:pPr>
              <w:spacing w:after="0"/>
              <w:rPr>
                <w:sz w:val="15"/>
                <w:szCs w:val="15"/>
                <w:color w:val="auto"/>
              </w:rPr>
            </w:pPr>
          </w:p>
        </w:tc>
      </w:tr>
      <w:tr>
        <w:trPr>
          <w:trHeight w:val="201"/>
        </w:trPr>
        <w:tc>
          <w:tcPr>
            <w:tcW w:w="48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6"/>
                <w:szCs w:val="16"/>
                <w:color w:val="auto"/>
              </w:rPr>
              <w:t>Store Concept</w:t>
            </w:r>
          </w:p>
        </w:tc>
        <w:tc>
          <w:tcPr>
            <w:tcW w:w="80" w:type="dxa"/>
            <w:vAlign w:val="bottom"/>
            <w:tcBorders>
              <w:bottom w:val="single" w:sz="8" w:color="FEFEFE"/>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jc w:val="right"/>
              <w:ind w:right="208"/>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1000" w:type="dxa"/>
            <w:vAlign w:val="bottom"/>
            <w:tcBorders>
              <w:bottom w:val="single" w:sz="8" w:color="auto"/>
            </w:tcBorders>
            <w:shd w:val="clear" w:color="auto" w:fill="FEFEFE"/>
          </w:tcPr>
          <w:p>
            <w:pPr>
              <w:jc w:val="right"/>
              <w:ind w:right="153"/>
              <w:spacing w:after="0"/>
              <w:rPr>
                <w:sz w:val="20"/>
                <w:szCs w:val="20"/>
                <w:color w:val="auto"/>
              </w:rPr>
            </w:pPr>
            <w:r>
              <w:rPr>
                <w:rFonts w:ascii="Times New Roman" w:cs="Times New Roman" w:eastAsia="Times New Roman" w:hAnsi="Times New Roman"/>
                <w:sz w:val="16"/>
                <w:szCs w:val="16"/>
                <w:color w:val="auto"/>
              </w:rPr>
              <w:t>Footage</w:t>
            </w:r>
          </w:p>
        </w:tc>
        <w:tc>
          <w:tcPr>
            <w:tcW w:w="200" w:type="dxa"/>
            <w:vAlign w:val="bottom"/>
            <w:tcBorders>
              <w:bottom w:val="single" w:sz="8" w:color="FEFEFE"/>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jc w:val="right"/>
              <w:ind w:right="232"/>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FEFEFE"/>
            </w:tcBorders>
            <w:shd w:val="clear" w:color="auto" w:fill="FEFEFE"/>
          </w:tcPr>
          <w:p>
            <w:pPr>
              <w:spacing w:after="0"/>
              <w:rPr>
                <w:sz w:val="17"/>
                <w:szCs w:val="17"/>
                <w:color w:val="auto"/>
              </w:rPr>
            </w:pPr>
          </w:p>
        </w:tc>
        <w:tc>
          <w:tcPr>
            <w:tcW w:w="80" w:type="dxa"/>
            <w:vAlign w:val="bottom"/>
            <w:tcBorders>
              <w:bottom w:val="single" w:sz="8" w:color="FEFEFE"/>
            </w:tcBorders>
            <w:shd w:val="clear" w:color="auto" w:fill="FEFEFE"/>
          </w:tcPr>
          <w:p>
            <w:pPr>
              <w:spacing w:after="0"/>
              <w:rPr>
                <w:sz w:val="17"/>
                <w:szCs w:val="17"/>
                <w:color w:val="auto"/>
              </w:rPr>
            </w:pPr>
          </w:p>
        </w:tc>
        <w:tc>
          <w:tcPr>
            <w:tcW w:w="1040" w:type="dxa"/>
            <w:vAlign w:val="bottom"/>
            <w:tcBorders>
              <w:bottom w:val="single" w:sz="8" w:color="auto"/>
            </w:tcBorders>
            <w:shd w:val="clear" w:color="auto" w:fill="FEFEFE"/>
          </w:tcPr>
          <w:p>
            <w:pPr>
              <w:jc w:val="right"/>
              <w:ind w:right="173"/>
              <w:spacing w:after="0"/>
              <w:rPr>
                <w:sz w:val="20"/>
                <w:szCs w:val="20"/>
                <w:color w:val="auto"/>
              </w:rPr>
            </w:pPr>
            <w:r>
              <w:rPr>
                <w:rFonts w:ascii="Times New Roman" w:cs="Times New Roman" w:eastAsia="Times New Roman" w:hAnsi="Times New Roman"/>
                <w:sz w:val="16"/>
                <w:szCs w:val="16"/>
                <w:color w:val="auto"/>
              </w:rPr>
              <w:t>Footage</w:t>
            </w:r>
          </w:p>
        </w:tc>
        <w:tc>
          <w:tcPr>
            <w:tcW w:w="100" w:type="dxa"/>
            <w:vAlign w:val="bottom"/>
            <w:tcBorders>
              <w:bottom w:val="single" w:sz="8" w:color="FEFEFE"/>
            </w:tcBorders>
            <w:shd w:val="clear" w:color="auto" w:fill="FEFEFE"/>
          </w:tcPr>
          <w:p>
            <w:pPr>
              <w:spacing w:after="0"/>
              <w:rPr>
                <w:sz w:val="17"/>
                <w:szCs w:val="17"/>
                <w:color w:val="auto"/>
              </w:rPr>
            </w:pPr>
          </w:p>
        </w:tc>
      </w:tr>
      <w:tr>
        <w:trPr>
          <w:trHeight w:val="215"/>
        </w:trPr>
        <w:tc>
          <w:tcPr>
            <w:tcW w:w="4880" w:type="dxa"/>
            <w:vAlign w:val="bottom"/>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(square footage in thousands)</w:t>
            </w:r>
          </w:p>
        </w:tc>
        <w:tc>
          <w:tcPr>
            <w:tcW w:w="80" w:type="dxa"/>
            <w:vAlign w:val="bottom"/>
            <w:shd w:val="clear" w:color="auto" w:fill="FEFEFE"/>
          </w:tcPr>
          <w:p>
            <w:pPr>
              <w:spacing w:after="0"/>
              <w:rPr>
                <w:sz w:val="18"/>
                <w:szCs w:val="18"/>
                <w:color w:val="auto"/>
              </w:rPr>
            </w:pPr>
          </w:p>
        </w:tc>
        <w:tc>
          <w:tcPr>
            <w:tcW w:w="102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00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102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0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r>
        <w:trPr>
          <w:trHeight w:val="235"/>
        </w:trPr>
        <w:tc>
          <w:tcPr>
            <w:tcW w:w="488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DXL Retail</w:t>
            </w:r>
          </w:p>
        </w:tc>
        <w:tc>
          <w:tcPr>
            <w:tcW w:w="80" w:type="dxa"/>
            <w:vAlign w:val="bottom"/>
            <w:shd w:val="clear" w:color="auto" w:fill="E7E7E3"/>
          </w:tcPr>
          <w:p>
            <w:pPr>
              <w:spacing w:after="0"/>
              <w:rPr>
                <w:sz w:val="20"/>
                <w:szCs w:val="20"/>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0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0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1,795</w:t>
            </w:r>
          </w:p>
        </w:tc>
        <w:tc>
          <w:tcPr>
            <w:tcW w:w="200" w:type="dxa"/>
            <w:vAlign w:val="bottom"/>
            <w:shd w:val="clear" w:color="auto" w:fill="E7E7E3"/>
          </w:tcPr>
          <w:p>
            <w:pPr>
              <w:spacing w:after="0"/>
              <w:rPr>
                <w:sz w:val="20"/>
                <w:szCs w:val="20"/>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00" w:type="dxa"/>
            <w:vAlign w:val="bottom"/>
            <w:shd w:val="clear" w:color="auto" w:fill="E7E7E3"/>
          </w:tcPr>
          <w:p>
            <w:pPr>
              <w:spacing w:after="0"/>
              <w:rPr>
                <w:sz w:val="20"/>
                <w:szCs w:val="20"/>
                <w:color w:val="auto"/>
              </w:rPr>
            </w:pPr>
          </w:p>
        </w:tc>
        <w:tc>
          <w:tcPr>
            <w:tcW w:w="80" w:type="dxa"/>
            <w:vAlign w:val="bottom"/>
            <w:shd w:val="clear" w:color="auto" w:fill="E7E7E3"/>
          </w:tcPr>
          <w:p>
            <w:pPr>
              <w:spacing w:after="0"/>
              <w:rPr>
                <w:sz w:val="20"/>
                <w:szCs w:val="20"/>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1,725</w:t>
            </w:r>
          </w:p>
        </w:tc>
        <w:tc>
          <w:tcPr>
            <w:tcW w:w="100" w:type="dxa"/>
            <w:vAlign w:val="bottom"/>
            <w:shd w:val="clear" w:color="auto" w:fill="E7E7E3"/>
          </w:tcPr>
          <w:p>
            <w:pPr>
              <w:spacing w:after="0"/>
              <w:rPr>
                <w:sz w:val="20"/>
                <w:szCs w:val="20"/>
                <w:color w:val="auto"/>
              </w:rPr>
            </w:pPr>
          </w:p>
        </w:tc>
      </w:tr>
      <w:tr>
        <w:trPr>
          <w:trHeight w:val="230"/>
        </w:trPr>
        <w:tc>
          <w:tcPr>
            <w:tcW w:w="49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DXL Outlet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0" w:type="dxa"/>
            <w:vAlign w:val="bottom"/>
            <w:gridSpan w:val="3"/>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20" w:type="dxa"/>
            <w:vAlign w:val="bottom"/>
            <w:gridSpan w:val="3"/>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shd w:val="clear" w:color="auto" w:fill="FEFEFE"/>
          </w:tcPr>
          <w:p>
            <w:pPr>
              <w:spacing w:after="0"/>
              <w:rPr>
                <w:sz w:val="19"/>
                <w:szCs w:val="19"/>
                <w:color w:val="auto"/>
              </w:rPr>
            </w:pPr>
          </w:p>
        </w:tc>
      </w:tr>
      <w:tr>
        <w:trPr>
          <w:trHeight w:val="230"/>
        </w:trPr>
        <w:tc>
          <w:tcPr>
            <w:tcW w:w="496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Casual Male XL Retail</w:t>
            </w: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0" w:type="dxa"/>
            <w:vAlign w:val="bottom"/>
            <w:gridSpan w:val="3"/>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2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220" w:type="dxa"/>
            <w:vAlign w:val="bottom"/>
            <w:gridSpan w:val="3"/>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shd w:val="clear" w:color="auto" w:fill="E7E7E3"/>
          </w:tcPr>
          <w:p>
            <w:pPr>
              <w:spacing w:after="0"/>
              <w:rPr>
                <w:sz w:val="19"/>
                <w:szCs w:val="19"/>
                <w:color w:val="auto"/>
              </w:rPr>
            </w:pPr>
          </w:p>
        </w:tc>
      </w:tr>
      <w:tr>
        <w:trPr>
          <w:trHeight w:val="230"/>
        </w:trPr>
        <w:tc>
          <w:tcPr>
            <w:tcW w:w="49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Casual Male XL Outlet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00" w:type="dxa"/>
            <w:vAlign w:val="bottom"/>
            <w:gridSpan w:val="3"/>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20" w:type="dxa"/>
            <w:vAlign w:val="bottom"/>
            <w:gridSpan w:val="3"/>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00" w:type="dxa"/>
            <w:vAlign w:val="bottom"/>
            <w:shd w:val="clear" w:color="auto" w:fill="FEFEFE"/>
          </w:tcPr>
          <w:p>
            <w:pPr>
              <w:spacing w:after="0"/>
              <w:rPr>
                <w:sz w:val="19"/>
                <w:szCs w:val="19"/>
                <w:color w:val="auto"/>
              </w:rPr>
            </w:pPr>
          </w:p>
        </w:tc>
      </w:tr>
      <w:tr>
        <w:trPr>
          <w:trHeight w:val="220"/>
        </w:trPr>
        <w:tc>
          <w:tcPr>
            <w:tcW w:w="4960" w:type="dxa"/>
            <w:vAlign w:val="bottom"/>
            <w:tcBorders>
              <w:top w:val="single" w:sz="8" w:color="E7E7E3"/>
            </w:tcBorders>
            <w:gridSpan w:val="2"/>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Total Stores</w:t>
            </w:r>
          </w:p>
        </w:tc>
        <w:tc>
          <w:tcPr>
            <w:tcW w:w="10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288</w:t>
            </w:r>
          </w:p>
        </w:tc>
        <w:tc>
          <w:tcPr>
            <w:tcW w:w="100" w:type="dxa"/>
            <w:vAlign w:val="bottom"/>
            <w:tcBorders>
              <w:top w:val="single" w:sz="8" w:color="E7E7E3"/>
            </w:tcBorders>
            <w:shd w:val="clear" w:color="auto" w:fill="E7E7E3"/>
          </w:tcPr>
          <w:p>
            <w:pPr>
              <w:spacing w:after="0"/>
              <w:rPr>
                <w:sz w:val="19"/>
                <w:szCs w:val="19"/>
                <w:color w:val="auto"/>
              </w:rPr>
            </w:pPr>
          </w:p>
        </w:tc>
        <w:tc>
          <w:tcPr>
            <w:tcW w:w="1100" w:type="dxa"/>
            <w:vAlign w:val="bottom"/>
            <w:tcBorders>
              <w:top w:val="single" w:sz="8" w:color="auto"/>
            </w:tcBorders>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1,950</w:t>
            </w:r>
          </w:p>
        </w:tc>
        <w:tc>
          <w:tcPr>
            <w:tcW w:w="200" w:type="dxa"/>
            <w:vAlign w:val="bottom"/>
            <w:tcBorders>
              <w:top w:val="single" w:sz="8" w:color="E7E7E3"/>
            </w:tcBorders>
            <w:shd w:val="clear" w:color="auto" w:fill="E7E7E3"/>
          </w:tcPr>
          <w:p>
            <w:pPr>
              <w:spacing w:after="0"/>
              <w:rPr>
                <w:sz w:val="19"/>
                <w:szCs w:val="19"/>
                <w:color w:val="auto"/>
              </w:rPr>
            </w:pPr>
          </w:p>
        </w:tc>
        <w:tc>
          <w:tcPr>
            <w:tcW w:w="10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283</w:t>
            </w:r>
          </w:p>
        </w:tc>
        <w:tc>
          <w:tcPr>
            <w:tcW w:w="100" w:type="dxa"/>
            <w:vAlign w:val="bottom"/>
            <w:tcBorders>
              <w:top w:val="single" w:sz="8" w:color="E7E7E3"/>
            </w:tcBorders>
            <w:shd w:val="clear" w:color="auto" w:fill="E7E7E3"/>
          </w:tcPr>
          <w:p>
            <w:pPr>
              <w:spacing w:after="0"/>
              <w:rPr>
                <w:sz w:val="19"/>
                <w:szCs w:val="19"/>
                <w:color w:val="auto"/>
              </w:rPr>
            </w:pPr>
          </w:p>
        </w:tc>
        <w:tc>
          <w:tcPr>
            <w:tcW w:w="1120" w:type="dxa"/>
            <w:vAlign w:val="bottom"/>
            <w:tcBorders>
              <w:top w:val="single" w:sz="8" w:color="auto"/>
            </w:tcBorders>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1,913</w:t>
            </w:r>
          </w:p>
        </w:tc>
        <w:tc>
          <w:tcPr>
            <w:tcW w:w="100" w:type="dxa"/>
            <w:vAlign w:val="bottom"/>
            <w:tcBorders>
              <w:top w:val="single" w:sz="8" w:color="E7E7E3"/>
            </w:tcBorders>
            <w:shd w:val="clear" w:color="auto" w:fill="E7E7E3"/>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-1141095</wp:posOffset>
            </wp:positionV>
            <wp:extent cx="2982595"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2595" cy="31750"/>
                    </a:xfrm>
                    <a:prstGeom prst="rect">
                      <a:avLst/>
                    </a:prstGeom>
                    <a:noFill/>
                  </pic:spPr>
                </pic:pic>
              </a:graphicData>
            </a:graphic>
          </wp:anchor>
        </w:drawing>
      </w:r>
    </w:p>
    <w:p>
      <w:pPr>
        <w:spacing w:after="0" w:line="30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During fiscal 2024, we opened seven new DXL stores, re-located two DXL stores, converted eight Casual Male XL stores to the DXL format, completed five DXL remodels, and closed two Casual Male XL stores. Below is a summary of the store activity from February 3, 2024 to February 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6"/>
                <w:szCs w:val="16"/>
                <w:color w:val="auto"/>
              </w:rPr>
              <w:t>Number of Stores:</w:t>
            </w:r>
          </w:p>
        </w:tc>
        <w:tc>
          <w:tcPr>
            <w:tcW w:w="1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80" w:type="dxa"/>
            <w:vAlign w:val="bottom"/>
            <w:vMerge w:val="restart"/>
            <w:shd w:val="clear" w:color="auto" w:fill="FEFEFE"/>
          </w:tcPr>
          <w:p>
            <w:pPr>
              <w:jc w:val="right"/>
              <w:ind w:right="30"/>
              <w:spacing w:after="0"/>
              <w:rPr>
                <w:sz w:val="20"/>
                <w:szCs w:val="20"/>
                <w:color w:val="auto"/>
              </w:rPr>
            </w:pPr>
            <w:r>
              <w:rPr>
                <w:rFonts w:ascii="Times New Roman" w:cs="Times New Roman" w:eastAsia="Times New Roman" w:hAnsi="Times New Roman"/>
                <w:sz w:val="16"/>
                <w:szCs w:val="16"/>
                <w:color w:val="auto"/>
                <w:w w:val="98"/>
              </w:rPr>
              <w:t>DXL Retail</w:t>
            </w:r>
          </w:p>
        </w:tc>
        <w:tc>
          <w:tcPr>
            <w:tcW w:w="220" w:type="dxa"/>
            <w:vAlign w:val="bottom"/>
            <w:shd w:val="clear" w:color="auto" w:fill="FEFEFE"/>
          </w:tcPr>
          <w:p>
            <w:pPr>
              <w:spacing w:after="0"/>
              <w:rPr>
                <w:sz w:val="16"/>
                <w:szCs w:val="16"/>
                <w:color w:val="auto"/>
              </w:rPr>
            </w:pPr>
          </w:p>
        </w:tc>
        <w:tc>
          <w:tcPr>
            <w:tcW w:w="92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DXL Outlet</w:t>
            </w:r>
          </w:p>
        </w:tc>
        <w:tc>
          <w:tcPr>
            <w:tcW w:w="220" w:type="dxa"/>
            <w:vAlign w:val="bottom"/>
            <w:shd w:val="clear" w:color="auto" w:fill="FEFEFE"/>
          </w:tcPr>
          <w:p>
            <w:pPr>
              <w:spacing w:after="0"/>
              <w:rPr>
                <w:sz w:val="16"/>
                <w:szCs w:val="16"/>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Casual Male</w:t>
            </w:r>
          </w:p>
        </w:tc>
        <w:tc>
          <w:tcPr>
            <w:tcW w:w="220" w:type="dxa"/>
            <w:vAlign w:val="bottom"/>
            <w:shd w:val="clear" w:color="auto" w:fill="FEFEFE"/>
          </w:tcPr>
          <w:p>
            <w:pPr>
              <w:spacing w:after="0"/>
              <w:rPr>
                <w:sz w:val="16"/>
                <w:szCs w:val="16"/>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Casual Male</w:t>
            </w:r>
          </w:p>
        </w:tc>
        <w:tc>
          <w:tcPr>
            <w:tcW w:w="2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40" w:type="dxa"/>
            <w:vAlign w:val="bottom"/>
            <w:vMerge w:val="restart"/>
            <w:shd w:val="clear" w:color="auto" w:fill="FEFEFE"/>
          </w:tcPr>
          <w:p>
            <w:pPr>
              <w:jc w:val="right"/>
              <w:ind w:right="50"/>
              <w:spacing w:after="0"/>
              <w:rPr>
                <w:sz w:val="20"/>
                <w:szCs w:val="20"/>
                <w:color w:val="auto"/>
              </w:rPr>
            </w:pPr>
            <w:r>
              <w:rPr>
                <w:rFonts w:ascii="Times New Roman" w:cs="Times New Roman" w:eastAsia="Times New Roman" w:hAnsi="Times New Roman"/>
                <w:sz w:val="16"/>
                <w:szCs w:val="16"/>
                <w:color w:val="auto"/>
              </w:rPr>
              <w:t>Total Stores</w:t>
            </w:r>
          </w:p>
        </w:tc>
        <w:tc>
          <w:tcPr>
            <w:tcW w:w="10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00" w:type="dxa"/>
            <w:vAlign w:val="bottom"/>
            <w:tcBorders>
              <w:bottom w:val="single" w:sz="8" w:color="auto"/>
            </w:tcBorders>
            <w:vMerge w:val="continue"/>
            <w:shd w:val="clear" w:color="auto" w:fill="FEFEFE"/>
          </w:tcPr>
          <w:p>
            <w:pPr>
              <w:spacing w:after="0"/>
              <w:rPr>
                <w:sz w:val="17"/>
                <w:szCs w:val="17"/>
                <w:color w:val="auto"/>
              </w:rPr>
            </w:pPr>
          </w:p>
        </w:tc>
        <w:tc>
          <w:tcPr>
            <w:tcW w:w="100" w:type="dxa"/>
            <w:vAlign w:val="bottom"/>
            <w:tcBorders>
              <w:bottom w:val="single" w:sz="8" w:color="E7E7E3"/>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88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E7E7E3"/>
            </w:tcBorders>
            <w:shd w:val="clear" w:color="auto" w:fill="FEFEFE"/>
          </w:tcPr>
          <w:p>
            <w:pPr>
              <w:spacing w:after="0"/>
              <w:rPr>
                <w:sz w:val="17"/>
                <w:szCs w:val="17"/>
                <w:color w:val="auto"/>
              </w:rPr>
            </w:pPr>
          </w:p>
        </w:tc>
        <w:tc>
          <w:tcPr>
            <w:tcW w:w="920" w:type="dxa"/>
            <w:vAlign w:val="bottom"/>
            <w:tcBorders>
              <w:bottom w:val="single" w:sz="8" w:color="auto"/>
            </w:tcBorders>
            <w:vMerge w:val="continue"/>
            <w:shd w:val="clear" w:color="auto" w:fill="FEFEFE"/>
          </w:tcPr>
          <w:p>
            <w:pPr>
              <w:spacing w:after="0"/>
              <w:rPr>
                <w:sz w:val="17"/>
                <w:szCs w:val="17"/>
                <w:color w:val="auto"/>
              </w:rPr>
            </w:pPr>
          </w:p>
        </w:tc>
        <w:tc>
          <w:tcPr>
            <w:tcW w:w="220" w:type="dxa"/>
            <w:vAlign w:val="bottom"/>
            <w:tcBorders>
              <w:bottom w:val="single" w:sz="8" w:color="E7E7E3"/>
            </w:tcBorders>
            <w:shd w:val="clear" w:color="auto" w:fill="FEFEFE"/>
          </w:tcPr>
          <w:p>
            <w:pPr>
              <w:spacing w:after="0"/>
              <w:rPr>
                <w:sz w:val="17"/>
                <w:szCs w:val="17"/>
                <w:color w:val="auto"/>
              </w:rPr>
            </w:pPr>
          </w:p>
        </w:tc>
        <w:tc>
          <w:tcPr>
            <w:tcW w:w="940" w:type="dxa"/>
            <w:vAlign w:val="bottom"/>
            <w:tcBorders>
              <w:bottom w:val="single" w:sz="8" w:color="auto"/>
            </w:tcBorders>
            <w:shd w:val="clear" w:color="auto" w:fill="FEFEFE"/>
          </w:tcPr>
          <w:p>
            <w:pPr>
              <w:jc w:val="right"/>
              <w:ind w:right="67"/>
              <w:spacing w:after="0"/>
              <w:rPr>
                <w:sz w:val="20"/>
                <w:szCs w:val="20"/>
                <w:color w:val="auto"/>
              </w:rPr>
            </w:pPr>
            <w:r>
              <w:rPr>
                <w:rFonts w:ascii="Times New Roman" w:cs="Times New Roman" w:eastAsia="Times New Roman" w:hAnsi="Times New Roman"/>
                <w:sz w:val="16"/>
                <w:szCs w:val="16"/>
                <w:color w:val="auto"/>
              </w:rPr>
              <w:t>XL Retail</w:t>
            </w:r>
          </w:p>
        </w:tc>
        <w:tc>
          <w:tcPr>
            <w:tcW w:w="220" w:type="dxa"/>
            <w:vAlign w:val="bottom"/>
            <w:tcBorders>
              <w:bottom w:val="single" w:sz="8" w:color="E7E7E3"/>
            </w:tcBorders>
            <w:shd w:val="clear" w:color="auto" w:fill="FEFEFE"/>
          </w:tcPr>
          <w:p>
            <w:pPr>
              <w:spacing w:after="0"/>
              <w:rPr>
                <w:sz w:val="17"/>
                <w:szCs w:val="17"/>
                <w:color w:val="auto"/>
              </w:rPr>
            </w:pPr>
          </w:p>
        </w:tc>
        <w:tc>
          <w:tcPr>
            <w:tcW w:w="940" w:type="dxa"/>
            <w:vAlign w:val="bottom"/>
            <w:tcBorders>
              <w:bottom w:val="single" w:sz="8" w:color="auto"/>
            </w:tcBorders>
            <w:shd w:val="clear" w:color="auto" w:fill="FEFEFE"/>
          </w:tcPr>
          <w:p>
            <w:pPr>
              <w:jc w:val="right"/>
              <w:ind w:right="30"/>
              <w:spacing w:after="0"/>
              <w:rPr>
                <w:sz w:val="20"/>
                <w:szCs w:val="20"/>
                <w:color w:val="auto"/>
              </w:rPr>
            </w:pPr>
            <w:r>
              <w:rPr>
                <w:rFonts w:ascii="Times New Roman" w:cs="Times New Roman" w:eastAsia="Times New Roman" w:hAnsi="Times New Roman"/>
                <w:sz w:val="16"/>
                <w:szCs w:val="16"/>
                <w:color w:val="auto"/>
              </w:rPr>
              <w:t>XL Outlet</w:t>
            </w:r>
          </w:p>
        </w:tc>
        <w:tc>
          <w:tcPr>
            <w:tcW w:w="220" w:type="dxa"/>
            <w:vAlign w:val="bottom"/>
            <w:tcBorders>
              <w:bottom w:val="single" w:sz="8" w:color="E7E7E3"/>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940" w:type="dxa"/>
            <w:vAlign w:val="bottom"/>
            <w:tcBorders>
              <w:bottom w:val="single" w:sz="8" w:color="auto"/>
            </w:tcBorders>
            <w:vMerge w:val="continue"/>
            <w:shd w:val="clear" w:color="auto" w:fill="FEFEFE"/>
          </w:tcPr>
          <w:p>
            <w:pPr>
              <w:spacing w:after="0"/>
              <w:rPr>
                <w:sz w:val="17"/>
                <w:szCs w:val="17"/>
                <w:color w:val="auto"/>
              </w:rPr>
            </w:pPr>
          </w:p>
        </w:tc>
        <w:tc>
          <w:tcPr>
            <w:tcW w:w="100" w:type="dxa"/>
            <w:vAlign w:val="bottom"/>
            <w:tcBorders>
              <w:bottom w:val="single" w:sz="8" w:color="E7E7E3"/>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At February 3, 2024</w:t>
            </w:r>
          </w:p>
        </w:tc>
        <w:tc>
          <w:tcPr>
            <w:tcW w:w="100" w:type="dxa"/>
            <w:vAlign w:val="bottom"/>
            <w:shd w:val="clear" w:color="auto" w:fill="E7E7E3"/>
          </w:tcPr>
          <w:p>
            <w:pPr>
              <w:spacing w:after="0"/>
              <w:rPr>
                <w:sz w:val="19"/>
                <w:szCs w:val="19"/>
                <w:color w:val="auto"/>
              </w:rPr>
            </w:pPr>
          </w:p>
        </w:tc>
        <w:tc>
          <w:tcPr>
            <w:tcW w:w="980" w:type="dxa"/>
            <w:vAlign w:val="bottom"/>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232</w:t>
            </w:r>
          </w:p>
        </w:tc>
        <w:tc>
          <w:tcPr>
            <w:tcW w:w="220" w:type="dxa"/>
            <w:vAlign w:val="bottom"/>
            <w:shd w:val="clear" w:color="auto" w:fill="E7E7E3"/>
          </w:tcPr>
          <w:p>
            <w:pPr>
              <w:spacing w:after="0"/>
              <w:rPr>
                <w:sz w:val="19"/>
                <w:szCs w:val="19"/>
                <w:color w:val="auto"/>
              </w:rPr>
            </w:pPr>
          </w:p>
        </w:tc>
        <w:tc>
          <w:tcPr>
            <w:tcW w:w="92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15</w:t>
            </w:r>
          </w:p>
        </w:tc>
        <w:tc>
          <w:tcPr>
            <w:tcW w:w="220" w:type="dxa"/>
            <w:vAlign w:val="bottom"/>
            <w:shd w:val="clear" w:color="auto" w:fill="E7E7E3"/>
          </w:tcPr>
          <w:p>
            <w:pPr>
              <w:spacing w:after="0"/>
              <w:rPr>
                <w:sz w:val="19"/>
                <w:szCs w:val="19"/>
                <w:color w:val="auto"/>
              </w:rPr>
            </w:pPr>
          </w:p>
        </w:tc>
        <w:tc>
          <w:tcPr>
            <w:tcW w:w="94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w:t>
            </w:r>
          </w:p>
        </w:tc>
        <w:tc>
          <w:tcPr>
            <w:tcW w:w="220" w:type="dxa"/>
            <w:vAlign w:val="bottom"/>
            <w:shd w:val="clear" w:color="auto" w:fill="E7E7E3"/>
          </w:tcPr>
          <w:p>
            <w:pPr>
              <w:spacing w:after="0"/>
              <w:rPr>
                <w:sz w:val="19"/>
                <w:szCs w:val="19"/>
                <w:color w:val="auto"/>
              </w:rPr>
            </w:pPr>
          </w:p>
        </w:tc>
        <w:tc>
          <w:tcPr>
            <w:tcW w:w="94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c>
          <w:tcPr>
            <w:tcW w:w="220" w:type="dxa"/>
            <w:vAlign w:val="bottom"/>
            <w:shd w:val="clear" w:color="auto" w:fill="E7E7E3"/>
          </w:tcPr>
          <w:p>
            <w:pPr>
              <w:spacing w:after="0"/>
              <w:rPr>
                <w:sz w:val="19"/>
                <w:szCs w:val="19"/>
                <w:color w:val="auto"/>
              </w:rPr>
            </w:pPr>
          </w:p>
        </w:tc>
        <w:tc>
          <w:tcPr>
            <w:tcW w:w="1040" w:type="dxa"/>
            <w:vAlign w:val="bottom"/>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283</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New stores</w:t>
            </w:r>
          </w:p>
        </w:tc>
        <w:tc>
          <w:tcPr>
            <w:tcW w:w="100" w:type="dxa"/>
            <w:vAlign w:val="bottom"/>
            <w:shd w:val="clear" w:color="auto" w:fill="FEFEFE"/>
          </w:tcPr>
          <w:p>
            <w:pPr>
              <w:spacing w:after="0"/>
              <w:rPr>
                <w:sz w:val="19"/>
                <w:szCs w:val="19"/>
                <w:color w:val="auto"/>
              </w:rPr>
            </w:pP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20" w:type="dxa"/>
            <w:vAlign w:val="bottom"/>
            <w:shd w:val="clear" w:color="auto" w:fill="FEFEFE"/>
          </w:tcPr>
          <w:p>
            <w:pPr>
              <w:spacing w:after="0"/>
              <w:rPr>
                <w:sz w:val="19"/>
                <w:szCs w:val="19"/>
                <w:color w:val="auto"/>
              </w:rPr>
            </w:pPr>
          </w:p>
        </w:tc>
        <w:tc>
          <w:tcPr>
            <w:tcW w:w="92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94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94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0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Conversions to DXL format</w:t>
            </w:r>
          </w:p>
        </w:tc>
        <w:tc>
          <w:tcPr>
            <w:tcW w:w="200" w:type="dxa"/>
            <w:vAlign w:val="bottom"/>
            <w:gridSpan w:val="2"/>
            <w:shd w:val="clear" w:color="auto" w:fill="E7E7E3"/>
          </w:tcPr>
          <w:p>
            <w:pPr>
              <w:spacing w:after="0"/>
              <w:rPr>
                <w:sz w:val="19"/>
                <w:szCs w:val="19"/>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shd w:val="clear" w:color="auto" w:fill="E7E7E3"/>
          </w:tcPr>
          <w:p>
            <w:pPr>
              <w:spacing w:after="0"/>
              <w:rPr>
                <w:sz w:val="19"/>
                <w:szCs w:val="19"/>
                <w:color w:val="auto"/>
              </w:rPr>
            </w:pPr>
          </w:p>
        </w:tc>
        <w:tc>
          <w:tcPr>
            <w:tcW w:w="92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16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20"/>
                <w:szCs w:val="20"/>
                <w:color w:val="auto"/>
              </w:rPr>
              <w:t>(8)</w:t>
            </w:r>
          </w:p>
        </w:tc>
        <w:tc>
          <w:tcPr>
            <w:tcW w:w="94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9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Closed retail stores</w:t>
            </w: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92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16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940" w:type="dxa"/>
            <w:vAlign w:val="bottom"/>
            <w:shd w:val="clear" w:color="auto" w:fill="FEFEFE"/>
          </w:tcPr>
          <w:p>
            <w:pPr>
              <w:spacing w:after="0"/>
              <w:rPr>
                <w:sz w:val="19"/>
                <w:szCs w:val="19"/>
                <w:color w:val="auto"/>
              </w:rPr>
            </w:pPr>
          </w:p>
        </w:tc>
        <w:tc>
          <w:tcPr>
            <w:tcW w:w="320" w:type="dxa"/>
            <w:vAlign w:val="bottom"/>
            <w:gridSpan w:val="2"/>
            <w:shd w:val="clear" w:color="auto" w:fill="FEFEFE"/>
          </w:tcPr>
          <w:p>
            <w:pPr>
              <w:spacing w:after="0"/>
              <w:rPr>
                <w:sz w:val="19"/>
                <w:szCs w:val="19"/>
                <w:color w:val="auto"/>
              </w:rPr>
            </w:pPr>
          </w:p>
        </w:tc>
        <w:tc>
          <w:tcPr>
            <w:tcW w:w="10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0"/>
        </w:trPr>
        <w:tc>
          <w:tcPr>
            <w:tcW w:w="4900" w:type="dxa"/>
            <w:vAlign w:val="bottom"/>
            <w:tcBorders>
              <w:top w:val="single" w:sz="8" w:color="E7E7E3"/>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At February 1, 2025</w:t>
            </w:r>
          </w:p>
        </w:tc>
        <w:tc>
          <w:tcPr>
            <w:tcW w:w="100" w:type="dxa"/>
            <w:vAlign w:val="bottom"/>
            <w:tcBorders>
              <w:top w:val="single" w:sz="8" w:color="E7E7E3"/>
            </w:tcBorders>
            <w:shd w:val="clear" w:color="auto" w:fill="E7E7E3"/>
          </w:tcPr>
          <w:p>
            <w:pPr>
              <w:spacing w:after="0"/>
              <w:rPr>
                <w:sz w:val="19"/>
                <w:szCs w:val="19"/>
                <w:color w:val="auto"/>
              </w:rPr>
            </w:pPr>
          </w:p>
        </w:tc>
        <w:tc>
          <w:tcPr>
            <w:tcW w:w="980" w:type="dxa"/>
            <w:vAlign w:val="bottom"/>
            <w:tcBorders>
              <w:top w:val="single" w:sz="8" w:color="auto"/>
            </w:tcBorders>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247</w:t>
            </w:r>
          </w:p>
        </w:tc>
        <w:tc>
          <w:tcPr>
            <w:tcW w:w="220" w:type="dxa"/>
            <w:vAlign w:val="bottom"/>
            <w:tcBorders>
              <w:top w:val="single" w:sz="8" w:color="E7E7E3"/>
            </w:tcBorders>
            <w:shd w:val="clear" w:color="auto" w:fill="E7E7E3"/>
          </w:tcPr>
          <w:p>
            <w:pPr>
              <w:spacing w:after="0"/>
              <w:rPr>
                <w:sz w:val="19"/>
                <w:szCs w:val="19"/>
                <w:color w:val="auto"/>
              </w:rPr>
            </w:pPr>
          </w:p>
        </w:tc>
        <w:tc>
          <w:tcPr>
            <w:tcW w:w="9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15</w:t>
            </w:r>
          </w:p>
        </w:tc>
        <w:tc>
          <w:tcPr>
            <w:tcW w:w="220" w:type="dxa"/>
            <w:vAlign w:val="bottom"/>
            <w:tcBorders>
              <w:top w:val="single" w:sz="8" w:color="E7E7E3"/>
            </w:tcBorders>
            <w:shd w:val="clear" w:color="auto" w:fill="E7E7E3"/>
          </w:tcPr>
          <w:p>
            <w:pPr>
              <w:spacing w:after="0"/>
              <w:rPr>
                <w:sz w:val="19"/>
                <w:szCs w:val="19"/>
                <w:color w:val="auto"/>
              </w:rPr>
            </w:pPr>
          </w:p>
        </w:tc>
        <w:tc>
          <w:tcPr>
            <w:tcW w:w="94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7</w:t>
            </w:r>
          </w:p>
        </w:tc>
        <w:tc>
          <w:tcPr>
            <w:tcW w:w="220" w:type="dxa"/>
            <w:vAlign w:val="bottom"/>
            <w:tcBorders>
              <w:top w:val="single" w:sz="8" w:color="E7E7E3"/>
            </w:tcBorders>
            <w:shd w:val="clear" w:color="auto" w:fill="E7E7E3"/>
          </w:tcPr>
          <w:p>
            <w:pPr>
              <w:spacing w:after="0"/>
              <w:rPr>
                <w:sz w:val="19"/>
                <w:szCs w:val="19"/>
                <w:color w:val="auto"/>
              </w:rPr>
            </w:pPr>
          </w:p>
        </w:tc>
        <w:tc>
          <w:tcPr>
            <w:tcW w:w="94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c>
          <w:tcPr>
            <w:tcW w:w="220" w:type="dxa"/>
            <w:vAlign w:val="bottom"/>
            <w:tcBorders>
              <w:top w:val="single" w:sz="8" w:color="E7E7E3"/>
            </w:tcBorders>
            <w:shd w:val="clear" w:color="auto" w:fill="E7E7E3"/>
          </w:tcPr>
          <w:p>
            <w:pPr>
              <w:spacing w:after="0"/>
              <w:rPr>
                <w:sz w:val="19"/>
                <w:szCs w:val="19"/>
                <w:color w:val="auto"/>
              </w:rPr>
            </w:pPr>
          </w:p>
        </w:tc>
        <w:tc>
          <w:tcPr>
            <w:tcW w:w="1040" w:type="dxa"/>
            <w:vAlign w:val="bottom"/>
            <w:tcBorders>
              <w:top w:val="single" w:sz="8" w:color="auto"/>
            </w:tcBorders>
            <w:gridSpan w:val="2"/>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288</w:t>
            </w:r>
          </w:p>
        </w:tc>
        <w:tc>
          <w:tcPr>
            <w:tcW w:w="100" w:type="dxa"/>
            <w:vAlign w:val="bottom"/>
            <w:tcBorders>
              <w:top w:val="single" w:sz="8" w:color="E7E7E3"/>
            </w:tcBorders>
            <w:shd w:val="clear" w:color="auto" w:fill="E7E7E3"/>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0"/>
          <w:szCs w:val="20"/>
          <w:color w:val="auto"/>
        </w:rPr>
        <w:t>Our capital expenditures for fiscal 2024 were $27.7 million, as compared to $17.4 million in fiscal 2023. The capital expenditures for fiscal 2024 primarily related to stores, information technology projects, distribution center and facilities.</w:t>
      </w:r>
    </w:p>
    <w:p>
      <w:pPr>
        <w:spacing w:after="0" w:line="4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For fiscal 2025, we expect our capital expenditures to range from $19.0 million to $21.0 million, net of tenant incentives. Our store development plans for fiscal 2025 include opening eight new DXL stores and converting two Casual Male XL stores to the DXL format. We could potentially open approximately 50 net new DXL stores across the country, which could average 5,000 square feet or 250,000 square feet in total, which would be a 15% increase over our current square footage. Store expansion continues to be a key component of our long-term growth strategy; however, until the men's retail apparel business improves and consumer demand increases, we plan to pause the opening of new stores in fiscal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Reconciliations</w:t>
      </w:r>
    </w:p>
    <w:p>
      <w:pPr>
        <w:spacing w:after="0" w:line="11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We monitor certain non-GAAP financial measures on a regular basis in order to track the progress of our business, including the measures below. We believe that these measures provide helpful information with respect to the Company’s operating performance to stockholders, investors and analysts, and that the inclusion of these non-GAAP measures is important to assist investors in comparing our performance in fiscal 2024 to fiscal 2023, on a comparable basis. However, these measures may not be comparable to similar measures used by other companies and should not be considered superior to or as a substitute for operating net income, net income per</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656" w:right="540" w:bottom="0" w:gutter="0" w:footer="0" w:header="0"/>
          <w:type w:val="continuous"/>
        </w:sectPr>
      </w:pPr>
    </w:p>
    <w:bookmarkStart w:id="33" w:name="page34"/>
    <w:bookmarkEnd w:id="33"/>
    <w:p>
      <w:pPr>
        <w:ind w:right="40"/>
        <w:spacing w:after="0" w:line="271" w:lineRule="auto"/>
        <w:rPr>
          <w:sz w:val="20"/>
          <w:szCs w:val="20"/>
          <w:color w:val="auto"/>
        </w:rPr>
      </w:pPr>
      <w:r>
        <w:rPr>
          <w:rFonts w:ascii="Times New Roman" w:cs="Times New Roman" w:eastAsia="Times New Roman" w:hAnsi="Times New Roman"/>
          <w:sz w:val="20"/>
          <w:szCs w:val="20"/>
          <w:color w:val="auto"/>
        </w:rPr>
        <w:t>diluted share or cash flows from operating activities in accordance with GAAP. (Certain amounts in the following tables may not foot due to rounding.)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w:t>
      </w:r>
    </w:p>
    <w:p>
      <w:pPr>
        <w:spacing w:after="0" w:line="110"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that this metric is important to investors, because it demonstrates the Company’s ability to maintain liquidity while supporting its capital projects and new store growth.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The following table provides a reconciliation of free cash flow: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71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1520" w:type="dxa"/>
            <w:vAlign w:val="bottom"/>
            <w:gridSpan w:val="2"/>
            <w:shd w:val="clear" w:color="auto" w:fill="FEFEFE"/>
          </w:tcPr>
          <w:p>
            <w:pPr>
              <w:ind w:left="120"/>
              <w:spacing w:after="0"/>
              <w:rPr>
                <w:sz w:val="20"/>
                <w:szCs w:val="20"/>
                <w:color w:val="auto"/>
              </w:rPr>
            </w:pPr>
            <w:r>
              <w:rPr>
                <w:rFonts w:ascii="Times New Roman" w:cs="Times New Roman" w:eastAsia="Times New Roman" w:hAnsi="Times New Roman"/>
                <w:sz w:val="16"/>
                <w:szCs w:val="16"/>
                <w:color w:val="auto"/>
              </w:rPr>
              <w:t>Fiscal 2024</w:t>
            </w:r>
          </w:p>
        </w:tc>
        <w:tc>
          <w:tcPr>
            <w:tcW w:w="220" w:type="dxa"/>
            <w:vAlign w:val="bottom"/>
            <w:shd w:val="clear" w:color="auto" w:fill="FEFEFE"/>
          </w:tcPr>
          <w:p>
            <w:pPr>
              <w:spacing w:after="0"/>
              <w:rPr>
                <w:sz w:val="24"/>
                <w:szCs w:val="24"/>
                <w:color w:val="auto"/>
              </w:rPr>
            </w:pPr>
          </w:p>
        </w:tc>
        <w:tc>
          <w:tcPr>
            <w:tcW w:w="1560" w:type="dxa"/>
            <w:vAlign w:val="bottom"/>
            <w:gridSpan w:val="2"/>
            <w:shd w:val="clear" w:color="auto" w:fill="FEFEFE"/>
          </w:tcPr>
          <w:p>
            <w:pPr>
              <w:ind w:left="120"/>
              <w:spacing w:after="0"/>
              <w:rPr>
                <w:sz w:val="20"/>
                <w:szCs w:val="20"/>
                <w:color w:val="auto"/>
              </w:rPr>
            </w:pPr>
            <w:r>
              <w:rPr>
                <w:rFonts w:ascii="Times New Roman" w:cs="Times New Roman" w:eastAsia="Times New Roman" w:hAnsi="Times New Roman"/>
                <w:sz w:val="16"/>
                <w:szCs w:val="16"/>
                <w:color w:val="auto"/>
              </w:rPr>
              <w:t>Fiscal 2023</w:t>
            </w:r>
          </w:p>
        </w:tc>
      </w:tr>
      <w:tr>
        <w:trPr>
          <w:trHeight w:val="20"/>
        </w:trPr>
        <w:tc>
          <w:tcPr>
            <w:tcW w:w="780" w:type="dxa"/>
            <w:vAlign w:val="bottom"/>
            <w:tcBorders>
              <w:bottom w:val="single" w:sz="8" w:color="E7E7E3"/>
            </w:tcBorders>
            <w:shd w:val="clear" w:color="auto" w:fill="000000"/>
          </w:tcPr>
          <w:p>
            <w:pPr>
              <w:spacing w:after="0" w:line="20" w:lineRule="exact"/>
              <w:rPr>
                <w:sz w:val="1"/>
                <w:szCs w:val="1"/>
                <w:color w:val="auto"/>
              </w:rPr>
            </w:pPr>
          </w:p>
        </w:tc>
        <w:tc>
          <w:tcPr>
            <w:tcW w:w="6320" w:type="dxa"/>
            <w:vAlign w:val="bottom"/>
            <w:tcBorders>
              <w:bottom w:val="single" w:sz="8" w:color="E7E7E3"/>
            </w:tcBorders>
            <w:shd w:val="clear" w:color="auto" w:fill="FEFEFE"/>
          </w:tcPr>
          <w:p>
            <w:pPr>
              <w:spacing w:after="0" w:line="20" w:lineRule="exact"/>
              <w:rPr>
                <w:sz w:val="1"/>
                <w:szCs w:val="1"/>
                <w:color w:val="auto"/>
              </w:rPr>
            </w:pPr>
          </w:p>
        </w:tc>
        <w:tc>
          <w:tcPr>
            <w:tcW w:w="160" w:type="dxa"/>
            <w:vAlign w:val="bottom"/>
            <w:tcBorders>
              <w:bottom w:val="single" w:sz="8" w:color="E7E7E3"/>
            </w:tcBorders>
            <w:shd w:val="clear" w:color="auto" w:fill="FEFEFE"/>
          </w:tcPr>
          <w:p>
            <w:pPr>
              <w:spacing w:after="0" w:line="20" w:lineRule="exact"/>
              <w:rPr>
                <w:sz w:val="1"/>
                <w:szCs w:val="1"/>
                <w:color w:val="auto"/>
              </w:rPr>
            </w:pPr>
          </w:p>
        </w:tc>
        <w:tc>
          <w:tcPr>
            <w:tcW w:w="240" w:type="dxa"/>
            <w:vAlign w:val="bottom"/>
            <w:tcBorders>
              <w:bottom w:val="single" w:sz="8" w:color="auto"/>
            </w:tcBorders>
            <w:shd w:val="clear" w:color="auto" w:fill="FEFEFE"/>
          </w:tcPr>
          <w:p>
            <w:pPr>
              <w:spacing w:after="0" w:line="20" w:lineRule="exact"/>
              <w:rPr>
                <w:sz w:val="1"/>
                <w:szCs w:val="1"/>
                <w:color w:val="auto"/>
              </w:rPr>
            </w:pPr>
          </w:p>
        </w:tc>
        <w:tc>
          <w:tcPr>
            <w:tcW w:w="1240" w:type="dxa"/>
            <w:vAlign w:val="bottom"/>
            <w:tcBorders>
              <w:bottom w:val="single" w:sz="8" w:color="auto"/>
            </w:tcBorders>
            <w:shd w:val="clear" w:color="auto" w:fill="FEFEFE"/>
          </w:tcPr>
          <w:p>
            <w:pPr>
              <w:spacing w:after="0" w:line="20" w:lineRule="exact"/>
              <w:rPr>
                <w:sz w:val="1"/>
                <w:szCs w:val="1"/>
                <w:color w:val="auto"/>
              </w:rPr>
            </w:pPr>
          </w:p>
        </w:tc>
        <w:tc>
          <w:tcPr>
            <w:tcW w:w="280" w:type="dxa"/>
            <w:vAlign w:val="bottom"/>
            <w:tcBorders>
              <w:bottom w:val="single" w:sz="8" w:color="E7E7E3"/>
            </w:tcBorders>
            <w:shd w:val="clear" w:color="auto" w:fill="FEFEFE"/>
          </w:tcPr>
          <w:p>
            <w:pPr>
              <w:spacing w:after="0" w:line="20" w:lineRule="exact"/>
              <w:rPr>
                <w:sz w:val="1"/>
                <w:szCs w:val="1"/>
                <w:color w:val="auto"/>
              </w:rPr>
            </w:pPr>
          </w:p>
        </w:tc>
        <w:tc>
          <w:tcPr>
            <w:tcW w:w="220" w:type="dxa"/>
            <w:vAlign w:val="bottom"/>
            <w:tcBorders>
              <w:bottom w:val="single" w:sz="8" w:color="auto"/>
            </w:tcBorders>
            <w:shd w:val="clear" w:color="auto" w:fill="FEFEFE"/>
          </w:tcPr>
          <w:p>
            <w:pPr>
              <w:spacing w:after="0" w:line="20" w:lineRule="exact"/>
              <w:rPr>
                <w:sz w:val="1"/>
                <w:szCs w:val="1"/>
                <w:color w:val="auto"/>
              </w:rPr>
            </w:pPr>
          </w:p>
        </w:tc>
        <w:tc>
          <w:tcPr>
            <w:tcW w:w="1240" w:type="dxa"/>
            <w:vAlign w:val="bottom"/>
            <w:tcBorders>
              <w:bottom w:val="single" w:sz="8" w:color="auto"/>
            </w:tcBorders>
            <w:shd w:val="clear" w:color="auto" w:fill="FEFEFE"/>
          </w:tcPr>
          <w:p>
            <w:pPr>
              <w:spacing w:after="0" w:line="20" w:lineRule="exact"/>
              <w:rPr>
                <w:sz w:val="1"/>
                <w:szCs w:val="1"/>
                <w:color w:val="auto"/>
              </w:rPr>
            </w:pPr>
          </w:p>
        </w:tc>
        <w:tc>
          <w:tcPr>
            <w:tcW w:w="320" w:type="dxa"/>
            <w:vAlign w:val="bottom"/>
            <w:tcBorders>
              <w:bottom w:val="single" w:sz="8" w:color="E7E7E3"/>
            </w:tcBorders>
            <w:shd w:val="clear" w:color="auto" w:fill="FEFEFE"/>
          </w:tcPr>
          <w:p>
            <w:pPr>
              <w:spacing w:after="0" w:line="20" w:lineRule="exact"/>
              <w:rPr>
                <w:sz w:val="1"/>
                <w:szCs w:val="1"/>
                <w:color w:val="auto"/>
              </w:rPr>
            </w:pPr>
          </w:p>
        </w:tc>
      </w:tr>
      <w:tr>
        <w:trPr>
          <w:trHeight w:val="208"/>
        </w:trPr>
        <w:tc>
          <w:tcPr>
            <w:tcW w:w="710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8"/>
                <w:szCs w:val="18"/>
                <w:color w:val="auto"/>
              </w:rPr>
              <w:t>Cash flow from operating activities (GAAP basis)</w:t>
            </w:r>
          </w:p>
        </w:tc>
        <w:tc>
          <w:tcPr>
            <w:tcW w:w="160" w:type="dxa"/>
            <w:vAlign w:val="bottom"/>
            <w:shd w:val="clear" w:color="auto" w:fill="E7E7E3"/>
          </w:tcPr>
          <w:p>
            <w:pPr>
              <w:spacing w:after="0"/>
              <w:rPr>
                <w:sz w:val="18"/>
                <w:szCs w:val="18"/>
                <w:color w:val="auto"/>
              </w:rPr>
            </w:pPr>
          </w:p>
        </w:tc>
        <w:tc>
          <w:tcPr>
            <w:tcW w:w="240" w:type="dxa"/>
            <w:vAlign w:val="bottom"/>
            <w:shd w:val="clear" w:color="auto" w:fill="E7E7E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shd w:val="clear" w:color="auto" w:fill="E7E7E3"/>
          </w:tcPr>
          <w:p>
            <w:pPr>
              <w:spacing w:after="0"/>
              <w:rPr>
                <w:sz w:val="18"/>
                <w:szCs w:val="18"/>
                <w:color w:val="auto"/>
              </w:rPr>
            </w:pPr>
          </w:p>
        </w:tc>
        <w:tc>
          <w:tcPr>
            <w:tcW w:w="220" w:type="dxa"/>
            <w:vAlign w:val="bottom"/>
            <w:shd w:val="clear" w:color="auto" w:fill="E7E7E3"/>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E7E7E3"/>
          </w:tcPr>
          <w:p>
            <w:pPr>
              <w:spacing w:after="0"/>
              <w:rPr>
                <w:sz w:val="18"/>
                <w:szCs w:val="18"/>
                <w:color w:val="auto"/>
              </w:rPr>
            </w:pPr>
          </w:p>
        </w:tc>
      </w:tr>
      <w:tr>
        <w:trPr>
          <w:trHeight w:val="221"/>
        </w:trPr>
        <w:tc>
          <w:tcPr>
            <w:tcW w:w="7100" w:type="dxa"/>
            <w:vAlign w:val="bottom"/>
            <w:tcBorders>
              <w:bottom w:val="single" w:sz="8" w:color="E7E7E3"/>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Capital expenditures, excluding store development</w:t>
            </w:r>
          </w:p>
        </w:tc>
        <w:tc>
          <w:tcPr>
            <w:tcW w:w="160" w:type="dxa"/>
            <w:vAlign w:val="bottom"/>
            <w:tcBorders>
              <w:bottom w:val="single" w:sz="8" w:color="E7E7E3"/>
            </w:tcBorders>
            <w:shd w:val="clear" w:color="auto" w:fill="FEFEFE"/>
          </w:tcPr>
          <w:p>
            <w:pPr>
              <w:spacing w:after="0"/>
              <w:rPr>
                <w:sz w:val="19"/>
                <w:szCs w:val="19"/>
                <w:color w:val="auto"/>
              </w:rPr>
            </w:pPr>
          </w:p>
        </w:tc>
        <w:tc>
          <w:tcPr>
            <w:tcW w:w="24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E7E7E3"/>
            </w:tcBorders>
            <w:shd w:val="clear" w:color="auto" w:fill="FEFEFE"/>
          </w:tcPr>
          <w:p>
            <w:pPr>
              <w:spacing w:after="0"/>
              <w:rPr>
                <w:sz w:val="19"/>
                <w:szCs w:val="19"/>
                <w:color w:val="auto"/>
              </w:rPr>
            </w:pPr>
          </w:p>
        </w:tc>
        <w:tc>
          <w:tcPr>
            <w:tcW w:w="22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bottom w:val="single" w:sz="8" w:color="E7E7E3"/>
            </w:tcBorders>
            <w:shd w:val="clear" w:color="auto" w:fill="FEFEFE"/>
          </w:tcPr>
          <w:p>
            <w:pPr>
              <w:spacing w:after="0"/>
              <w:rPr>
                <w:sz w:val="19"/>
                <w:szCs w:val="19"/>
                <w:color w:val="auto"/>
              </w:rPr>
            </w:pPr>
          </w:p>
        </w:tc>
      </w:tr>
      <w:tr>
        <w:trPr>
          <w:trHeight w:val="211"/>
        </w:trPr>
        <w:tc>
          <w:tcPr>
            <w:tcW w:w="7100" w:type="dxa"/>
            <w:vAlign w:val="bottom"/>
            <w:gridSpan w:val="2"/>
            <w:shd w:val="clear" w:color="auto" w:fill="E7E7E3"/>
          </w:tcPr>
          <w:p>
            <w:pPr>
              <w:ind w:left="200"/>
              <w:spacing w:after="0"/>
              <w:rPr>
                <w:sz w:val="20"/>
                <w:szCs w:val="20"/>
                <w:color w:val="auto"/>
              </w:rPr>
            </w:pPr>
            <w:r>
              <w:rPr>
                <w:rFonts w:ascii="Times New Roman" w:cs="Times New Roman" w:eastAsia="Times New Roman" w:hAnsi="Times New Roman"/>
                <w:sz w:val="18"/>
                <w:szCs w:val="18"/>
                <w:color w:val="auto"/>
              </w:rPr>
              <w:t>Free Cash Flow before capital expenditures for store development (non-GAAP basis)</w:t>
            </w:r>
          </w:p>
        </w:tc>
        <w:tc>
          <w:tcPr>
            <w:tcW w:w="160" w:type="dxa"/>
            <w:vAlign w:val="bottom"/>
            <w:shd w:val="clear" w:color="auto" w:fill="E7E7E3"/>
          </w:tcPr>
          <w:p>
            <w:pPr>
              <w:spacing w:after="0"/>
              <w:rPr>
                <w:sz w:val="18"/>
                <w:szCs w:val="18"/>
                <w:color w:val="auto"/>
              </w:rPr>
            </w:pPr>
          </w:p>
        </w:tc>
        <w:tc>
          <w:tcPr>
            <w:tcW w:w="240" w:type="dxa"/>
            <w:vAlign w:val="bottom"/>
            <w:shd w:val="clear" w:color="auto" w:fill="E7E7E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E7E7E3"/>
          </w:tcPr>
          <w:p>
            <w:pPr>
              <w:spacing w:after="0"/>
              <w:rPr>
                <w:sz w:val="18"/>
                <w:szCs w:val="18"/>
                <w:color w:val="auto"/>
              </w:rPr>
            </w:pPr>
          </w:p>
        </w:tc>
        <w:tc>
          <w:tcPr>
            <w:tcW w:w="220" w:type="dxa"/>
            <w:vAlign w:val="bottom"/>
            <w:shd w:val="clear" w:color="auto" w:fill="E7E7E3"/>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shd w:val="clear" w:color="auto" w:fill="E7E7E3"/>
          </w:tcPr>
          <w:p>
            <w:pPr>
              <w:spacing w:after="0"/>
              <w:rPr>
                <w:sz w:val="18"/>
                <w:szCs w:val="18"/>
                <w:color w:val="auto"/>
              </w:rPr>
            </w:pPr>
          </w:p>
        </w:tc>
      </w:tr>
      <w:tr>
        <w:trPr>
          <w:trHeight w:val="221"/>
        </w:trPr>
        <w:tc>
          <w:tcPr>
            <w:tcW w:w="7100" w:type="dxa"/>
            <w:vAlign w:val="bottom"/>
            <w:tcBorders>
              <w:bottom w:val="single" w:sz="8" w:color="E7E7E3"/>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Capital expenditures for store development</w:t>
            </w:r>
          </w:p>
        </w:tc>
        <w:tc>
          <w:tcPr>
            <w:tcW w:w="160" w:type="dxa"/>
            <w:vAlign w:val="bottom"/>
            <w:tcBorders>
              <w:bottom w:val="single" w:sz="8" w:color="E7E7E3"/>
            </w:tcBorders>
            <w:shd w:val="clear" w:color="auto" w:fill="FEFEFE"/>
          </w:tcPr>
          <w:p>
            <w:pPr>
              <w:spacing w:after="0"/>
              <w:rPr>
                <w:sz w:val="19"/>
                <w:szCs w:val="19"/>
                <w:color w:val="auto"/>
              </w:rPr>
            </w:pPr>
          </w:p>
        </w:tc>
        <w:tc>
          <w:tcPr>
            <w:tcW w:w="24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bottom w:val="single" w:sz="8" w:color="E7E7E3"/>
            </w:tcBorders>
            <w:shd w:val="clear" w:color="auto" w:fill="FEFEFE"/>
          </w:tcPr>
          <w:p>
            <w:pPr>
              <w:spacing w:after="0"/>
              <w:rPr>
                <w:sz w:val="19"/>
                <w:szCs w:val="19"/>
                <w:color w:val="auto"/>
              </w:rPr>
            </w:pPr>
          </w:p>
        </w:tc>
        <w:tc>
          <w:tcPr>
            <w:tcW w:w="220" w:type="dxa"/>
            <w:vAlign w:val="bottom"/>
            <w:tcBorders>
              <w:bottom w:val="single" w:sz="8" w:color="auto"/>
            </w:tcBorders>
            <w:shd w:val="clear" w:color="auto" w:fill="FEFEFE"/>
          </w:tcPr>
          <w:p>
            <w:pPr>
              <w:spacing w:after="0"/>
              <w:rPr>
                <w:sz w:val="19"/>
                <w:szCs w:val="19"/>
                <w:color w:val="auto"/>
              </w:rPr>
            </w:pP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bottom w:val="single" w:sz="8" w:color="E7E7E3"/>
            </w:tcBorders>
            <w:shd w:val="clear" w:color="auto" w:fill="FEFEFE"/>
          </w:tcPr>
          <w:p>
            <w:pPr>
              <w:spacing w:after="0"/>
              <w:rPr>
                <w:sz w:val="19"/>
                <w:szCs w:val="19"/>
                <w:color w:val="auto"/>
              </w:rPr>
            </w:pPr>
          </w:p>
        </w:tc>
      </w:tr>
      <w:tr>
        <w:trPr>
          <w:trHeight w:val="211"/>
        </w:trPr>
        <w:tc>
          <w:tcPr>
            <w:tcW w:w="7100" w:type="dxa"/>
            <w:vAlign w:val="bottom"/>
            <w:gridSpan w:val="2"/>
            <w:shd w:val="clear" w:color="auto" w:fill="E7E7E3"/>
          </w:tcPr>
          <w:p>
            <w:pPr>
              <w:ind w:left="200"/>
              <w:spacing w:after="0"/>
              <w:rPr>
                <w:sz w:val="20"/>
                <w:szCs w:val="20"/>
                <w:color w:val="auto"/>
              </w:rPr>
            </w:pPr>
            <w:r>
              <w:rPr>
                <w:rFonts w:ascii="Times New Roman" w:cs="Times New Roman" w:eastAsia="Times New Roman" w:hAnsi="Times New Roman"/>
                <w:sz w:val="18"/>
                <w:szCs w:val="18"/>
                <w:color w:val="auto"/>
              </w:rPr>
              <w:t>Free cash flow (non-GAAP basis)</w:t>
            </w:r>
          </w:p>
        </w:tc>
        <w:tc>
          <w:tcPr>
            <w:tcW w:w="160" w:type="dxa"/>
            <w:vAlign w:val="bottom"/>
            <w:shd w:val="clear" w:color="auto" w:fill="E7E7E3"/>
          </w:tcPr>
          <w:p>
            <w:pPr>
              <w:spacing w:after="0"/>
              <w:rPr>
                <w:sz w:val="18"/>
                <w:szCs w:val="18"/>
                <w:color w:val="auto"/>
              </w:rPr>
            </w:pPr>
          </w:p>
        </w:tc>
        <w:tc>
          <w:tcPr>
            <w:tcW w:w="240" w:type="dxa"/>
            <w:vAlign w:val="bottom"/>
            <w:tcBorders>
              <w:bottom w:val="single" w:sz="8" w:color="auto"/>
            </w:tcBorders>
            <w:shd w:val="clear" w:color="auto" w:fill="E7E7E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E7E7E3"/>
          </w:tcPr>
          <w:p>
            <w:pPr>
              <w:spacing w:after="0"/>
              <w:rPr>
                <w:sz w:val="18"/>
                <w:szCs w:val="18"/>
                <w:color w:val="auto"/>
              </w:rPr>
            </w:pPr>
          </w:p>
        </w:tc>
        <w:tc>
          <w:tcPr>
            <w:tcW w:w="220" w:type="dxa"/>
            <w:vAlign w:val="bottom"/>
            <w:tcBorders>
              <w:bottom w:val="single" w:sz="8" w:color="auto"/>
            </w:tcBorders>
            <w:shd w:val="clear" w:color="auto" w:fill="E7E7E3"/>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shd w:val="clear" w:color="auto" w:fill="E7E7E3"/>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Net Income and Adjusted Net Income Per Diluted Share</w:t>
      </w:r>
    </w:p>
    <w:p>
      <w:pPr>
        <w:spacing w:after="0" w:line="23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Adjusted net income and adjusted net income per diluted share is calculated by excluding any asset impairment charge (gain), accrual for estimated non-recurring legal settlement costs and the loss from the termination of retirement plans.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 The following table is a reconciliation of net income on a GAAP basis to adjusted net income, on a non-GAAP basis, for each fiscal year: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shd w:val="clear" w:color="auto" w:fill="FEFEFE"/>
          </w:tcPr>
          <w:p>
            <w:pPr>
              <w:spacing w:after="0"/>
              <w:rPr>
                <w:sz w:val="17"/>
                <w:szCs w:val="17"/>
                <w:color w:val="auto"/>
              </w:rPr>
            </w:pPr>
          </w:p>
        </w:tc>
        <w:tc>
          <w:tcPr>
            <w:tcW w:w="1800" w:type="dxa"/>
            <w:vAlign w:val="bottom"/>
            <w:shd w:val="clear" w:color="auto" w:fill="FEFEFE"/>
          </w:tcPr>
          <w:p>
            <w:pPr>
              <w:spacing w:after="0"/>
              <w:rPr>
                <w:sz w:val="17"/>
                <w:szCs w:val="17"/>
                <w:color w:val="auto"/>
              </w:rPr>
            </w:pPr>
          </w:p>
        </w:tc>
        <w:tc>
          <w:tcPr>
            <w:tcW w:w="31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680" w:type="dxa"/>
            <w:vAlign w:val="bottom"/>
            <w:shd w:val="clear" w:color="auto" w:fill="FEFEFE"/>
          </w:tcPr>
          <w:p>
            <w:pPr>
              <w:spacing w:after="0"/>
              <w:rPr>
                <w:sz w:val="17"/>
                <w:szCs w:val="17"/>
                <w:color w:val="auto"/>
              </w:rPr>
            </w:pPr>
          </w:p>
        </w:tc>
        <w:tc>
          <w:tcPr>
            <w:tcW w:w="1700" w:type="dxa"/>
            <w:vAlign w:val="bottom"/>
            <w:gridSpan w:val="5"/>
            <w:shd w:val="clear" w:color="auto" w:fill="FEFEFE"/>
          </w:tcPr>
          <w:p>
            <w:pPr>
              <w:jc w:val="right"/>
              <w:ind w:right="748"/>
              <w:spacing w:after="0"/>
              <w:rPr>
                <w:sz w:val="20"/>
                <w:szCs w:val="20"/>
                <w:color w:val="auto"/>
              </w:rPr>
            </w:pPr>
            <w:r>
              <w:rPr>
                <w:rFonts w:ascii="Times New Roman" w:cs="Times New Roman" w:eastAsia="Times New Roman" w:hAnsi="Times New Roman"/>
                <w:sz w:val="16"/>
                <w:szCs w:val="16"/>
                <w:color w:val="auto"/>
              </w:rPr>
              <w:t>Fiscal 2024</w:t>
            </w:r>
          </w:p>
        </w:tc>
        <w:tc>
          <w:tcPr>
            <w:tcW w:w="2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260" w:type="dxa"/>
            <w:vAlign w:val="bottom"/>
            <w:gridSpan w:val="5"/>
            <w:shd w:val="clear" w:color="auto" w:fill="FEFEFE"/>
          </w:tcPr>
          <w:p>
            <w:pPr>
              <w:jc w:val="right"/>
              <w:ind w:right="728"/>
              <w:spacing w:after="0"/>
              <w:rPr>
                <w:sz w:val="20"/>
                <w:szCs w:val="20"/>
                <w:color w:val="auto"/>
              </w:rPr>
            </w:pPr>
            <w:r>
              <w:rPr>
                <w:rFonts w:ascii="Times New Roman" w:cs="Times New Roman" w:eastAsia="Times New Roman" w:hAnsi="Times New Roman"/>
                <w:sz w:val="16"/>
                <w:szCs w:val="16"/>
                <w:color w:val="auto"/>
              </w:rPr>
              <w:t>Fiscal 2023</w:t>
            </w: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FEFEFE"/>
            </w:tcBorders>
            <w:shd w:val="clear" w:color="auto" w:fill="FEFEFE"/>
          </w:tcPr>
          <w:p>
            <w:pPr>
              <w:spacing w:after="0"/>
              <w:rPr>
                <w:sz w:val="14"/>
                <w:szCs w:val="14"/>
                <w:color w:val="auto"/>
              </w:rPr>
            </w:pPr>
          </w:p>
        </w:tc>
        <w:tc>
          <w:tcPr>
            <w:tcW w:w="1800" w:type="dxa"/>
            <w:vAlign w:val="bottom"/>
            <w:tcBorders>
              <w:top w:val="single" w:sz="8" w:color="FEFEFE"/>
            </w:tcBorders>
            <w:shd w:val="clear" w:color="auto" w:fill="FEFEFE"/>
          </w:tcPr>
          <w:p>
            <w:pPr>
              <w:spacing w:after="0"/>
              <w:rPr>
                <w:sz w:val="14"/>
                <w:szCs w:val="14"/>
                <w:color w:val="auto"/>
              </w:rPr>
            </w:pPr>
          </w:p>
        </w:tc>
        <w:tc>
          <w:tcPr>
            <w:tcW w:w="3180" w:type="dxa"/>
            <w:vAlign w:val="bottom"/>
            <w:tcBorders>
              <w:top w:val="single" w:sz="8" w:color="FEFEFE"/>
            </w:tcBorders>
            <w:shd w:val="clear" w:color="auto" w:fill="FEFEFE"/>
          </w:tcPr>
          <w:p>
            <w:pPr>
              <w:spacing w:after="0"/>
              <w:rPr>
                <w:sz w:val="14"/>
                <w:szCs w:val="14"/>
                <w:color w:val="auto"/>
              </w:rPr>
            </w:pPr>
          </w:p>
        </w:tc>
        <w:tc>
          <w:tcPr>
            <w:tcW w:w="140" w:type="dxa"/>
            <w:vAlign w:val="bottom"/>
            <w:tcBorders>
              <w:top w:val="single" w:sz="8" w:color="FEFEFE"/>
            </w:tcBorders>
            <w:shd w:val="clear" w:color="auto" w:fill="FEFEFE"/>
          </w:tcPr>
          <w:p>
            <w:pPr>
              <w:spacing w:after="0"/>
              <w:rPr>
                <w:sz w:val="14"/>
                <w:szCs w:val="14"/>
                <w:color w:val="auto"/>
              </w:rPr>
            </w:pPr>
          </w:p>
        </w:tc>
        <w:tc>
          <w:tcPr>
            <w:tcW w:w="680" w:type="dxa"/>
            <w:vAlign w:val="bottom"/>
            <w:shd w:val="clear" w:color="auto" w:fill="FEFEFE"/>
          </w:tcPr>
          <w:p>
            <w:pPr>
              <w:spacing w:after="0"/>
              <w:rPr>
                <w:sz w:val="14"/>
                <w:szCs w:val="14"/>
                <w:color w:val="auto"/>
              </w:rPr>
            </w:pPr>
          </w:p>
        </w:tc>
        <w:tc>
          <w:tcPr>
            <w:tcW w:w="440" w:type="dxa"/>
            <w:vAlign w:val="bottom"/>
            <w:shd w:val="clear" w:color="auto" w:fill="FEFEFE"/>
          </w:tcPr>
          <w:p>
            <w:pPr>
              <w:spacing w:after="0"/>
              <w:rPr>
                <w:sz w:val="14"/>
                <w:szCs w:val="14"/>
                <w:color w:val="auto"/>
              </w:rPr>
            </w:pPr>
          </w:p>
        </w:tc>
        <w:tc>
          <w:tcPr>
            <w:tcW w:w="100" w:type="dxa"/>
            <w:vAlign w:val="bottom"/>
            <w:tcBorders>
              <w:top w:val="single" w:sz="8" w:color="FEFEFE"/>
            </w:tcBorders>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00" w:type="dxa"/>
            <w:vAlign w:val="bottom"/>
            <w:shd w:val="clear" w:color="auto" w:fill="FEFEFE"/>
          </w:tcPr>
          <w:p>
            <w:pPr>
              <w:jc w:val="right"/>
              <w:ind w:right="68"/>
              <w:spacing w:after="0" w:line="171" w:lineRule="exact"/>
              <w:rPr>
                <w:sz w:val="20"/>
                <w:szCs w:val="20"/>
                <w:color w:val="auto"/>
              </w:rPr>
            </w:pPr>
            <w:r>
              <w:rPr>
                <w:rFonts w:ascii="Times New Roman" w:cs="Times New Roman" w:eastAsia="Times New Roman" w:hAnsi="Times New Roman"/>
                <w:sz w:val="16"/>
                <w:szCs w:val="16"/>
                <w:color w:val="auto"/>
              </w:rPr>
              <w:t>Per diluted</w:t>
            </w:r>
          </w:p>
        </w:tc>
        <w:tc>
          <w:tcPr>
            <w:tcW w:w="240" w:type="dxa"/>
            <w:vAlign w:val="bottom"/>
            <w:tcBorders>
              <w:top w:val="single" w:sz="8" w:color="FEFEFE"/>
            </w:tcBorders>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1000" w:type="dxa"/>
            <w:vAlign w:val="bottom"/>
            <w:shd w:val="clear" w:color="auto" w:fill="FEFEFE"/>
          </w:tcPr>
          <w:p>
            <w:pPr>
              <w:spacing w:after="0"/>
              <w:rPr>
                <w:sz w:val="14"/>
                <w:szCs w:val="14"/>
                <w:color w:val="auto"/>
              </w:rPr>
            </w:pPr>
          </w:p>
        </w:tc>
        <w:tc>
          <w:tcPr>
            <w:tcW w:w="120" w:type="dxa"/>
            <w:vAlign w:val="bottom"/>
            <w:tcBorders>
              <w:top w:val="single" w:sz="8" w:color="auto"/>
            </w:tcBorders>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880" w:type="dxa"/>
            <w:vAlign w:val="bottom"/>
            <w:shd w:val="clear" w:color="auto" w:fill="FEFEFE"/>
          </w:tcPr>
          <w:p>
            <w:pPr>
              <w:jc w:val="right"/>
              <w:ind w:right="68"/>
              <w:spacing w:after="0" w:line="171" w:lineRule="exact"/>
              <w:rPr>
                <w:sz w:val="20"/>
                <w:szCs w:val="20"/>
                <w:color w:val="auto"/>
              </w:rPr>
            </w:pPr>
            <w:r>
              <w:rPr>
                <w:rFonts w:ascii="Times New Roman" w:cs="Times New Roman" w:eastAsia="Times New Roman" w:hAnsi="Times New Roman"/>
                <w:sz w:val="16"/>
                <w:szCs w:val="16"/>
                <w:color w:val="auto"/>
              </w:rPr>
              <w:t>Per diluted</w:t>
            </w:r>
          </w:p>
        </w:tc>
        <w:tc>
          <w:tcPr>
            <w:tcW w:w="10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560" w:type="dxa"/>
            <w:vAlign w:val="bottom"/>
            <w:tcBorders>
              <w:bottom w:val="single" w:sz="8" w:color="FEFEFE"/>
            </w:tcBorders>
            <w:gridSpan w:val="3"/>
            <w:vMerge w:val="restart"/>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FEFEFE"/>
            </w:tcBorders>
            <w:shd w:val="clear" w:color="auto" w:fill="FEFEFE"/>
          </w:tcPr>
          <w:p>
            <w:pPr>
              <w:spacing w:after="0"/>
              <w:rPr>
                <w:sz w:val="17"/>
                <w:szCs w:val="17"/>
                <w:color w:val="auto"/>
              </w:rPr>
            </w:pPr>
          </w:p>
        </w:tc>
        <w:tc>
          <w:tcPr>
            <w:tcW w:w="680" w:type="dxa"/>
            <w:vAlign w:val="bottom"/>
            <w:tcBorders>
              <w:bottom w:val="single" w:sz="8" w:color="auto"/>
            </w:tcBorders>
            <w:shd w:val="clear" w:color="auto" w:fill="FEFEFE"/>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00" w:type="dxa"/>
            <w:vAlign w:val="bottom"/>
            <w:tcBorders>
              <w:bottom w:val="single" w:sz="8" w:color="auto"/>
            </w:tcBorders>
            <w:shd w:val="clear" w:color="auto" w:fill="FEFEFE"/>
          </w:tcPr>
          <w:p>
            <w:pPr>
              <w:jc w:val="right"/>
              <w:ind w:right="248"/>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000" w:type="dxa"/>
            <w:vAlign w:val="bottom"/>
            <w:tcBorders>
              <w:bottom w:val="single" w:sz="8" w:color="auto"/>
            </w:tcBorders>
            <w:shd w:val="clear" w:color="auto" w:fill="FEFEFE"/>
          </w:tcPr>
          <w:p>
            <w:pPr>
              <w:jc w:val="right"/>
              <w:ind w:right="42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880" w:type="dxa"/>
            <w:vAlign w:val="bottom"/>
            <w:tcBorders>
              <w:bottom w:val="single" w:sz="8" w:color="auto"/>
            </w:tcBorders>
            <w:shd w:val="clear" w:color="auto" w:fill="FEFEFE"/>
          </w:tcPr>
          <w:p>
            <w:pPr>
              <w:jc w:val="right"/>
              <w:ind w:right="248"/>
              <w:spacing w:after="0"/>
              <w:rPr>
                <w:sz w:val="20"/>
                <w:szCs w:val="20"/>
                <w:color w:val="auto"/>
              </w:rPr>
            </w:pPr>
            <w:r>
              <w:rPr>
                <w:rFonts w:ascii="Times New Roman" w:cs="Times New Roman" w:eastAsia="Times New Roman" w:hAnsi="Times New Roman"/>
                <w:sz w:val="16"/>
                <w:szCs w:val="16"/>
                <w:color w:val="auto"/>
              </w:rPr>
              <w:t>share</w:t>
            </w:r>
          </w:p>
        </w:tc>
        <w:tc>
          <w:tcPr>
            <w:tcW w:w="1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60" w:type="dxa"/>
            <w:vAlign w:val="bottom"/>
            <w:gridSpan w:val="3"/>
            <w:vMerge w:val="continue"/>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680" w:type="dxa"/>
            <w:vAlign w:val="bottom"/>
            <w:shd w:val="clear" w:color="auto" w:fill="FEFEFE"/>
          </w:tcPr>
          <w:p>
            <w:pPr>
              <w:spacing w:after="0"/>
              <w:rPr>
                <w:sz w:val="14"/>
                <w:szCs w:val="14"/>
                <w:color w:val="auto"/>
              </w:rPr>
            </w:pPr>
          </w:p>
        </w:tc>
        <w:tc>
          <w:tcPr>
            <w:tcW w:w="44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900" w:type="dxa"/>
            <w:vAlign w:val="bottom"/>
            <w:shd w:val="clear" w:color="auto" w:fill="FEFEFE"/>
          </w:tcPr>
          <w:p>
            <w:pPr>
              <w:spacing w:after="0"/>
              <w:rPr>
                <w:sz w:val="14"/>
                <w:szCs w:val="14"/>
                <w:color w:val="auto"/>
              </w:rPr>
            </w:pPr>
          </w:p>
        </w:tc>
        <w:tc>
          <w:tcPr>
            <w:tcW w:w="24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100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88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380" w:type="dxa"/>
            <w:vAlign w:val="bottom"/>
            <w:tcBorders>
              <w:top w:val="single" w:sz="8" w:color="auto"/>
            </w:tcBorders>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Net income (GAAP basis)</w:t>
            </w:r>
          </w:p>
        </w:tc>
        <w:tc>
          <w:tcPr>
            <w:tcW w:w="3180" w:type="dxa"/>
            <w:vAlign w:val="bottom"/>
            <w:tcBorders>
              <w:top w:val="single" w:sz="8" w:color="FEFEFE"/>
            </w:tcBorders>
            <w:shd w:val="clear" w:color="auto" w:fill="E7E7E3"/>
          </w:tcPr>
          <w:p>
            <w:pPr>
              <w:spacing w:after="0"/>
              <w:rPr>
                <w:sz w:val="20"/>
                <w:szCs w:val="20"/>
                <w:color w:val="auto"/>
              </w:rPr>
            </w:pPr>
          </w:p>
        </w:tc>
        <w:tc>
          <w:tcPr>
            <w:tcW w:w="140" w:type="dxa"/>
            <w:vAlign w:val="bottom"/>
            <w:tcBorders>
              <w:top w:val="single" w:sz="8" w:color="FEFEFE"/>
            </w:tcBorders>
            <w:shd w:val="clear" w:color="auto" w:fill="E7E7E3"/>
          </w:tcPr>
          <w:p>
            <w:pPr>
              <w:spacing w:after="0"/>
              <w:rPr>
                <w:sz w:val="20"/>
                <w:szCs w:val="20"/>
                <w:color w:val="auto"/>
              </w:rPr>
            </w:pPr>
          </w:p>
        </w:tc>
        <w:tc>
          <w:tcPr>
            <w:tcW w:w="680" w:type="dxa"/>
            <w:vAlign w:val="bottom"/>
            <w:tcBorders>
              <w:top w:val="single" w:sz="8" w:color="FEFEFE"/>
            </w:tcBorders>
            <w:shd w:val="clear" w:color="auto" w:fill="E7E7E3"/>
          </w:tcPr>
          <w:p>
            <w:pPr>
              <w:jc w:val="right"/>
              <w:ind w:right="487"/>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top w:val="single" w:sz="8" w:color="FEFEFE"/>
            </w:tcBorders>
            <w:shd w:val="clear" w:color="auto" w:fill="E7E7E3"/>
          </w:tcPr>
          <w:p>
            <w:pPr>
              <w:spacing w:after="0"/>
              <w:rPr>
                <w:sz w:val="20"/>
                <w:szCs w:val="20"/>
                <w:color w:val="auto"/>
              </w:rPr>
            </w:pPr>
          </w:p>
        </w:tc>
        <w:tc>
          <w:tcPr>
            <w:tcW w:w="140" w:type="dxa"/>
            <w:vAlign w:val="bottom"/>
            <w:tcBorders>
              <w:top w:val="single" w:sz="8" w:color="FEFEFE"/>
            </w:tcBorders>
            <w:shd w:val="clear" w:color="auto" w:fill="E7E7E3"/>
          </w:tcPr>
          <w:p>
            <w:pPr>
              <w:spacing w:after="0"/>
              <w:rPr>
                <w:sz w:val="20"/>
                <w:szCs w:val="20"/>
                <w:color w:val="auto"/>
              </w:rPr>
            </w:pPr>
          </w:p>
        </w:tc>
        <w:tc>
          <w:tcPr>
            <w:tcW w:w="12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40" w:type="dxa"/>
            <w:vAlign w:val="bottom"/>
            <w:tcBorders>
              <w:top w:val="single" w:sz="8" w:color="FEFEFE"/>
            </w:tcBorders>
            <w:shd w:val="clear" w:color="auto" w:fill="E7E7E3"/>
          </w:tcPr>
          <w:p>
            <w:pPr>
              <w:spacing w:after="0"/>
              <w:rPr>
                <w:sz w:val="20"/>
                <w:szCs w:val="20"/>
                <w:color w:val="auto"/>
              </w:rPr>
            </w:pPr>
          </w:p>
        </w:tc>
        <w:tc>
          <w:tcPr>
            <w:tcW w:w="12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20" w:type="dxa"/>
            <w:vAlign w:val="bottom"/>
            <w:tcBorders>
              <w:top w:val="single" w:sz="8" w:color="FEFEFE"/>
            </w:tcBorders>
            <w:shd w:val="clear" w:color="auto" w:fill="E7E7E3"/>
          </w:tcPr>
          <w:p>
            <w:pPr>
              <w:spacing w:after="0"/>
              <w:rPr>
                <w:sz w:val="20"/>
                <w:szCs w:val="20"/>
                <w:color w:val="auto"/>
              </w:rPr>
            </w:pPr>
          </w:p>
        </w:tc>
        <w:tc>
          <w:tcPr>
            <w:tcW w:w="120" w:type="dxa"/>
            <w:vAlign w:val="bottom"/>
            <w:tcBorders>
              <w:top w:val="single" w:sz="8" w:color="FEFEFE"/>
            </w:tcBorders>
            <w:shd w:val="clear" w:color="auto" w:fill="E7E7E3"/>
          </w:tcPr>
          <w:p>
            <w:pPr>
              <w:spacing w:after="0"/>
              <w:rPr>
                <w:sz w:val="20"/>
                <w:szCs w:val="20"/>
                <w:color w:val="auto"/>
              </w:rPr>
            </w:pPr>
          </w:p>
        </w:tc>
        <w:tc>
          <w:tcPr>
            <w:tcW w:w="14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100" w:type="dxa"/>
            <w:vAlign w:val="bottom"/>
            <w:tcBorders>
              <w:top w:val="single" w:sz="8" w:color="FEFEFE"/>
            </w:tcBorders>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0" w:type="dxa"/>
            <w:vAlign w:val="bottom"/>
            <w:shd w:val="clear" w:color="auto" w:fill="FEFEFE"/>
          </w:tcPr>
          <w:p>
            <w:pPr>
              <w:spacing w:after="0"/>
              <w:rPr>
                <w:sz w:val="21"/>
                <w:szCs w:val="21"/>
                <w:color w:val="auto"/>
              </w:rPr>
            </w:pPr>
          </w:p>
        </w:tc>
        <w:tc>
          <w:tcPr>
            <w:tcW w:w="5120" w:type="dxa"/>
            <w:vAlign w:val="bottom"/>
            <w:gridSpan w:val="3"/>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700" w:type="dxa"/>
            <w:vAlign w:val="bottom"/>
            <w:gridSpan w:val="4"/>
            <w:shd w:val="clear" w:color="auto" w:fill="E7E7E3"/>
          </w:tcPr>
          <w:p>
            <w:pPr>
              <w:spacing w:after="0" w:line="223" w:lineRule="exact"/>
              <w:rPr>
                <w:sz w:val="20"/>
                <w:szCs w:val="20"/>
                <w:color w:val="auto"/>
              </w:rPr>
            </w:pPr>
            <w:r>
              <w:rPr>
                <w:rFonts w:ascii="Times New Roman" w:cs="Times New Roman" w:eastAsia="Times New Roman" w:hAnsi="Times New Roman"/>
                <w:sz w:val="20"/>
                <w:szCs w:val="20"/>
                <w:color w:val="auto"/>
              </w:rPr>
              <w:t>Adjust:</w:t>
            </w:r>
          </w:p>
        </w:tc>
        <w:tc>
          <w:tcPr>
            <w:tcW w:w="680" w:type="dxa"/>
            <w:vAlign w:val="bottom"/>
            <w:shd w:val="clear" w:color="auto" w:fill="E7E7E3"/>
          </w:tcPr>
          <w:p>
            <w:pPr>
              <w:spacing w:after="0"/>
              <w:rPr>
                <w:sz w:val="19"/>
                <w:szCs w:val="19"/>
                <w:color w:val="auto"/>
              </w:rPr>
            </w:pPr>
          </w:p>
        </w:tc>
        <w:tc>
          <w:tcPr>
            <w:tcW w:w="4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900" w:type="dxa"/>
            <w:vAlign w:val="bottom"/>
            <w:shd w:val="clear" w:color="auto" w:fill="E7E7E3"/>
          </w:tcPr>
          <w:p>
            <w:pPr>
              <w:spacing w:after="0"/>
              <w:rPr>
                <w:sz w:val="19"/>
                <w:szCs w:val="19"/>
                <w:color w:val="auto"/>
              </w:rPr>
            </w:pPr>
          </w:p>
        </w:tc>
        <w:tc>
          <w:tcPr>
            <w:tcW w:w="24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00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1800" w:type="dxa"/>
            <w:vAlign w:val="bottom"/>
            <w:shd w:val="clear" w:color="auto" w:fill="E7E7E3"/>
          </w:tcPr>
          <w:p>
            <w:pPr>
              <w:spacing w:after="0" w:line="20" w:lineRule="exact"/>
              <w:rPr>
                <w:sz w:val="1"/>
                <w:szCs w:val="1"/>
                <w:color w:val="auto"/>
              </w:rPr>
            </w:pPr>
          </w:p>
        </w:tc>
        <w:tc>
          <w:tcPr>
            <w:tcW w:w="3180" w:type="dxa"/>
            <w:vAlign w:val="bottom"/>
            <w:shd w:val="clear" w:color="auto" w:fill="E7E7E3"/>
          </w:tcPr>
          <w:p>
            <w:pPr>
              <w:spacing w:after="0" w:line="20" w:lineRule="exact"/>
              <w:rPr>
                <w:sz w:val="1"/>
                <w:szCs w:val="1"/>
                <w:color w:val="auto"/>
              </w:rPr>
            </w:pPr>
          </w:p>
        </w:tc>
        <w:tc>
          <w:tcPr>
            <w:tcW w:w="140" w:type="dxa"/>
            <w:vAlign w:val="bottom"/>
            <w:shd w:val="clear" w:color="auto" w:fill="E7E7E3"/>
          </w:tcPr>
          <w:p>
            <w:pPr>
              <w:spacing w:after="0" w:line="20" w:lineRule="exact"/>
              <w:rPr>
                <w:sz w:val="1"/>
                <w:szCs w:val="1"/>
                <w:color w:val="auto"/>
              </w:rPr>
            </w:pPr>
          </w:p>
        </w:tc>
        <w:tc>
          <w:tcPr>
            <w:tcW w:w="680" w:type="dxa"/>
            <w:vAlign w:val="bottom"/>
            <w:shd w:val="clear" w:color="auto" w:fill="E7E7E3"/>
          </w:tcPr>
          <w:p>
            <w:pPr>
              <w:spacing w:after="0" w:line="20" w:lineRule="exact"/>
              <w:rPr>
                <w:sz w:val="1"/>
                <w:szCs w:val="1"/>
                <w:color w:val="auto"/>
              </w:rPr>
            </w:pPr>
          </w:p>
        </w:tc>
        <w:tc>
          <w:tcPr>
            <w:tcW w:w="440" w:type="dxa"/>
            <w:vAlign w:val="bottom"/>
            <w:shd w:val="clear" w:color="auto" w:fill="E7E7E3"/>
          </w:tcPr>
          <w:p>
            <w:pPr>
              <w:spacing w:after="0" w:line="20" w:lineRule="exact"/>
              <w:rPr>
                <w:sz w:val="1"/>
                <w:szCs w:val="1"/>
                <w:color w:val="auto"/>
              </w:rPr>
            </w:pPr>
          </w:p>
        </w:tc>
        <w:tc>
          <w:tcPr>
            <w:tcW w:w="100" w:type="dxa"/>
            <w:vAlign w:val="bottom"/>
            <w:shd w:val="clear" w:color="auto" w:fill="E7E7E3"/>
          </w:tcPr>
          <w:p>
            <w:pPr>
              <w:spacing w:after="0" w:line="20" w:lineRule="exact"/>
              <w:rPr>
                <w:sz w:val="1"/>
                <w:szCs w:val="1"/>
                <w:color w:val="auto"/>
              </w:rPr>
            </w:pPr>
          </w:p>
        </w:tc>
        <w:tc>
          <w:tcPr>
            <w:tcW w:w="140" w:type="dxa"/>
            <w:vAlign w:val="bottom"/>
            <w:shd w:val="clear" w:color="auto" w:fill="E7E7E3"/>
          </w:tcPr>
          <w:p>
            <w:pPr>
              <w:spacing w:after="0" w:line="20" w:lineRule="exact"/>
              <w:rPr>
                <w:sz w:val="1"/>
                <w:szCs w:val="1"/>
                <w:color w:val="auto"/>
              </w:rPr>
            </w:pPr>
          </w:p>
        </w:tc>
        <w:tc>
          <w:tcPr>
            <w:tcW w:w="120" w:type="dxa"/>
            <w:vAlign w:val="bottom"/>
            <w:shd w:val="clear" w:color="auto" w:fill="E7E7E3"/>
          </w:tcPr>
          <w:p>
            <w:pPr>
              <w:spacing w:after="0" w:line="20" w:lineRule="exact"/>
              <w:rPr>
                <w:sz w:val="1"/>
                <w:szCs w:val="1"/>
                <w:color w:val="auto"/>
              </w:rPr>
            </w:pPr>
          </w:p>
        </w:tc>
        <w:tc>
          <w:tcPr>
            <w:tcW w:w="900" w:type="dxa"/>
            <w:vAlign w:val="bottom"/>
            <w:shd w:val="clear" w:color="auto" w:fill="E7E7E3"/>
          </w:tcPr>
          <w:p>
            <w:pPr>
              <w:spacing w:after="0" w:line="20" w:lineRule="exact"/>
              <w:rPr>
                <w:sz w:val="1"/>
                <w:szCs w:val="1"/>
                <w:color w:val="auto"/>
              </w:rPr>
            </w:pPr>
          </w:p>
        </w:tc>
        <w:tc>
          <w:tcPr>
            <w:tcW w:w="240" w:type="dxa"/>
            <w:vAlign w:val="bottom"/>
            <w:shd w:val="clear" w:color="auto" w:fill="E7E7E3"/>
          </w:tcPr>
          <w:p>
            <w:pPr>
              <w:spacing w:after="0" w:line="20" w:lineRule="exact"/>
              <w:rPr>
                <w:sz w:val="1"/>
                <w:szCs w:val="1"/>
                <w:color w:val="auto"/>
              </w:rPr>
            </w:pPr>
          </w:p>
        </w:tc>
        <w:tc>
          <w:tcPr>
            <w:tcW w:w="120" w:type="dxa"/>
            <w:vAlign w:val="bottom"/>
            <w:shd w:val="clear" w:color="auto" w:fill="E7E7E3"/>
          </w:tcPr>
          <w:p>
            <w:pPr>
              <w:spacing w:after="0" w:line="20" w:lineRule="exact"/>
              <w:rPr>
                <w:sz w:val="1"/>
                <w:szCs w:val="1"/>
                <w:color w:val="auto"/>
              </w:rPr>
            </w:pPr>
          </w:p>
        </w:tc>
        <w:tc>
          <w:tcPr>
            <w:tcW w:w="1000" w:type="dxa"/>
            <w:vAlign w:val="bottom"/>
            <w:shd w:val="clear" w:color="auto" w:fill="E7E7E3"/>
          </w:tcPr>
          <w:p>
            <w:pPr>
              <w:spacing w:after="0" w:line="20" w:lineRule="exact"/>
              <w:rPr>
                <w:sz w:val="1"/>
                <w:szCs w:val="1"/>
                <w:color w:val="auto"/>
              </w:rPr>
            </w:pPr>
          </w:p>
        </w:tc>
        <w:tc>
          <w:tcPr>
            <w:tcW w:w="120" w:type="dxa"/>
            <w:vAlign w:val="bottom"/>
            <w:shd w:val="clear" w:color="auto" w:fill="E7E7E3"/>
          </w:tcPr>
          <w:p>
            <w:pPr>
              <w:spacing w:after="0" w:line="20" w:lineRule="exact"/>
              <w:rPr>
                <w:sz w:val="1"/>
                <w:szCs w:val="1"/>
                <w:color w:val="auto"/>
              </w:rPr>
            </w:pPr>
          </w:p>
        </w:tc>
        <w:tc>
          <w:tcPr>
            <w:tcW w:w="120" w:type="dxa"/>
            <w:vAlign w:val="bottom"/>
            <w:shd w:val="clear" w:color="auto" w:fill="E7E7E3"/>
          </w:tcPr>
          <w:p>
            <w:pPr>
              <w:spacing w:after="0" w:line="20" w:lineRule="exact"/>
              <w:rPr>
                <w:sz w:val="1"/>
                <w:szCs w:val="1"/>
                <w:color w:val="auto"/>
              </w:rPr>
            </w:pPr>
          </w:p>
        </w:tc>
        <w:tc>
          <w:tcPr>
            <w:tcW w:w="140" w:type="dxa"/>
            <w:vAlign w:val="bottom"/>
            <w:shd w:val="clear" w:color="auto" w:fill="E7E7E3"/>
          </w:tcPr>
          <w:p>
            <w:pPr>
              <w:spacing w:after="0" w:line="20" w:lineRule="exact"/>
              <w:rPr>
                <w:sz w:val="1"/>
                <w:szCs w:val="1"/>
                <w:color w:val="auto"/>
              </w:rPr>
            </w:pPr>
          </w:p>
        </w:tc>
        <w:tc>
          <w:tcPr>
            <w:tcW w:w="880" w:type="dxa"/>
            <w:vAlign w:val="bottom"/>
            <w:shd w:val="clear" w:color="auto" w:fill="E7E7E3"/>
          </w:tcPr>
          <w:p>
            <w:pPr>
              <w:spacing w:after="0" w:line="20" w:lineRule="exact"/>
              <w:rPr>
                <w:sz w:val="1"/>
                <w:szCs w:val="1"/>
                <w:color w:val="auto"/>
              </w:rPr>
            </w:pPr>
          </w:p>
        </w:tc>
        <w:tc>
          <w:tcPr>
            <w:tcW w:w="100" w:type="dxa"/>
            <w:vAlign w:val="bottom"/>
            <w:shd w:val="clear" w:color="auto" w:fill="E7E7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00" w:type="dxa"/>
            <w:vAlign w:val="bottom"/>
            <w:gridSpan w:val="4"/>
            <w:shd w:val="clear" w:color="auto" w:fill="FEFEFE"/>
          </w:tcPr>
          <w:p>
            <w:pPr>
              <w:spacing w:after="0"/>
              <w:rPr>
                <w:sz w:val="20"/>
                <w:szCs w:val="20"/>
                <w:color w:val="auto"/>
              </w:rPr>
            </w:pPr>
            <w:r>
              <w:rPr>
                <w:rFonts w:ascii="Times New Roman" w:cs="Times New Roman" w:eastAsia="Times New Roman" w:hAnsi="Times New Roman"/>
                <w:sz w:val="20"/>
                <w:szCs w:val="20"/>
                <w:color w:val="auto"/>
              </w:rPr>
              <w:t>Impairment of assets</w:t>
            </w:r>
          </w:p>
        </w:tc>
        <w:tc>
          <w:tcPr>
            <w:tcW w:w="680" w:type="dxa"/>
            <w:vAlign w:val="bottom"/>
            <w:shd w:val="clear" w:color="auto" w:fill="FEFEFE"/>
          </w:tcPr>
          <w:p>
            <w:pPr>
              <w:spacing w:after="0"/>
              <w:rPr>
                <w:sz w:val="21"/>
                <w:szCs w:val="21"/>
                <w:color w:val="auto"/>
              </w:rPr>
            </w:pPr>
          </w:p>
        </w:tc>
        <w:tc>
          <w:tcPr>
            <w:tcW w:w="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60" w:type="dxa"/>
            <w:vAlign w:val="bottom"/>
            <w:gridSpan w:val="3"/>
            <w:shd w:val="clear" w:color="auto" w:fill="E7E7E3"/>
          </w:tcPr>
          <w:p>
            <w:pPr>
              <w:spacing w:after="0"/>
              <w:rPr>
                <w:sz w:val="20"/>
                <w:szCs w:val="20"/>
                <w:color w:val="auto"/>
              </w:rPr>
            </w:pPr>
            <w:r>
              <w:rPr>
                <w:rFonts w:ascii="Times New Roman" w:cs="Times New Roman" w:eastAsia="Times New Roman" w:hAnsi="Times New Roman"/>
                <w:sz w:val="20"/>
                <w:szCs w:val="20"/>
                <w:color w:val="auto"/>
              </w:rPr>
              <w:t>Accrual for estimated non-recurring legal settlement costs</w:t>
            </w:r>
          </w:p>
        </w:tc>
        <w:tc>
          <w:tcPr>
            <w:tcW w:w="140" w:type="dxa"/>
            <w:vAlign w:val="bottom"/>
            <w:shd w:val="clear" w:color="auto" w:fill="E7E7E3"/>
          </w:tcPr>
          <w:p>
            <w:pPr>
              <w:spacing w:after="0"/>
              <w:rPr>
                <w:sz w:val="21"/>
                <w:szCs w:val="21"/>
                <w:color w:val="auto"/>
              </w:rPr>
            </w:pPr>
          </w:p>
        </w:tc>
        <w:tc>
          <w:tcPr>
            <w:tcW w:w="680" w:type="dxa"/>
            <w:vAlign w:val="bottom"/>
            <w:shd w:val="clear" w:color="auto" w:fill="E7E7E3"/>
          </w:tcPr>
          <w:p>
            <w:pPr>
              <w:spacing w:after="0"/>
              <w:rPr>
                <w:sz w:val="21"/>
                <w:szCs w:val="21"/>
                <w:color w:val="auto"/>
              </w:rPr>
            </w:pPr>
          </w:p>
        </w:tc>
        <w:tc>
          <w:tcPr>
            <w:tcW w:w="4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88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6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20"/>
                <w:szCs w:val="20"/>
                <w:color w:val="auto"/>
              </w:rPr>
              <w:t>Loss from termination of retirement plans</w:t>
            </w:r>
          </w:p>
        </w:tc>
        <w:tc>
          <w:tcPr>
            <w:tcW w:w="140" w:type="dxa"/>
            <w:vAlign w:val="bottom"/>
            <w:shd w:val="clear" w:color="auto" w:fill="FEFEFE"/>
          </w:tcPr>
          <w:p>
            <w:pPr>
              <w:spacing w:after="0"/>
              <w:rPr>
                <w:sz w:val="21"/>
                <w:szCs w:val="21"/>
                <w:color w:val="auto"/>
              </w:rPr>
            </w:pPr>
          </w:p>
        </w:tc>
        <w:tc>
          <w:tcPr>
            <w:tcW w:w="680" w:type="dxa"/>
            <w:vAlign w:val="bottom"/>
            <w:shd w:val="clear" w:color="auto" w:fill="FEFEFE"/>
          </w:tcPr>
          <w:p>
            <w:pPr>
              <w:spacing w:after="0"/>
              <w:rPr>
                <w:sz w:val="21"/>
                <w:szCs w:val="21"/>
                <w:color w:val="auto"/>
              </w:rPr>
            </w:pPr>
          </w:p>
        </w:tc>
        <w:tc>
          <w:tcPr>
            <w:tcW w:w="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gridSpan w:val="4"/>
            <w:shd w:val="clear" w:color="auto" w:fill="E7E7E3"/>
          </w:tcPr>
          <w:p>
            <w:pPr>
              <w:spacing w:after="0"/>
              <w:rPr>
                <w:sz w:val="20"/>
                <w:szCs w:val="20"/>
                <w:color w:val="auto"/>
              </w:rPr>
            </w:pPr>
            <w:r>
              <w:rPr>
                <w:rFonts w:ascii="Times New Roman" w:cs="Times New Roman" w:eastAsia="Times New Roman" w:hAnsi="Times New Roman"/>
                <w:sz w:val="20"/>
                <w:szCs w:val="20"/>
                <w:color w:val="auto"/>
              </w:rPr>
              <w:t xml:space="preserve">Income tax effect of adjustments </w:t>
            </w:r>
            <w:r>
              <w:rPr>
                <w:rFonts w:ascii="Times New Roman" w:cs="Times New Roman" w:eastAsia="Times New Roman" w:hAnsi="Times New Roman"/>
                <w:sz w:val="13"/>
                <w:szCs w:val="13"/>
                <w:color w:val="auto"/>
              </w:rPr>
              <w:t>(1)</w:t>
            </w:r>
          </w:p>
        </w:tc>
        <w:tc>
          <w:tcPr>
            <w:tcW w:w="680" w:type="dxa"/>
            <w:vAlign w:val="bottom"/>
            <w:shd w:val="clear" w:color="auto" w:fill="E7E7E3"/>
          </w:tcPr>
          <w:p>
            <w:pPr>
              <w:spacing w:after="0"/>
              <w:rPr>
                <w:sz w:val="21"/>
                <w:szCs w:val="21"/>
                <w:color w:val="auto"/>
              </w:rPr>
            </w:pPr>
          </w:p>
        </w:tc>
        <w:tc>
          <w:tcPr>
            <w:tcW w:w="5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1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88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00" w:type="dxa"/>
            <w:vAlign w:val="bottom"/>
            <w:tcBorders>
              <w:top w:val="single" w:sz="8" w:color="FEFEFE"/>
              <w:bottom w:val="single" w:sz="8" w:color="E7E7E3"/>
            </w:tcBorders>
            <w:gridSpan w:val="4"/>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Adjusted net income (non-GAAP basis)</w:t>
            </w:r>
          </w:p>
        </w:tc>
        <w:tc>
          <w:tcPr>
            <w:tcW w:w="680" w:type="dxa"/>
            <w:vAlign w:val="bottom"/>
            <w:tcBorders>
              <w:top w:val="single" w:sz="8" w:color="auto"/>
              <w:bottom w:val="single" w:sz="8" w:color="auto"/>
            </w:tcBorders>
            <w:shd w:val="clear" w:color="auto" w:fill="FEFEFE"/>
          </w:tcPr>
          <w:p>
            <w:pPr>
              <w:jc w:val="right"/>
              <w:ind w:right="487"/>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Borders>
              <w:top w:val="single" w:sz="8" w:color="FEFEFE"/>
              <w:bottom w:val="single" w:sz="8" w:color="E7E7E3"/>
            </w:tcBorders>
            <w:shd w:val="clear" w:color="auto" w:fill="FEFEFE"/>
          </w:tcPr>
          <w:p>
            <w:pPr>
              <w:spacing w:after="0"/>
              <w:rPr>
                <w:sz w:val="22"/>
                <w:szCs w:val="22"/>
                <w:color w:val="auto"/>
              </w:rPr>
            </w:pPr>
          </w:p>
        </w:tc>
        <w:tc>
          <w:tcPr>
            <w:tcW w:w="140" w:type="dxa"/>
            <w:vAlign w:val="bottom"/>
            <w:tcBorders>
              <w:top w:val="single" w:sz="8" w:color="FEFEFE"/>
              <w:bottom w:val="single" w:sz="8" w:color="E7E7E3"/>
            </w:tcBorders>
            <w:shd w:val="clear" w:color="auto" w:fill="FEFEFE"/>
          </w:tcPr>
          <w:p>
            <w:pPr>
              <w:spacing w:after="0"/>
              <w:rPr>
                <w:sz w:val="22"/>
                <w:szCs w:val="22"/>
                <w:color w:val="auto"/>
              </w:rPr>
            </w:pP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240" w:type="dxa"/>
            <w:vAlign w:val="bottom"/>
            <w:tcBorders>
              <w:top w:val="single" w:sz="8" w:color="FEFEFE"/>
              <w:bottom w:val="single" w:sz="8" w:color="E7E7E3"/>
            </w:tcBorders>
            <w:shd w:val="clear" w:color="auto" w:fill="FEFEFE"/>
          </w:tcPr>
          <w:p>
            <w:pPr>
              <w:spacing w:after="0"/>
              <w:rPr>
                <w:sz w:val="22"/>
                <w:szCs w:val="22"/>
                <w:color w:val="auto"/>
              </w:rPr>
            </w:pP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120" w:type="dxa"/>
            <w:vAlign w:val="bottom"/>
            <w:tcBorders>
              <w:top w:val="single" w:sz="8" w:color="FEFEFE"/>
              <w:bottom w:val="single" w:sz="8" w:color="E7E7E3"/>
            </w:tcBorders>
            <w:shd w:val="clear" w:color="auto" w:fill="FEFEFE"/>
          </w:tcPr>
          <w:p>
            <w:pPr>
              <w:spacing w:after="0"/>
              <w:rPr>
                <w:sz w:val="22"/>
                <w:szCs w:val="22"/>
                <w:color w:val="auto"/>
              </w:rPr>
            </w:pPr>
          </w:p>
        </w:tc>
        <w:tc>
          <w:tcPr>
            <w:tcW w:w="120" w:type="dxa"/>
            <w:vAlign w:val="bottom"/>
            <w:tcBorders>
              <w:top w:val="single" w:sz="8" w:color="FEFEFE"/>
              <w:bottom w:val="single" w:sz="8" w:color="E7E7E3"/>
            </w:tcBorders>
            <w:shd w:val="clear" w:color="auto" w:fill="FEFEFE"/>
          </w:tcPr>
          <w:p>
            <w:pPr>
              <w:spacing w:after="0"/>
              <w:rPr>
                <w:sz w:val="22"/>
                <w:szCs w:val="22"/>
                <w:color w:val="auto"/>
              </w:rPr>
            </w:pPr>
          </w:p>
        </w:tc>
        <w:tc>
          <w:tcPr>
            <w:tcW w:w="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100" w:type="dxa"/>
            <w:vAlign w:val="bottom"/>
            <w:tcBorders>
              <w:top w:val="single" w:sz="8" w:color="FEFEFE"/>
              <w:bottom w:val="single" w:sz="8" w:color="E7E7E3"/>
            </w:tcBorders>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80" w:type="dxa"/>
            <w:vAlign w:val="bottom"/>
            <w:shd w:val="clear" w:color="auto" w:fill="E7E7E3"/>
          </w:tcPr>
          <w:p>
            <w:pPr>
              <w:spacing w:after="0"/>
              <w:rPr>
                <w:sz w:val="21"/>
                <w:szCs w:val="21"/>
                <w:color w:val="auto"/>
              </w:rPr>
            </w:pPr>
          </w:p>
        </w:tc>
        <w:tc>
          <w:tcPr>
            <w:tcW w:w="1800" w:type="dxa"/>
            <w:vAlign w:val="bottom"/>
            <w:shd w:val="clear" w:color="auto" w:fill="E7E7E3"/>
          </w:tcPr>
          <w:p>
            <w:pPr>
              <w:spacing w:after="0"/>
              <w:rPr>
                <w:sz w:val="21"/>
                <w:szCs w:val="21"/>
                <w:color w:val="auto"/>
              </w:rPr>
            </w:pPr>
          </w:p>
        </w:tc>
        <w:tc>
          <w:tcPr>
            <w:tcW w:w="318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680" w:type="dxa"/>
            <w:vAlign w:val="bottom"/>
            <w:shd w:val="clear" w:color="auto" w:fill="E7E7E3"/>
          </w:tcPr>
          <w:p>
            <w:pPr>
              <w:spacing w:after="0"/>
              <w:rPr>
                <w:sz w:val="21"/>
                <w:szCs w:val="21"/>
                <w:color w:val="auto"/>
              </w:rPr>
            </w:pPr>
          </w:p>
        </w:tc>
        <w:tc>
          <w:tcPr>
            <w:tcW w:w="44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0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88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gridSpan w:val="4"/>
            <w:shd w:val="clear" w:color="auto" w:fill="FEFEFE"/>
          </w:tcPr>
          <w:p>
            <w:pPr>
              <w:spacing w:after="0" w:line="223" w:lineRule="exact"/>
              <w:rPr>
                <w:sz w:val="20"/>
                <w:szCs w:val="20"/>
                <w:color w:val="auto"/>
              </w:rPr>
            </w:pPr>
            <w:r>
              <w:rPr>
                <w:rFonts w:ascii="Times New Roman" w:cs="Times New Roman" w:eastAsia="Times New Roman" w:hAnsi="Times New Roman"/>
                <w:sz w:val="20"/>
                <w:szCs w:val="20"/>
                <w:color w:val="auto"/>
              </w:rPr>
              <w:t>Weighted average number of common shares</w:t>
            </w:r>
          </w:p>
        </w:tc>
        <w:tc>
          <w:tcPr>
            <w:tcW w:w="68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90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700" w:type="dxa"/>
            <w:vAlign w:val="bottom"/>
            <w:gridSpan w:val="4"/>
            <w:shd w:val="clear" w:color="auto" w:fill="FEFEFE"/>
          </w:tcPr>
          <w:p>
            <w:pPr>
              <w:ind w:left="160"/>
              <w:spacing w:after="0"/>
              <w:rPr>
                <w:sz w:val="20"/>
                <w:szCs w:val="20"/>
                <w:color w:val="auto"/>
              </w:rPr>
            </w:pPr>
            <w:r>
              <w:rPr>
                <w:rFonts w:ascii="Times New Roman" w:cs="Times New Roman" w:eastAsia="Times New Roman" w:hAnsi="Times New Roman"/>
                <w:sz w:val="20"/>
                <w:szCs w:val="20"/>
                <w:color w:val="auto"/>
              </w:rPr>
              <w:t>outstanding on a diluted basis</w:t>
            </w:r>
          </w:p>
        </w:tc>
        <w:tc>
          <w:tcPr>
            <w:tcW w:w="68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2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-2122805</wp:posOffset>
            </wp:positionV>
            <wp:extent cx="319913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9130" cy="311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income tax effect of pre-tax adjustments to net income was calculated using the applicable effective tax rate for each respective year.</w:t>
      </w:r>
    </w:p>
    <w:p>
      <w:pPr>
        <w:sectPr>
          <w:pgSz w:w="11880" w:h="15480" w:orient="portrait"/>
          <w:cols w:equalWidth="0" w:num="1">
            <w:col w:w="10800"/>
          </w:cols>
          <w:pgMar w:left="540" w:top="6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0"/>
          </w:cols>
          <w:pgMar w:left="540" w:top="650" w:right="54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Adjusted EBITDA and Adjusted EBITDA Margin</w:t>
      </w:r>
    </w:p>
    <w:p>
      <w:pPr>
        <w:spacing w:after="0" w:line="11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and the loss on termination of retirement plans. The accrual for estimated non-recurring legal settlement costs is excluded from adjusted EBITDA due to its unusual and non-recurring nature. Adjusted EBITDA margin is calculated as adjusted EBITDA divided by sales.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reconciliation of net income on a GAAP basis to adjusted EBITDA and adjusted EBITDA margin, on a non-</w:t>
      </w:r>
    </w:p>
    <w:p>
      <w:pPr>
        <w:spacing w:after="0"/>
        <w:rPr>
          <w:sz w:val="20"/>
          <w:szCs w:val="20"/>
          <w:color w:val="auto"/>
        </w:rPr>
      </w:pPr>
      <w:r>
        <w:rPr>
          <w:rFonts w:ascii="Times New Roman" w:cs="Times New Roman" w:eastAsia="Times New Roman" w:hAnsi="Times New Roman"/>
          <w:sz w:val="20"/>
          <w:szCs w:val="20"/>
          <w:color w:val="auto"/>
        </w:rPr>
        <w:t>GAAP basis, for each 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491"/>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6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1260" w:type="dxa"/>
            <w:vAlign w:val="bottom"/>
            <w:shd w:val="clear" w:color="auto" w:fill="FEFEFE"/>
          </w:tcPr>
          <w:p>
            <w:pPr>
              <w:jc w:val="right"/>
              <w:ind w:right="282"/>
              <w:spacing w:after="0"/>
              <w:rPr>
                <w:sz w:val="20"/>
                <w:szCs w:val="20"/>
                <w:color w:val="auto"/>
              </w:rPr>
            </w:pPr>
            <w:r>
              <w:rPr>
                <w:rFonts w:ascii="Times New Roman" w:cs="Times New Roman" w:eastAsia="Times New Roman" w:hAnsi="Times New Roman"/>
                <w:sz w:val="16"/>
                <w:szCs w:val="16"/>
                <w:color w:val="auto"/>
              </w:rPr>
              <w:t>Fiscal 2024</w:t>
            </w:r>
          </w:p>
        </w:tc>
        <w:tc>
          <w:tcPr>
            <w:tcW w:w="42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1360" w:type="dxa"/>
            <w:vAlign w:val="bottom"/>
            <w:shd w:val="clear" w:color="auto" w:fill="FEFEFE"/>
          </w:tcPr>
          <w:p>
            <w:pPr>
              <w:jc w:val="right"/>
              <w:ind w:right="362"/>
              <w:spacing w:after="0"/>
              <w:rPr>
                <w:sz w:val="20"/>
                <w:szCs w:val="20"/>
                <w:color w:val="auto"/>
              </w:rPr>
            </w:pPr>
            <w:r>
              <w:rPr>
                <w:rFonts w:ascii="Times New Roman" w:cs="Times New Roman" w:eastAsia="Times New Roman" w:hAnsi="Times New Roman"/>
                <w:sz w:val="16"/>
                <w:szCs w:val="16"/>
                <w:color w:val="auto"/>
              </w:rPr>
              <w:t>Fiscal 2023</w:t>
            </w:r>
          </w:p>
        </w:tc>
        <w:tc>
          <w:tcPr>
            <w:tcW w:w="3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500" w:type="dxa"/>
            <w:vAlign w:val="bottom"/>
            <w:tcBorders>
              <w:top w:val="single" w:sz="8" w:color="auto"/>
            </w:tcBorders>
            <w:shd w:val="clear" w:color="auto" w:fill="FEFEFE"/>
          </w:tcPr>
          <w:p>
            <w:pPr>
              <w:spacing w:after="0"/>
              <w:rPr>
                <w:sz w:val="18"/>
                <w:szCs w:val="18"/>
                <w:color w:val="auto"/>
              </w:rPr>
            </w:pPr>
          </w:p>
        </w:tc>
        <w:tc>
          <w:tcPr>
            <w:tcW w:w="4240" w:type="dxa"/>
            <w:vAlign w:val="bottom"/>
            <w:tcBorders>
              <w:top w:val="single" w:sz="8" w:color="FEFEFE"/>
            </w:tcBorders>
            <w:shd w:val="clear" w:color="auto" w:fill="FEFEFE"/>
          </w:tcPr>
          <w:p>
            <w:pPr>
              <w:spacing w:after="0"/>
              <w:rPr>
                <w:sz w:val="18"/>
                <w:szCs w:val="18"/>
                <w:color w:val="auto"/>
              </w:rPr>
            </w:pPr>
          </w:p>
        </w:tc>
        <w:tc>
          <w:tcPr>
            <w:tcW w:w="160" w:type="dxa"/>
            <w:vAlign w:val="bottom"/>
            <w:tcBorders>
              <w:top w:val="single" w:sz="8" w:color="FEFEFE"/>
            </w:tcBorders>
            <w:shd w:val="clear" w:color="auto" w:fill="FEFEFE"/>
          </w:tcPr>
          <w:p>
            <w:pPr>
              <w:spacing w:after="0"/>
              <w:rPr>
                <w:sz w:val="18"/>
                <w:szCs w:val="18"/>
                <w:color w:val="auto"/>
              </w:rPr>
            </w:pPr>
          </w:p>
        </w:tc>
        <w:tc>
          <w:tcPr>
            <w:tcW w:w="240" w:type="dxa"/>
            <w:vAlign w:val="bottom"/>
            <w:tcBorders>
              <w:top w:val="single" w:sz="8" w:color="auto"/>
            </w:tcBorders>
            <w:vMerge w:val="restart"/>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vMerge w:val="restart"/>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420" w:type="dxa"/>
            <w:vAlign w:val="bottom"/>
            <w:tcBorders>
              <w:top w:val="single" w:sz="8" w:color="FEFEFE"/>
            </w:tcBorders>
            <w:shd w:val="clear" w:color="auto" w:fill="FEFEFE"/>
          </w:tcPr>
          <w:p>
            <w:pPr>
              <w:spacing w:after="0"/>
              <w:rPr>
                <w:sz w:val="18"/>
                <w:szCs w:val="18"/>
                <w:color w:val="auto"/>
              </w:rPr>
            </w:pPr>
          </w:p>
        </w:tc>
        <w:tc>
          <w:tcPr>
            <w:tcW w:w="260" w:type="dxa"/>
            <w:vAlign w:val="bottom"/>
            <w:tcBorders>
              <w:top w:val="single" w:sz="8" w:color="auto"/>
            </w:tcBorders>
            <w:vMerge w:val="restart"/>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vMerge w:val="restart"/>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60" w:type="dxa"/>
            <w:vAlign w:val="bottom"/>
            <w:tcBorders>
              <w:top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income, on a GAAP basis</w:t>
            </w:r>
          </w:p>
        </w:tc>
        <w:tc>
          <w:tcPr>
            <w:tcW w:w="160" w:type="dxa"/>
            <w:vAlign w:val="bottom"/>
            <w:shd w:val="clear" w:color="auto" w:fill="FEFEFE"/>
          </w:tcPr>
          <w:p>
            <w:pPr>
              <w:spacing w:after="0"/>
              <w:rPr>
                <w:sz w:val="21"/>
                <w:szCs w:val="21"/>
                <w:color w:val="auto"/>
              </w:rPr>
            </w:pPr>
          </w:p>
        </w:tc>
        <w:tc>
          <w:tcPr>
            <w:tcW w:w="240" w:type="dxa"/>
            <w:vAlign w:val="bottom"/>
            <w:vMerge w:val="continue"/>
            <w:shd w:val="clear" w:color="auto" w:fill="FEFEFE"/>
          </w:tcPr>
          <w:p>
            <w:pPr>
              <w:spacing w:after="0"/>
              <w:rPr>
                <w:sz w:val="21"/>
                <w:szCs w:val="21"/>
                <w:color w:val="auto"/>
              </w:rPr>
            </w:pPr>
          </w:p>
        </w:tc>
        <w:tc>
          <w:tcPr>
            <w:tcW w:w="1260" w:type="dxa"/>
            <w:vAlign w:val="bottom"/>
            <w:vMerge w:val="continue"/>
            <w:shd w:val="clear" w:color="auto" w:fill="FEFEFE"/>
          </w:tcPr>
          <w:p>
            <w:pPr>
              <w:spacing w:after="0"/>
              <w:rPr>
                <w:sz w:val="21"/>
                <w:szCs w:val="21"/>
                <w:color w:val="auto"/>
              </w:rPr>
            </w:pPr>
          </w:p>
        </w:tc>
        <w:tc>
          <w:tcPr>
            <w:tcW w:w="420" w:type="dxa"/>
            <w:vAlign w:val="bottom"/>
            <w:shd w:val="clear" w:color="auto" w:fill="FEFEFE"/>
          </w:tcPr>
          <w:p>
            <w:pPr>
              <w:spacing w:after="0"/>
              <w:rPr>
                <w:sz w:val="21"/>
                <w:szCs w:val="21"/>
                <w:color w:val="auto"/>
              </w:rPr>
            </w:pPr>
          </w:p>
        </w:tc>
        <w:tc>
          <w:tcPr>
            <w:tcW w:w="260" w:type="dxa"/>
            <w:vAlign w:val="bottom"/>
            <w:vMerge w:val="continue"/>
            <w:shd w:val="clear" w:color="auto" w:fill="FEFEFE"/>
          </w:tcPr>
          <w:p>
            <w:pPr>
              <w:spacing w:after="0"/>
              <w:rPr>
                <w:sz w:val="21"/>
                <w:szCs w:val="21"/>
                <w:color w:val="auto"/>
              </w:rPr>
            </w:pPr>
          </w:p>
        </w:tc>
        <w:tc>
          <w:tcPr>
            <w:tcW w:w="1360" w:type="dxa"/>
            <w:vAlign w:val="bottom"/>
            <w:vMerge w:val="continue"/>
            <w:shd w:val="clear" w:color="auto" w:fill="FEFEFE"/>
          </w:tcPr>
          <w:p>
            <w:pPr>
              <w:spacing w:after="0"/>
              <w:rPr>
                <w:sz w:val="21"/>
                <w:szCs w:val="21"/>
                <w:color w:val="auto"/>
              </w:rPr>
            </w:pPr>
          </w:p>
        </w:tc>
        <w:tc>
          <w:tcPr>
            <w:tcW w:w="36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Add back:</w:t>
            </w:r>
          </w:p>
        </w:tc>
        <w:tc>
          <w:tcPr>
            <w:tcW w:w="16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60" w:type="dxa"/>
            <w:vAlign w:val="bottom"/>
            <w:shd w:val="clear" w:color="auto" w:fill="E7E7E3"/>
          </w:tcPr>
          <w:p>
            <w:pPr>
              <w:spacing w:after="0"/>
              <w:rPr>
                <w:sz w:val="21"/>
                <w:szCs w:val="21"/>
                <w:color w:val="auto"/>
              </w:rPr>
            </w:pPr>
          </w:p>
        </w:tc>
        <w:tc>
          <w:tcPr>
            <w:tcW w:w="42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360" w:type="dxa"/>
            <w:vAlign w:val="bottom"/>
            <w:shd w:val="clear" w:color="auto" w:fill="E7E7E3"/>
          </w:tcPr>
          <w:p>
            <w:pPr>
              <w:spacing w:after="0"/>
              <w:rPr>
                <w:sz w:val="21"/>
                <w:szCs w:val="21"/>
                <w:color w:val="auto"/>
              </w:rPr>
            </w:pPr>
          </w:p>
        </w:tc>
        <w:tc>
          <w:tcPr>
            <w:tcW w:w="36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Impairment of assets</w:t>
            </w:r>
          </w:p>
        </w:tc>
        <w:tc>
          <w:tcPr>
            <w:tcW w:w="1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2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6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Accrual for estimated non-recurring legal settlement costs</w:t>
            </w:r>
          </w:p>
        </w:tc>
        <w:tc>
          <w:tcPr>
            <w:tcW w:w="16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2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Loss on termination of retirement plans</w:t>
            </w:r>
          </w:p>
        </w:tc>
        <w:tc>
          <w:tcPr>
            <w:tcW w:w="1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2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36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6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2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42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36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income, net</w:t>
            </w:r>
          </w:p>
        </w:tc>
        <w:tc>
          <w:tcPr>
            <w:tcW w:w="1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680" w:type="dxa"/>
            <w:vAlign w:val="bottom"/>
            <w:gridSpan w:val="2"/>
            <w:shd w:val="clear" w:color="auto" w:fill="FEFEFE"/>
          </w:tcPr>
          <w:p>
            <w:pPr>
              <w:jc w:val="right"/>
              <w:ind w:right="360"/>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shd w:val="clear" w:color="auto" w:fill="FEFEFE"/>
          </w:tcPr>
          <w:p>
            <w:pPr>
              <w:spacing w:after="0"/>
              <w:rPr>
                <w:sz w:val="21"/>
                <w:szCs w:val="21"/>
                <w:color w:val="auto"/>
              </w:rPr>
            </w:pPr>
          </w:p>
        </w:tc>
        <w:tc>
          <w:tcPr>
            <w:tcW w:w="1720" w:type="dxa"/>
            <w:vAlign w:val="bottom"/>
            <w:gridSpan w:val="2"/>
            <w:shd w:val="clear" w:color="auto" w:fill="FEFEFE"/>
          </w:tcPr>
          <w:p>
            <w:pPr>
              <w:jc w:val="right"/>
              <w:ind w:right="30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FEFEFE"/>
            </w:tcBorders>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Borders>
              <w:bottom w:val="single" w:sz="8" w:color="FEFEFE"/>
            </w:tcBorders>
            <w:shd w:val="clear" w:color="auto" w:fill="E7E7E3"/>
          </w:tcPr>
          <w:p>
            <w:pPr>
              <w:spacing w:after="0"/>
              <w:rPr>
                <w:sz w:val="21"/>
                <w:szCs w:val="21"/>
                <w:color w:val="auto"/>
              </w:rPr>
            </w:pPr>
          </w:p>
        </w:tc>
        <w:tc>
          <w:tcPr>
            <w:tcW w:w="240" w:type="dxa"/>
            <w:vAlign w:val="bottom"/>
            <w:tcBorders>
              <w:bottom w:val="single" w:sz="8" w:color="auto"/>
            </w:tcBorders>
            <w:shd w:val="clear" w:color="auto" w:fill="E7E7E3"/>
          </w:tcPr>
          <w:p>
            <w:pPr>
              <w:spacing w:after="0"/>
              <w:rPr>
                <w:sz w:val="21"/>
                <w:szCs w:val="21"/>
                <w:color w:val="auto"/>
              </w:rPr>
            </w:pPr>
          </w:p>
        </w:tc>
        <w:tc>
          <w:tcPr>
            <w:tcW w:w="12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420" w:type="dxa"/>
            <w:vAlign w:val="bottom"/>
            <w:tcBorders>
              <w:bottom w:val="single" w:sz="8" w:color="FEFEFE"/>
            </w:tcBorders>
            <w:shd w:val="clear" w:color="auto" w:fill="E7E7E3"/>
          </w:tcPr>
          <w:p>
            <w:pPr>
              <w:spacing w:after="0"/>
              <w:rPr>
                <w:sz w:val="21"/>
                <w:szCs w:val="21"/>
                <w:color w:val="auto"/>
              </w:rPr>
            </w:pPr>
          </w:p>
        </w:tc>
        <w:tc>
          <w:tcPr>
            <w:tcW w:w="260" w:type="dxa"/>
            <w:vAlign w:val="bottom"/>
            <w:tcBorders>
              <w:bottom w:val="single" w:sz="8" w:color="auto"/>
            </w:tcBorders>
            <w:shd w:val="clear" w:color="auto" w:fill="E7E7E3"/>
          </w:tcPr>
          <w:p>
            <w:pPr>
              <w:spacing w:after="0"/>
              <w:rPr>
                <w:sz w:val="21"/>
                <w:szCs w:val="21"/>
                <w:color w:val="auto"/>
              </w:rPr>
            </w:pPr>
          </w:p>
        </w:tc>
        <w:tc>
          <w:tcPr>
            <w:tcW w:w="13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360" w:type="dxa"/>
            <w:vAlign w:val="bottom"/>
            <w:tcBorders>
              <w:bottom w:val="single" w:sz="8" w:color="FEFEFE"/>
            </w:tcBorders>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E7E7E3"/>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Adjusted EBITDA, on a non-GAAP basis</w:t>
            </w:r>
          </w:p>
        </w:tc>
        <w:tc>
          <w:tcPr>
            <w:tcW w:w="160" w:type="dxa"/>
            <w:vAlign w:val="bottom"/>
            <w:tcBorders>
              <w:bottom w:val="single" w:sz="8" w:color="E7E7E3"/>
            </w:tcBorders>
            <w:shd w:val="clear" w:color="auto" w:fill="FEFEFE"/>
          </w:tcPr>
          <w:p>
            <w:pPr>
              <w:spacing w:after="0"/>
              <w:rPr>
                <w:sz w:val="20"/>
                <w:szCs w:val="20"/>
                <w:color w:val="auto"/>
              </w:rPr>
            </w:pPr>
          </w:p>
        </w:tc>
        <w:tc>
          <w:tcPr>
            <w:tcW w:w="240" w:type="dxa"/>
            <w:vAlign w:val="bottom"/>
            <w:tcBorders>
              <w:bottom w:val="single" w:sz="8" w:color="auto"/>
            </w:tcBorders>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420" w:type="dxa"/>
            <w:vAlign w:val="bottom"/>
            <w:tcBorders>
              <w:bottom w:val="single" w:sz="8" w:color="E7E7E3"/>
            </w:tcBorders>
            <w:shd w:val="clear" w:color="auto" w:fill="FEFEFE"/>
          </w:tcPr>
          <w:p>
            <w:pPr>
              <w:spacing w:after="0"/>
              <w:rPr>
                <w:sz w:val="20"/>
                <w:szCs w:val="20"/>
                <w:color w:val="auto"/>
              </w:rPr>
            </w:pPr>
          </w:p>
        </w:tc>
        <w:tc>
          <w:tcPr>
            <w:tcW w:w="260" w:type="dxa"/>
            <w:vAlign w:val="bottom"/>
            <w:tcBorders>
              <w:bottom w:val="single" w:sz="8" w:color="auto"/>
            </w:tcBorders>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360" w:type="dxa"/>
            <w:vAlign w:val="bottom"/>
            <w:tcBorders>
              <w:bottom w:val="single" w:sz="8" w:color="E7E7E3"/>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E7E7E3"/>
          </w:tcPr>
          <w:p>
            <w:pPr>
              <w:spacing w:after="0"/>
              <w:rPr>
                <w:sz w:val="20"/>
                <w:szCs w:val="20"/>
                <w:color w:val="auto"/>
              </w:rPr>
            </w:pPr>
          </w:p>
        </w:tc>
        <w:tc>
          <w:tcPr>
            <w:tcW w:w="42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240" w:type="dxa"/>
            <w:vAlign w:val="bottom"/>
            <w:shd w:val="clear" w:color="auto" w:fill="E7E7E3"/>
          </w:tcPr>
          <w:p>
            <w:pPr>
              <w:spacing w:after="0"/>
              <w:rPr>
                <w:sz w:val="20"/>
                <w:szCs w:val="20"/>
                <w:color w:val="auto"/>
              </w:rPr>
            </w:pPr>
          </w:p>
        </w:tc>
        <w:tc>
          <w:tcPr>
            <w:tcW w:w="1260" w:type="dxa"/>
            <w:vAlign w:val="bottom"/>
            <w:shd w:val="clear" w:color="auto" w:fill="E7E7E3"/>
          </w:tcPr>
          <w:p>
            <w:pPr>
              <w:spacing w:after="0"/>
              <w:rPr>
                <w:sz w:val="20"/>
                <w:szCs w:val="20"/>
                <w:color w:val="auto"/>
              </w:rPr>
            </w:pPr>
          </w:p>
        </w:tc>
        <w:tc>
          <w:tcPr>
            <w:tcW w:w="420" w:type="dxa"/>
            <w:vAlign w:val="bottom"/>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360" w:type="dxa"/>
            <w:vAlign w:val="bottom"/>
            <w:shd w:val="clear" w:color="auto" w:fill="E7E7E3"/>
          </w:tcPr>
          <w:p>
            <w:pPr>
              <w:spacing w:after="0"/>
              <w:rPr>
                <w:sz w:val="20"/>
                <w:szCs w:val="20"/>
                <w:color w:val="auto"/>
              </w:rPr>
            </w:pPr>
          </w:p>
        </w:tc>
        <w:tc>
          <w:tcPr>
            <w:tcW w:w="36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Sales</w:t>
            </w:r>
          </w:p>
        </w:tc>
        <w:tc>
          <w:tcPr>
            <w:tcW w:w="160" w:type="dxa"/>
            <w:vAlign w:val="bottom"/>
            <w:shd w:val="clear" w:color="auto" w:fill="FEFEFE"/>
          </w:tcPr>
          <w:p>
            <w:pPr>
              <w:spacing w:after="0"/>
              <w:rPr>
                <w:sz w:val="21"/>
                <w:szCs w:val="21"/>
                <w:color w:val="auto"/>
              </w:rPr>
            </w:pPr>
          </w:p>
        </w:tc>
        <w:tc>
          <w:tcPr>
            <w:tcW w:w="24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467.0</w:t>
            </w:r>
          </w:p>
        </w:tc>
        <w:tc>
          <w:tcPr>
            <w:tcW w:w="420" w:type="dxa"/>
            <w:vAlign w:val="bottom"/>
            <w:shd w:val="clear" w:color="auto" w:fill="FEFEFE"/>
          </w:tcPr>
          <w:p>
            <w:pPr>
              <w:spacing w:after="0"/>
              <w:rPr>
                <w:sz w:val="21"/>
                <w:szCs w:val="21"/>
                <w:color w:val="auto"/>
              </w:rPr>
            </w:pPr>
          </w:p>
        </w:tc>
        <w:tc>
          <w:tcPr>
            <w:tcW w:w="260" w:type="dxa"/>
            <w:vAlign w:val="bottom"/>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521.8</w:t>
            </w:r>
          </w:p>
        </w:tc>
        <w:tc>
          <w:tcPr>
            <w:tcW w:w="36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Adjusted EBITDA margin, on a non-GAAP basis:</w:t>
            </w:r>
          </w:p>
        </w:tc>
        <w:tc>
          <w:tcPr>
            <w:tcW w:w="16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680" w:type="dxa"/>
            <w:vAlign w:val="bottom"/>
            <w:gridSpan w:val="2"/>
            <w:shd w:val="clear" w:color="auto" w:fill="E7E7E3"/>
          </w:tcPr>
          <w:p>
            <w:pPr>
              <w:jc w:val="right"/>
              <w:ind w:right="260"/>
              <w:spacing w:after="0"/>
              <w:rPr>
                <w:sz w:val="20"/>
                <w:szCs w:val="20"/>
                <w:color w:val="auto"/>
              </w:rPr>
            </w:pPr>
            <w:r>
              <w:rPr>
                <w:rFonts w:ascii="Times New Roman" w:cs="Times New Roman" w:eastAsia="Times New Roman" w:hAnsi="Times New Roman"/>
                <w:sz w:val="20"/>
                <w:szCs w:val="20"/>
                <w:color w:val="auto"/>
              </w:rPr>
              <w:t>4.3%</w:t>
            </w:r>
          </w:p>
        </w:tc>
        <w:tc>
          <w:tcPr>
            <w:tcW w:w="260" w:type="dxa"/>
            <w:vAlign w:val="bottom"/>
            <w:shd w:val="clear" w:color="auto" w:fill="E7E7E3"/>
          </w:tcPr>
          <w:p>
            <w:pPr>
              <w:spacing w:after="0"/>
              <w:rPr>
                <w:sz w:val="21"/>
                <w:szCs w:val="21"/>
                <w:color w:val="auto"/>
              </w:rPr>
            </w:pPr>
          </w:p>
        </w:tc>
        <w:tc>
          <w:tcPr>
            <w:tcW w:w="172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66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660" w:right="54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USE OF ESTIMATES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financial statements are based on the application of significant accounting policies, many of which require our management to make significant estimates and assumptions (see Note A to the Consolidated Financial Statements). We believe that the following items involve some of the more critical judgments in the application of accounting policies that currently affect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Incentive Plans</w:t>
      </w:r>
    </w:p>
    <w:p>
      <w:pPr>
        <w:spacing w:after="0" w:line="11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Stock awards are primarily granted pursuant to our Long-Term Incentive Plans (“LTIPs”). During fiscal 2024, we had three active LTIPs: the 2022-2024 LTIP, the 2023-2025 LTIP and the 2024-2026 LTIP. See Note H to the Consolidated Financial Statements for additional discussion of our LTIPs. Awards under each LTIP consist of 50% time-based awards and 50% performance-based awards. All time-based awards are amortized over each LTIP’s respective vesting periods.</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performance-based component of each LTIP is a dollar-denominated award, settled in a variable number of equity awards and/or cash awards. Any award will only be granted if such performance targets are achieved. Accordingly, each quarter the Company 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performance targets under the 2022-2024 LTIP were achieved at the end of fiscal 2024. Awards granted pursuant to this achievement will be subject to further vesting through August 31, 2025. Accordingly, at February 1, 2025, $2.0 million of the expected $2.4 million award was accrued. With respect to the performance-based component of the 2023-2025 LTIP and the 2024-2026 LTIP, which approximate $2.6 million and $2.7 million, respectively, at target, awards will be granted at the end of the respective performance period if the performance targets are achieved. Through the end of fiscal 2024, we accrued approximately $0.3 million for performance under the 2024-2026 LTIP, and there was no accrual for performance under the 2023-2025 LTIP.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0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If the first step of the long-lived asset impairment test concludes that the carrying amount of the asset is not recoverable, we perform the second step of the long-lived asset impairment test by comparing the fair value of the asset to its carrying amount and recognizing an impairment charge for the amount by which the carrying amount exceeds the fair value. To estimate the fair value of an asset, we rely on a discounted cash flow approach estimated to be generated by those assets. The fair value of a right-of-use ("ROU") asset is estimated using an income approach based on management’s forecast of future cash flows that could be derived based on the sublease market rent. If actual market conditions are less favorable than management’s projections, future write-offs may be necessary. The model for undiscounted future cash flows in step one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81"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 See Note A to the Consolidated Financial Statements.</w:t>
      </w:r>
    </w:p>
    <w:p>
      <w:pPr>
        <w:spacing w:after="0" w:line="6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For fiscal 2024, fiscal 2023 and fiscal 2022, we recorded an impairment charge (gain) of $1.3 million, $0.1 million and $(0.2) million, respectively, within Impairment (Gain) of Assets on the Consolidated Statements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We have reviewed accounting pronouncements and interpretations thereof that have effective dates during the periods reported and in future periods. See Note A to the Consolidated Financial Statements included in this Annual Report for information on recent accounting pronouncements and the impact of impending standards on our future filings.</w:t>
      </w:r>
    </w:p>
    <w:p>
      <w:pPr>
        <w:sectPr>
          <w:pgSz w:w="11880" w:h="15480" w:orient="portrait"/>
          <w:cols w:equalWidth="0" w:num="1">
            <w:col w:w="10780"/>
          </w:cols>
          <w:pgMar w:left="540" w:top="65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80"/>
          </w:cols>
          <w:pgMar w:left="540" w:top="658" w:right="5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12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exposure to market risk for changes in interest rates relates primarily to our investments, which consisted of cash equivalents and short-term investments at February 1, 2025. The primary objective of our investment activities is to preserve principal. This is accomplished by investing in money market accounts and U.S. treasury bills. We do not use derivative financial instruments. Due to the nature of our investments, we do not expect our operating results or cash flows to be affected to any significant degree by any change in market interest rates.</w:t>
      </w:r>
    </w:p>
    <w:p>
      <w:pPr>
        <w:spacing w:after="0" w:line="77"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At February 1, 2025, we had $36.5 million in short-term investments, which were invested in U.S. treasury bills, and $8.2 million invested in money market accounts.</w:t>
      </w:r>
    </w:p>
    <w:p>
      <w:pPr>
        <w:spacing w:after="0" w:line="45"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During fiscal 2024, we utilized cash from operations to fund our working capital needs. We have a Credit Facility that can also be used, if needed. The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Daily Simple SOFR rate, as defined in the Credit Agreement. At February 1, 2025, we had no outstanding borrowings under the Credit Facility.</w:t>
      </w:r>
    </w:p>
    <w:p>
      <w:pPr>
        <w:sectPr>
          <w:pgSz w:w="11880" w:h="15480" w:orient="portrait"/>
          <w:cols w:equalWidth="0" w:num="1">
            <w:col w:w="10700"/>
          </w:cols>
          <w:pgMar w:left="540" w:top="6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00"/>
          </w:cols>
          <w:pgMar w:left="540" w:top="653" w:right="6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3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275"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8"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auto"/>
        </w:rPr>
        <w:t>Report of Independent Registered Public Accounting Firm (KPMG LLP, Minneapolis, MN, Auditor Firm ID: 185)</w:t>
      </w:r>
      <w:r>
        <w:rPr>
          <w:sz w:val="20"/>
          <w:szCs w:val="20"/>
          <w:color w:val="auto"/>
        </w:rPr>
        <w:tab/>
      </w: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6509385</wp:posOffset>
            </wp:positionH>
            <wp:positionV relativeFrom="paragraph">
              <wp:posOffset>-138430</wp:posOffset>
            </wp:positionV>
            <wp:extent cx="3486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615" cy="635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Financial Statements:</w:t>
      </w:r>
    </w:p>
    <w:p>
      <w:pPr>
        <w:spacing w:after="0" w:line="138" w:lineRule="exact"/>
        <w:rPr>
          <w:sz w:val="20"/>
          <w:szCs w:val="20"/>
          <w:color w:val="auto"/>
        </w:rPr>
      </w:pPr>
    </w:p>
    <w:p>
      <w:pPr>
        <w:ind w:left="480"/>
        <w:spacing w:after="0"/>
        <w:tabs>
          <w:tab w:leader="dot" w:pos="10580" w:val="left"/>
        </w:tabs>
        <w:rPr>
          <w:sz w:val="20"/>
          <w:szCs w:val="20"/>
          <w:color w:val="auto"/>
        </w:rPr>
      </w:pPr>
      <w:r>
        <w:rPr>
          <w:rFonts w:ascii="Times New Roman" w:cs="Times New Roman" w:eastAsia="Times New Roman" w:hAnsi="Times New Roman"/>
          <w:sz w:val="20"/>
          <w:szCs w:val="20"/>
          <w:color w:val="auto"/>
        </w:rPr>
        <w:t>Consolidated Balance Sheets at February 1, 2025 and February 3, 2024</w:t>
      </w:r>
      <w:r>
        <w:rPr>
          <w:sz w:val="20"/>
          <w:szCs w:val="20"/>
          <w:color w:val="auto"/>
        </w:rPr>
        <w:tab/>
      </w:r>
      <w:r>
        <w:rPr>
          <w:rFonts w:ascii="Times New Roman" w:cs="Times New Roman" w:eastAsia="Times New Roman" w:hAnsi="Times New Roman"/>
          <w:sz w:val="20"/>
          <w:szCs w:val="20"/>
          <w:color w:val="auto"/>
        </w:rPr>
        <w:t>39</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Consolidated Statements of Operations for the Fiscal Years Ended February 1, 2025, February 3, 2024 and</w:t>
      </w:r>
    </w:p>
    <w:p>
      <w:pPr>
        <w:ind w:left="1080"/>
        <w:spacing w:after="0"/>
        <w:tabs>
          <w:tab w:leader="dot" w:pos="10580" w:val="left"/>
        </w:tabs>
        <w:rPr>
          <w:sz w:val="20"/>
          <w:szCs w:val="20"/>
          <w:color w:val="auto"/>
        </w:rPr>
      </w:pPr>
      <w:r>
        <w:rPr>
          <w:rFonts w:ascii="Times New Roman" w:cs="Times New Roman" w:eastAsia="Times New Roman" w:hAnsi="Times New Roman"/>
          <w:sz w:val="20"/>
          <w:szCs w:val="20"/>
          <w:color w:val="auto"/>
        </w:rPr>
        <w:t>January 28, 2023</w:t>
      </w:r>
      <w:r>
        <w:rPr>
          <w:sz w:val="20"/>
          <w:szCs w:val="20"/>
          <w:color w:val="auto"/>
        </w:rPr>
        <w:tab/>
      </w:r>
      <w:r>
        <w:rPr>
          <w:rFonts w:ascii="Times New Roman" w:cs="Times New Roman" w:eastAsia="Times New Roman" w:hAnsi="Times New Roman"/>
          <w:sz w:val="20"/>
          <w:szCs w:val="20"/>
          <w:color w:val="auto"/>
        </w:rPr>
        <w:t>40</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Fiscal Years Ended February 1, 2025,</w:t>
      </w:r>
    </w:p>
    <w:p>
      <w:pPr>
        <w:ind w:left="1020"/>
        <w:spacing w:after="0"/>
        <w:tabs>
          <w:tab w:leader="dot" w:pos="10580" w:val="left"/>
        </w:tabs>
        <w:rPr>
          <w:sz w:val="20"/>
          <w:szCs w:val="20"/>
          <w:color w:val="auto"/>
        </w:rPr>
      </w:pPr>
      <w:r>
        <w:rPr>
          <w:rFonts w:ascii="Times New Roman" w:cs="Times New Roman" w:eastAsia="Times New Roman" w:hAnsi="Times New Roman"/>
          <w:sz w:val="20"/>
          <w:szCs w:val="20"/>
          <w:color w:val="auto"/>
        </w:rPr>
        <w:t>February 3, 2024 and January 28, 2023</w:t>
      </w:r>
      <w:r>
        <w:rPr>
          <w:sz w:val="20"/>
          <w:szCs w:val="20"/>
          <w:color w:val="auto"/>
        </w:rPr>
        <w:tab/>
      </w:r>
      <w:r>
        <w:rPr>
          <w:rFonts w:ascii="Times New Roman" w:cs="Times New Roman" w:eastAsia="Times New Roman" w:hAnsi="Times New Roman"/>
          <w:sz w:val="20"/>
          <w:szCs w:val="20"/>
          <w:color w:val="auto"/>
        </w:rPr>
        <w:t>41</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for the Fiscal Years Ended</w:t>
      </w:r>
    </w:p>
    <w:p>
      <w:pPr>
        <w:ind w:left="1020"/>
        <w:spacing w:after="0"/>
        <w:tabs>
          <w:tab w:leader="dot" w:pos="10580" w:val="left"/>
        </w:tabs>
        <w:rPr>
          <w:sz w:val="20"/>
          <w:szCs w:val="20"/>
          <w:color w:val="auto"/>
        </w:rPr>
      </w:pPr>
      <w:r>
        <w:rPr>
          <w:rFonts w:ascii="Times New Roman" w:cs="Times New Roman" w:eastAsia="Times New Roman" w:hAnsi="Times New Roman"/>
          <w:sz w:val="20"/>
          <w:szCs w:val="20"/>
          <w:color w:val="auto"/>
        </w:rPr>
        <w:t>February 1, 2025, February 3, 2024 and January 28, 2023</w:t>
      </w:r>
      <w:r>
        <w:rPr>
          <w:sz w:val="20"/>
          <w:szCs w:val="20"/>
          <w:color w:val="auto"/>
        </w:rPr>
        <w:tab/>
      </w:r>
      <w:r>
        <w:rPr>
          <w:rFonts w:ascii="Times New Roman" w:cs="Times New Roman" w:eastAsia="Times New Roman" w:hAnsi="Times New Roman"/>
          <w:sz w:val="20"/>
          <w:szCs w:val="20"/>
          <w:color w:val="auto"/>
        </w:rPr>
        <w:t>42</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Consolidated Statements of Cash Flows for the Fiscal Years Ended February 1, 2025, February 3, 2024</w:t>
      </w:r>
    </w:p>
    <w:p>
      <w:pPr>
        <w:ind w:left="980"/>
        <w:spacing w:after="0"/>
        <w:tabs>
          <w:tab w:leader="dot" w:pos="10580" w:val="left"/>
        </w:tabs>
        <w:rPr>
          <w:sz w:val="20"/>
          <w:szCs w:val="20"/>
          <w:color w:val="auto"/>
        </w:rPr>
      </w:pPr>
      <w:r>
        <w:rPr>
          <w:rFonts w:ascii="Times New Roman" w:cs="Times New Roman" w:eastAsia="Times New Roman" w:hAnsi="Times New Roman"/>
          <w:sz w:val="20"/>
          <w:szCs w:val="20"/>
          <w:color w:val="auto"/>
        </w:rPr>
        <w:t>and January 28, 2023</w:t>
      </w:r>
      <w:r>
        <w:rPr>
          <w:sz w:val="20"/>
          <w:szCs w:val="20"/>
          <w:color w:val="auto"/>
        </w:rPr>
        <w:tab/>
      </w:r>
      <w:r>
        <w:rPr>
          <w:rFonts w:ascii="Times New Roman" w:cs="Times New Roman" w:eastAsia="Times New Roman" w:hAnsi="Times New Roman"/>
          <w:sz w:val="20"/>
          <w:szCs w:val="20"/>
          <w:color w:val="auto"/>
        </w:rPr>
        <w:t>43</w:t>
      </w:r>
    </w:p>
    <w:p>
      <w:pPr>
        <w:spacing w:after="0" w:line="138"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653" w:right="540" w:bottom="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rPr>
          <w:sz w:val="20"/>
          <w:szCs w:val="20"/>
          <w:color w:val="auto"/>
        </w:rPr>
      </w:pPr>
      <w:r>
        <w:rPr>
          <w:rFonts w:ascii="Times New Roman" w:cs="Times New Roman" w:eastAsia="Times New Roman" w:hAnsi="Times New Roman"/>
          <w:sz w:val="20"/>
          <w:szCs w:val="20"/>
          <w:color w:val="auto"/>
        </w:rPr>
        <w:t>Destination XL Group,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1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Destination XL Group, Inc. and subsidiaries (the Company) as of February 1, 2025 and February 3, 2024, the related consolidated statements of operations, comprehensive income, changes in stockholders’ equity, and cash flows for each of the fiscal years in the three-year period ended February 1, 2025, and the related notes (collectively, the consolidated financial statements). In our opinion, the consolidated financial statements present fairly, in all material respects, the financial position of the Company as of February 1, 2025 and February 3, 2024, and the results of its operations and its cash flows for each of the fiscal years in the three-year period ended February 1, 2025, in conformity with U.S. generally accepted accounting principles.</w:t>
      </w:r>
    </w:p>
    <w:p>
      <w:pPr>
        <w:spacing w:after="0" w:line="8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February 1, 2025,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and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dated March 20, 2025 expressed an unqualified opinion on the effectiveness of the Company’s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1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Impairment of long-lived store assets</w:t>
      </w:r>
    </w:p>
    <w:p>
      <w:pPr>
        <w:spacing w:after="0" w:line="117" w:lineRule="exact"/>
        <w:rPr>
          <w:sz w:val="20"/>
          <w:szCs w:val="20"/>
          <w:color w:val="auto"/>
        </w:rPr>
      </w:pPr>
    </w:p>
    <w:p>
      <w:pPr>
        <w:ind w:left="500"/>
        <w:spacing w:after="0" w:line="245" w:lineRule="auto"/>
        <w:rPr>
          <w:sz w:val="20"/>
          <w:szCs w:val="20"/>
          <w:color w:val="auto"/>
        </w:rPr>
      </w:pPr>
      <w:r>
        <w:rPr>
          <w:rFonts w:ascii="Times New Roman" w:cs="Times New Roman" w:eastAsia="Times New Roman" w:hAnsi="Times New Roman"/>
          <w:sz w:val="20"/>
          <w:szCs w:val="20"/>
          <w:color w:val="auto"/>
        </w:rPr>
        <w:t>As discussed in Note A to the consolidated financial statements, 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February 1, 2025, the Company had property and equipment and operating lease right-of-use assets of $57.0 million and $171.1 million, respectively.</w:t>
      </w:r>
    </w:p>
    <w:p>
      <w:pPr>
        <w:spacing w:after="0" w:line="82" w:lineRule="exact"/>
        <w:rPr>
          <w:sz w:val="20"/>
          <w:szCs w:val="20"/>
          <w:color w:val="auto"/>
        </w:rPr>
      </w:pPr>
    </w:p>
    <w:p>
      <w:pPr>
        <w:ind w:left="500" w:right="180"/>
        <w:spacing w:after="0" w:line="253" w:lineRule="auto"/>
        <w:rPr>
          <w:sz w:val="20"/>
          <w:szCs w:val="20"/>
          <w:color w:val="auto"/>
        </w:rPr>
      </w:pPr>
      <w:r>
        <w:rPr>
          <w:rFonts w:ascii="Times New Roman" w:cs="Times New Roman" w:eastAsia="Times New Roman" w:hAnsi="Times New Roman"/>
          <w:sz w:val="20"/>
          <w:szCs w:val="20"/>
          <w:color w:val="auto"/>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results.</w:t>
      </w:r>
    </w:p>
    <w:p>
      <w:pPr>
        <w:spacing w:after="0" w:line="70" w:lineRule="exact"/>
        <w:rPr>
          <w:sz w:val="20"/>
          <w:szCs w:val="20"/>
          <w:color w:val="auto"/>
        </w:rPr>
      </w:pPr>
    </w:p>
    <w:p>
      <w:pPr>
        <w:ind w:left="500" w:right="120"/>
        <w:spacing w:after="0" w:line="307" w:lineRule="auto"/>
        <w:rPr>
          <w:sz w:val="20"/>
          <w:szCs w:val="20"/>
          <w:color w:val="auto"/>
        </w:rPr>
      </w:pPr>
      <w:r>
        <w:rPr>
          <w:rFonts w:ascii="Times New Roman" w:cs="Times New Roman" w:eastAsia="Times New Roman" w:hAnsi="Times New Roman"/>
          <w:sz w:val="19"/>
          <w:szCs w:val="19"/>
          <w:color w:val="auto"/>
        </w:rPr>
        <w:t>The following are the primary procedures we performed to address the critical audit matter. We evaluated the design and tested the operating effectiveness of certain internal controls related to the Company’s process of identifying and evaluating potential</w:t>
      </w:r>
    </w:p>
    <w:p>
      <w:pPr>
        <w:sectPr>
          <w:pgSz w:w="11880" w:h="15480" w:orient="portrait"/>
          <w:cols w:equalWidth="0" w:num="1">
            <w:col w:w="10800"/>
          </w:cols>
          <w:pgMar w:left="540" w:top="653" w:right="540" w:bottom="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653" w:right="540" w:bottom="0" w:gutter="0" w:footer="0" w:header="0"/>
          <w:type w:val="continuous"/>
        </w:sectPr>
      </w:pPr>
    </w:p>
    <w:bookmarkStart w:id="39" w:name="page40"/>
    <w:bookmarkEnd w:id="39"/>
    <w:p>
      <w:pPr>
        <w:ind w:left="500"/>
        <w:spacing w:after="0" w:line="249" w:lineRule="auto"/>
        <w:rPr>
          <w:sz w:val="20"/>
          <w:szCs w:val="20"/>
          <w:color w:val="auto"/>
        </w:rPr>
      </w:pPr>
      <w:r>
        <w:rPr>
          <w:rFonts w:ascii="Times New Roman" w:cs="Times New Roman" w:eastAsia="Times New Roman" w:hAnsi="Times New Roman"/>
          <w:sz w:val="20"/>
          <w:szCs w:val="20"/>
          <w:color w:val="auto"/>
        </w:rPr>
        <w:t>impairment triggering events. This included a control related to the Company’s assessment of (1) stores with current period operating or cash flow losses, and (2) underperforming stores relative to historical operating results. For certain stores, we evaluated the Company’s analysis of potential impairment triggering events by comparing actual operating and cash flow results to the remaining net book value of store assets. We also inspected Board of Directors' meeting minutes and available analyst information to assess the Company’s identification and evaluation of potential triggering events.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2025</w:t>
      </w:r>
    </w:p>
    <w:p>
      <w:pPr>
        <w:sectPr>
          <w:pgSz w:w="11880" w:h="15480" w:orient="portrait"/>
          <w:cols w:equalWidth="0" w:num="1">
            <w:col w:w="10780"/>
          </w:cols>
          <w:pgMar w:left="540" w:top="65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780"/>
          </w:cols>
          <w:pgMar w:left="540" w:top="656" w:right="560" w:bottom="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February 1, 2025 and February 3,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shd w:val="clear" w:color="auto" w:fill="FEFEFE"/>
          </w:tcPr>
          <w:p>
            <w:pPr>
              <w:spacing w:after="0"/>
              <w:rPr>
                <w:sz w:val="16"/>
                <w:szCs w:val="16"/>
                <w:color w:val="auto"/>
              </w:rPr>
            </w:pPr>
          </w:p>
        </w:tc>
        <w:tc>
          <w:tcPr>
            <w:tcW w:w="18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680" w:type="dxa"/>
            <w:vAlign w:val="bottom"/>
            <w:gridSpan w:val="2"/>
            <w:shd w:val="clear" w:color="auto" w:fill="FEFEFE"/>
          </w:tcPr>
          <w:p>
            <w:pPr>
              <w:jc w:val="right"/>
              <w:ind w:right="500"/>
              <w:spacing w:after="0"/>
              <w:rPr>
                <w:sz w:val="20"/>
                <w:szCs w:val="20"/>
                <w:color w:val="auto"/>
              </w:rPr>
            </w:pPr>
            <w:r>
              <w:rPr>
                <w:rFonts w:ascii="Times New Roman" w:cs="Times New Roman" w:eastAsia="Times New Roman" w:hAnsi="Times New Roman"/>
                <w:sz w:val="16"/>
                <w:szCs w:val="16"/>
                <w:color w:val="auto"/>
              </w:rPr>
              <w:t>February 1, 2025</w:t>
            </w:r>
          </w:p>
        </w:tc>
        <w:tc>
          <w:tcPr>
            <w:tcW w:w="100" w:type="dxa"/>
            <w:vAlign w:val="bottom"/>
            <w:shd w:val="clear" w:color="auto" w:fill="FEFEFE"/>
          </w:tcPr>
          <w:p>
            <w:pPr>
              <w:spacing w:after="0"/>
              <w:rPr>
                <w:sz w:val="16"/>
                <w:szCs w:val="16"/>
                <w:color w:val="auto"/>
              </w:rPr>
            </w:pPr>
          </w:p>
        </w:tc>
        <w:tc>
          <w:tcPr>
            <w:tcW w:w="1500" w:type="dxa"/>
            <w:vAlign w:val="bottom"/>
            <w:gridSpan w:val="2"/>
            <w:shd w:val="clear" w:color="auto" w:fill="FEFEFE"/>
          </w:tcPr>
          <w:p>
            <w:pPr>
              <w:jc w:val="right"/>
              <w:ind w:right="300"/>
              <w:spacing w:after="0"/>
              <w:rPr>
                <w:sz w:val="20"/>
                <w:szCs w:val="20"/>
                <w:color w:val="auto"/>
              </w:rPr>
            </w:pPr>
            <w:r>
              <w:rPr>
                <w:rFonts w:ascii="Times New Roman" w:cs="Times New Roman" w:eastAsia="Times New Roman" w:hAnsi="Times New Roman"/>
                <w:sz w:val="16"/>
                <w:szCs w:val="16"/>
                <w:color w:val="auto"/>
              </w:rPr>
              <w:t>February 3, 2024</w:t>
            </w:r>
          </w:p>
        </w:tc>
      </w:tr>
      <w:tr>
        <w:trPr>
          <w:trHeight w:val="201"/>
        </w:trPr>
        <w:tc>
          <w:tcPr>
            <w:tcW w:w="7240" w:type="dxa"/>
            <w:vAlign w:val="bottom"/>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680" w:type="dxa"/>
            <w:vAlign w:val="bottom"/>
            <w:gridSpan w:val="2"/>
            <w:shd w:val="clear" w:color="auto" w:fill="FEFEFE"/>
          </w:tcPr>
          <w:p>
            <w:pPr>
              <w:jc w:val="right"/>
              <w:ind w:right="620"/>
              <w:spacing w:after="0"/>
              <w:rPr>
                <w:sz w:val="20"/>
                <w:szCs w:val="20"/>
                <w:color w:val="auto"/>
              </w:rPr>
            </w:pPr>
            <w:r>
              <w:rPr>
                <w:rFonts w:ascii="Times New Roman" w:cs="Times New Roman" w:eastAsia="Times New Roman" w:hAnsi="Times New Roman"/>
                <w:sz w:val="16"/>
                <w:szCs w:val="16"/>
                <w:color w:val="auto"/>
              </w:rPr>
              <w:t>(Fiscal 2024)</w:t>
            </w:r>
          </w:p>
        </w:tc>
        <w:tc>
          <w:tcPr>
            <w:tcW w:w="100" w:type="dxa"/>
            <w:vAlign w:val="bottom"/>
            <w:shd w:val="clear" w:color="auto" w:fill="FEFEFE"/>
          </w:tcPr>
          <w:p>
            <w:pPr>
              <w:spacing w:after="0"/>
              <w:rPr>
                <w:sz w:val="17"/>
                <w:szCs w:val="17"/>
                <w:color w:val="auto"/>
              </w:rPr>
            </w:pPr>
          </w:p>
        </w:tc>
        <w:tc>
          <w:tcPr>
            <w:tcW w:w="1500" w:type="dxa"/>
            <w:vAlign w:val="bottom"/>
            <w:gridSpan w:val="2"/>
            <w:shd w:val="clear" w:color="auto" w:fill="FEFEFE"/>
          </w:tcPr>
          <w:p>
            <w:pPr>
              <w:jc w:val="right"/>
              <w:ind w:right="440"/>
              <w:spacing w:after="0"/>
              <w:rPr>
                <w:sz w:val="20"/>
                <w:szCs w:val="20"/>
                <w:color w:val="auto"/>
              </w:rPr>
            </w:pPr>
            <w:r>
              <w:rPr>
                <w:rFonts w:ascii="Times New Roman" w:cs="Times New Roman" w:eastAsia="Times New Roman" w:hAnsi="Times New Roman"/>
                <w:sz w:val="16"/>
                <w:szCs w:val="16"/>
                <w:color w:val="auto"/>
              </w:rPr>
              <w:t>(Fiscal 2023)</w:t>
            </w:r>
          </w:p>
        </w:tc>
      </w:tr>
      <w:tr>
        <w:trPr>
          <w:trHeight w:val="220"/>
        </w:trPr>
        <w:tc>
          <w:tcPr>
            <w:tcW w:w="7240" w:type="dxa"/>
            <w:vAlign w:val="bottom"/>
            <w:tcBorders>
              <w:top w:val="single" w:sz="8" w:color="E7E7E3"/>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80" w:type="dxa"/>
            <w:vAlign w:val="bottom"/>
            <w:tcBorders>
              <w:top w:val="single" w:sz="8" w:color="E7E7E3"/>
            </w:tcBorders>
            <w:shd w:val="clear" w:color="auto" w:fill="E7E7E3"/>
          </w:tcPr>
          <w:p>
            <w:pPr>
              <w:spacing w:after="0"/>
              <w:rPr>
                <w:sz w:val="19"/>
                <w:szCs w:val="19"/>
                <w:color w:val="auto"/>
              </w:rPr>
            </w:pPr>
          </w:p>
        </w:tc>
        <w:tc>
          <w:tcPr>
            <w:tcW w:w="100" w:type="dxa"/>
            <w:vAlign w:val="bottom"/>
            <w:tcBorders>
              <w:top w:val="single" w:sz="8" w:color="auto"/>
            </w:tcBorders>
            <w:shd w:val="clear" w:color="auto" w:fill="E7E7E3"/>
          </w:tcPr>
          <w:p>
            <w:pPr>
              <w:spacing w:after="0"/>
              <w:rPr>
                <w:sz w:val="19"/>
                <w:szCs w:val="19"/>
                <w:color w:val="auto"/>
              </w:rPr>
            </w:pPr>
          </w:p>
        </w:tc>
        <w:tc>
          <w:tcPr>
            <w:tcW w:w="1400" w:type="dxa"/>
            <w:vAlign w:val="bottom"/>
            <w:tcBorders>
              <w:top w:val="single" w:sz="8" w:color="auto"/>
            </w:tcBorders>
            <w:shd w:val="clear" w:color="auto" w:fill="E7E7E3"/>
          </w:tcPr>
          <w:p>
            <w:pPr>
              <w:spacing w:after="0"/>
              <w:rPr>
                <w:sz w:val="19"/>
                <w:szCs w:val="19"/>
                <w:color w:val="auto"/>
              </w:rPr>
            </w:pPr>
          </w:p>
        </w:tc>
        <w:tc>
          <w:tcPr>
            <w:tcW w:w="280" w:type="dxa"/>
            <w:vAlign w:val="bottom"/>
            <w:tcBorders>
              <w:top w:val="single" w:sz="8" w:color="E7E7E3"/>
            </w:tcBorders>
            <w:shd w:val="clear" w:color="auto" w:fill="E7E7E3"/>
          </w:tcPr>
          <w:p>
            <w:pPr>
              <w:spacing w:after="0"/>
              <w:rPr>
                <w:sz w:val="19"/>
                <w:szCs w:val="19"/>
                <w:color w:val="auto"/>
              </w:rPr>
            </w:pPr>
          </w:p>
        </w:tc>
        <w:tc>
          <w:tcPr>
            <w:tcW w:w="100" w:type="dxa"/>
            <w:vAlign w:val="bottom"/>
            <w:tcBorders>
              <w:top w:val="single" w:sz="8" w:color="auto"/>
            </w:tcBorders>
            <w:shd w:val="clear" w:color="auto" w:fill="E7E7E3"/>
          </w:tcPr>
          <w:p>
            <w:pPr>
              <w:spacing w:after="0"/>
              <w:rPr>
                <w:sz w:val="19"/>
                <w:szCs w:val="19"/>
                <w:color w:val="auto"/>
              </w:rPr>
            </w:pPr>
          </w:p>
        </w:tc>
        <w:tc>
          <w:tcPr>
            <w:tcW w:w="140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Current assets: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11,901</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27,590</w:t>
            </w: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36,516</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32,459</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1,629</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3,920</w:t>
            </w: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75,486</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80,968</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tcBorders>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6,355</w:t>
            </w:r>
          </w:p>
        </w:tc>
        <w:tc>
          <w:tcPr>
            <w:tcW w:w="2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8,308</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7240" w:type="dxa"/>
            <w:vAlign w:val="bottom"/>
            <w:shd w:val="clear" w:color="auto" w:fill="FEFEFE"/>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131,887</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153,245</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Noncurrent assets: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Property and equipment, net of accumulated depreciation and amortization</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56,982</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43,238</w:t>
            </w: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171,084</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138,118</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Deferred income taxes, net of valuation allowance</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19,343</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21,533</w:t>
            </w: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tcBorders>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2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60"/>
        </w:trPr>
        <w:tc>
          <w:tcPr>
            <w:tcW w:w="7240" w:type="dxa"/>
            <w:vAlign w:val="bottom"/>
            <w:tcBorders>
              <w:bottom w:val="single" w:sz="8" w:color="E7E7E3"/>
            </w:tcBorders>
            <w:shd w:val="clear" w:color="auto" w:fill="FEFEFE"/>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Borders>
              <w:bottom w:val="single" w:sz="8" w:color="E7E7E3"/>
            </w:tcBorders>
            <w:shd w:val="clear" w:color="auto" w:fill="FEFEFE"/>
          </w:tcPr>
          <w:p>
            <w:pPr>
              <w:spacing w:after="0"/>
              <w:rPr>
                <w:sz w:val="22"/>
                <w:szCs w:val="22"/>
                <w:color w:val="auto"/>
              </w:rPr>
            </w:pPr>
          </w:p>
        </w:tc>
        <w:tc>
          <w:tcPr>
            <w:tcW w:w="1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380,955</w:t>
            </w:r>
          </w:p>
        </w:tc>
        <w:tc>
          <w:tcPr>
            <w:tcW w:w="280" w:type="dxa"/>
            <w:vAlign w:val="bottom"/>
            <w:tcBorders>
              <w:bottom w:val="single" w:sz="8" w:color="E7E7E3"/>
            </w:tcBorders>
            <w:shd w:val="clear" w:color="auto" w:fill="FEFEFE"/>
          </w:tcPr>
          <w:p>
            <w:pPr>
              <w:spacing w:after="0"/>
              <w:rPr>
                <w:sz w:val="22"/>
                <w:szCs w:val="22"/>
                <w:color w:val="auto"/>
              </w:rPr>
            </w:pPr>
          </w:p>
        </w:tc>
        <w:tc>
          <w:tcPr>
            <w:tcW w:w="1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357,741</w:t>
            </w:r>
          </w:p>
        </w:tc>
        <w:tc>
          <w:tcPr>
            <w:tcW w:w="100" w:type="dxa"/>
            <w:vAlign w:val="bottom"/>
            <w:tcBorders>
              <w:bottom w:val="single" w:sz="8" w:color="E7E7E3"/>
            </w:tcBorders>
            <w:shd w:val="clear" w:color="auto" w:fill="FEFEFE"/>
          </w:tcPr>
          <w:p>
            <w:pPr>
              <w:spacing w:after="0"/>
              <w:rPr>
                <w:sz w:val="22"/>
                <w:szCs w:val="22"/>
                <w:color w:val="auto"/>
              </w:rPr>
            </w:pPr>
          </w:p>
        </w:tc>
      </w:tr>
      <w:tr>
        <w:trPr>
          <w:trHeight w:val="215"/>
        </w:trPr>
        <w:tc>
          <w:tcPr>
            <w:tcW w:w="7240" w:type="dxa"/>
            <w:vAlign w:val="bottom"/>
            <w:shd w:val="clear" w:color="auto" w:fill="E7E7E3"/>
          </w:tcPr>
          <w:p>
            <w:pPr>
              <w:spacing w:after="0"/>
              <w:rPr>
                <w:sz w:val="18"/>
                <w:szCs w:val="18"/>
                <w:color w:val="auto"/>
              </w:rPr>
            </w:pPr>
          </w:p>
        </w:tc>
        <w:tc>
          <w:tcPr>
            <w:tcW w:w="18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400" w:type="dxa"/>
            <w:vAlign w:val="bottom"/>
            <w:shd w:val="clear" w:color="auto" w:fill="E7E7E3"/>
          </w:tcPr>
          <w:p>
            <w:pPr>
              <w:spacing w:after="0"/>
              <w:rPr>
                <w:sz w:val="18"/>
                <w:szCs w:val="18"/>
                <w:color w:val="auto"/>
              </w:rPr>
            </w:pPr>
          </w:p>
        </w:tc>
        <w:tc>
          <w:tcPr>
            <w:tcW w:w="28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40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r>
      <w:tr>
        <w:trPr>
          <w:trHeight w:val="230"/>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i w:val="1"/>
                <w:iCs w:val="1"/>
                <w:color w:val="auto"/>
              </w:rPr>
              <w:t>Current liabilities:</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24,344</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17,353</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30,432</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35,302</w:t>
            </w:r>
          </w:p>
        </w:tc>
        <w:tc>
          <w:tcPr>
            <w:tcW w:w="100" w:type="dxa"/>
            <w:vAlign w:val="bottom"/>
            <w:shd w:val="clear" w:color="auto" w:fill="E7E7E3"/>
          </w:tcPr>
          <w:p>
            <w:pPr>
              <w:spacing w:after="0"/>
              <w:rPr>
                <w:sz w:val="19"/>
                <w:szCs w:val="19"/>
                <w:color w:val="auto"/>
              </w:rPr>
            </w:pPr>
          </w:p>
        </w:tc>
      </w:tr>
      <w:tr>
        <w:trPr>
          <w:trHeight w:val="230"/>
        </w:trPr>
        <w:tc>
          <w:tcPr>
            <w:tcW w:w="7240" w:type="dxa"/>
            <w:vAlign w:val="bottom"/>
            <w:tcBorders>
              <w:bottom w:val="single" w:sz="8" w:color="E7E7E3"/>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leases, current</w:t>
            </w:r>
          </w:p>
        </w:tc>
        <w:tc>
          <w:tcPr>
            <w:tcW w:w="1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35,920</w:t>
            </w:r>
          </w:p>
        </w:tc>
        <w:tc>
          <w:tcPr>
            <w:tcW w:w="2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37,221</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20"/>
        </w:trPr>
        <w:tc>
          <w:tcPr>
            <w:tcW w:w="7240" w:type="dxa"/>
            <w:vAlign w:val="bottom"/>
            <w:tcBorders>
              <w:bottom w:val="single" w:sz="8" w:color="FEFEFE"/>
            </w:tcBorders>
            <w:shd w:val="clear" w:color="auto" w:fill="E7E7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1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90,696</w:t>
            </w:r>
          </w:p>
        </w:tc>
        <w:tc>
          <w:tcPr>
            <w:tcW w:w="2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89,876</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724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i w:val="1"/>
                <w:iCs w:val="1"/>
                <w:color w:val="auto"/>
              </w:rPr>
              <w:t>Long-term liabilities:</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leases, noncurrent</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148,695</w:t>
            </w: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117,316</w:t>
            </w:r>
          </w:p>
        </w:tc>
        <w:tc>
          <w:tcPr>
            <w:tcW w:w="100" w:type="dxa"/>
            <w:vAlign w:val="bottom"/>
            <w:shd w:val="clear" w:color="auto" w:fill="FEFEFE"/>
          </w:tcPr>
          <w:p>
            <w:pPr>
              <w:spacing w:after="0"/>
              <w:rPr>
                <w:sz w:val="19"/>
                <w:szCs w:val="19"/>
                <w:color w:val="auto"/>
              </w:rPr>
            </w:pPr>
          </w:p>
        </w:tc>
      </w:tr>
      <w:tr>
        <w:trPr>
          <w:trHeight w:val="230"/>
        </w:trPr>
        <w:tc>
          <w:tcPr>
            <w:tcW w:w="7240" w:type="dxa"/>
            <w:vAlign w:val="bottom"/>
            <w:tcBorders>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8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7240" w:type="dxa"/>
            <w:vAlign w:val="bottom"/>
            <w:tcBorders>
              <w:bottom w:val="single" w:sz="8" w:color="E7E7E3"/>
            </w:tcBorders>
            <w:shd w:val="clear" w:color="auto" w:fill="FEFEFE"/>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long-term liabilities</w:t>
            </w:r>
          </w:p>
        </w:tc>
        <w:tc>
          <w:tcPr>
            <w:tcW w:w="1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149,036</w:t>
            </w:r>
          </w:p>
        </w:tc>
        <w:tc>
          <w:tcPr>
            <w:tcW w:w="2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118,912</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20"/>
        </w:trPr>
        <w:tc>
          <w:tcPr>
            <w:tcW w:w="724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Stockholders' equity:</w:t>
            </w:r>
          </w:p>
        </w:tc>
        <w:tc>
          <w:tcPr>
            <w:tcW w:w="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Preferred stock, $0.01 par value, 1,000,000 shares authorized, none issued</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09"/>
        </w:trPr>
        <w:tc>
          <w:tcPr>
            <w:tcW w:w="7240" w:type="dxa"/>
            <w:vAlign w:val="bottom"/>
            <w:shd w:val="clear" w:color="auto" w:fill="FEFEFE"/>
          </w:tcPr>
          <w:p>
            <w:pPr>
              <w:ind w:left="200"/>
              <w:spacing w:after="0" w:line="208" w:lineRule="exact"/>
              <w:rPr>
                <w:sz w:val="20"/>
                <w:szCs w:val="20"/>
                <w:color w:val="auto"/>
              </w:rPr>
            </w:pPr>
            <w:r>
              <w:rPr>
                <w:rFonts w:ascii="Times New Roman" w:cs="Times New Roman" w:eastAsia="Times New Roman" w:hAnsi="Times New Roman"/>
                <w:sz w:val="20"/>
                <w:szCs w:val="20"/>
                <w:color w:val="auto"/>
              </w:rPr>
              <w:t>Common stock, $0.01 par value, 125,000,000 shares authorized, 79,403,349 and</w:t>
            </w:r>
          </w:p>
        </w:tc>
        <w:tc>
          <w:tcPr>
            <w:tcW w:w="1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0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r>
        <w:trPr>
          <w:trHeight w:val="251"/>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79,033,378 shares issued at February 1, 2025 and February 3, 2024, respectively</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2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100" w:type="dxa"/>
            <w:vAlign w:val="bottom"/>
            <w:shd w:val="clear" w:color="auto" w:fill="FEFEFE"/>
          </w:tcPr>
          <w:p>
            <w:pPr>
              <w:spacing w:after="0"/>
              <w:rPr>
                <w:sz w:val="21"/>
                <w:szCs w:val="21"/>
                <w:color w:val="auto"/>
              </w:rPr>
            </w:pP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328,261</w:t>
            </w:r>
          </w:p>
        </w:tc>
        <w:tc>
          <w:tcPr>
            <w:tcW w:w="2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4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325,202</w:t>
            </w:r>
          </w:p>
        </w:tc>
        <w:tc>
          <w:tcPr>
            <w:tcW w:w="100" w:type="dxa"/>
            <w:vAlign w:val="bottom"/>
            <w:shd w:val="clear" w:color="auto" w:fill="E7E7E3"/>
          </w:tcPr>
          <w:p>
            <w:pPr>
              <w:spacing w:after="0"/>
              <w:rPr>
                <w:sz w:val="19"/>
                <w:szCs w:val="19"/>
                <w:color w:val="auto"/>
              </w:rPr>
            </w:pPr>
          </w:p>
        </w:tc>
      </w:tr>
      <w:tr>
        <w:trPr>
          <w:trHeight w:val="209"/>
        </w:trPr>
        <w:tc>
          <w:tcPr>
            <w:tcW w:w="7240" w:type="dxa"/>
            <w:vAlign w:val="bottom"/>
            <w:shd w:val="clear" w:color="auto" w:fill="FEFEFE"/>
          </w:tcPr>
          <w:p>
            <w:pPr>
              <w:ind w:left="200"/>
              <w:spacing w:after="0" w:line="208" w:lineRule="exact"/>
              <w:rPr>
                <w:sz w:val="20"/>
                <w:szCs w:val="20"/>
                <w:color w:val="auto"/>
              </w:rPr>
            </w:pPr>
            <w:r>
              <w:rPr>
                <w:rFonts w:ascii="Times New Roman" w:cs="Times New Roman" w:eastAsia="Times New Roman" w:hAnsi="Times New Roman"/>
                <w:sz w:val="20"/>
                <w:szCs w:val="20"/>
                <w:color w:val="auto"/>
              </w:rPr>
              <w:t>Treasury stock at cost, 25,908,533 shares and 21,041,661 shares at February 1, 2025</w:t>
            </w:r>
          </w:p>
        </w:tc>
        <w:tc>
          <w:tcPr>
            <w:tcW w:w="1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0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r>
        <w:trPr>
          <w:trHeight w:val="251"/>
        </w:trPr>
        <w:tc>
          <w:tcPr>
            <w:tcW w:w="7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and February 3, 2024, respectively</w:t>
            </w:r>
          </w:p>
        </w:tc>
        <w:tc>
          <w:tcPr>
            <w:tcW w:w="1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680" w:type="dxa"/>
            <w:vAlign w:val="bottom"/>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20"/>
                <w:szCs w:val="20"/>
                <w:color w:val="auto"/>
              </w:rPr>
              <w:t>(143,985)</w:t>
            </w:r>
          </w:p>
        </w:tc>
        <w:tc>
          <w:tcPr>
            <w:tcW w:w="100" w:type="dxa"/>
            <w:vAlign w:val="bottom"/>
            <w:shd w:val="clear" w:color="auto" w:fill="FEFEFE"/>
          </w:tcPr>
          <w:p>
            <w:pPr>
              <w:spacing w:after="0"/>
              <w:rPr>
                <w:sz w:val="21"/>
                <w:szCs w:val="21"/>
                <w:color w:val="auto"/>
              </w:rPr>
            </w:pPr>
          </w:p>
        </w:tc>
        <w:tc>
          <w:tcPr>
            <w:tcW w:w="15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(130,137)</w:t>
            </w:r>
          </w:p>
        </w:tc>
      </w:tr>
      <w:tr>
        <w:trPr>
          <w:trHeight w:val="230"/>
        </w:trPr>
        <w:tc>
          <w:tcPr>
            <w:tcW w:w="72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680" w:type="dxa"/>
            <w:vAlign w:val="bottom"/>
            <w:gridSpan w:val="2"/>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rPr>
              <w:t>(43,847)</w:t>
            </w:r>
          </w:p>
        </w:tc>
        <w:tc>
          <w:tcPr>
            <w:tcW w:w="100" w:type="dxa"/>
            <w:vAlign w:val="bottom"/>
            <w:shd w:val="clear" w:color="auto" w:fill="E7E7E3"/>
          </w:tcPr>
          <w:p>
            <w:pPr>
              <w:spacing w:after="0"/>
              <w:rPr>
                <w:sz w:val="19"/>
                <w:szCs w:val="19"/>
                <w:color w:val="auto"/>
              </w:rPr>
            </w:pPr>
          </w:p>
        </w:tc>
        <w:tc>
          <w:tcPr>
            <w:tcW w:w="15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(46,902)</w:t>
            </w:r>
          </w:p>
        </w:tc>
      </w:tr>
      <w:tr>
        <w:trPr>
          <w:trHeight w:val="230"/>
        </w:trPr>
        <w:tc>
          <w:tcPr>
            <w:tcW w:w="7240" w:type="dxa"/>
            <w:vAlign w:val="bottom"/>
            <w:tcBorders>
              <w:bottom w:val="single" w:sz="8" w:color="E7E7E3"/>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spacing w:after="0"/>
              <w:rPr>
                <w:sz w:val="19"/>
                <w:szCs w:val="19"/>
                <w:color w:val="auto"/>
              </w:rPr>
            </w:pPr>
          </w:p>
        </w:tc>
        <w:tc>
          <w:tcPr>
            <w:tcW w:w="28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400" w:type="dxa"/>
            <w:vAlign w:val="bottom"/>
            <w:tcBorders>
              <w:bottom w:val="single" w:sz="8" w:color="auto"/>
            </w:tcBorders>
            <w:shd w:val="clear" w:color="auto" w:fill="FEFEFE"/>
          </w:tcPr>
          <w:p>
            <w:pPr>
              <w:spacing w:after="0"/>
              <w:rPr>
                <w:sz w:val="19"/>
                <w:szCs w:val="19"/>
                <w:color w:val="auto"/>
              </w:rPr>
            </w:pPr>
          </w:p>
        </w:tc>
        <w:tc>
          <w:tcPr>
            <w:tcW w:w="100" w:type="dxa"/>
            <w:vAlign w:val="bottom"/>
            <w:tcBorders>
              <w:bottom w:val="single" w:sz="8" w:color="E7E7E3"/>
            </w:tcBorders>
            <w:shd w:val="clear" w:color="auto" w:fill="FEFEFE"/>
          </w:tcPr>
          <w:p>
            <w:pPr>
              <w:spacing w:after="0"/>
              <w:rPr>
                <w:sz w:val="19"/>
                <w:szCs w:val="19"/>
                <w:color w:val="auto"/>
              </w:rPr>
            </w:pPr>
          </w:p>
        </w:tc>
      </w:tr>
      <w:tr>
        <w:trPr>
          <w:trHeight w:val="245"/>
        </w:trPr>
        <w:tc>
          <w:tcPr>
            <w:tcW w:w="7240" w:type="dxa"/>
            <w:vAlign w:val="bottom"/>
            <w:tcBorders>
              <w:bottom w:val="single" w:sz="8" w:color="E7E7E3"/>
            </w:tcBorders>
            <w:shd w:val="clear" w:color="auto" w:fill="E7E7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180" w:type="dxa"/>
            <w:vAlign w:val="bottom"/>
            <w:tcBorders>
              <w:bottom w:val="single" w:sz="8" w:color="E7E7E3"/>
            </w:tcBorders>
            <w:shd w:val="clear" w:color="auto" w:fill="E7E7E3"/>
          </w:tcPr>
          <w:p>
            <w:pPr>
              <w:spacing w:after="0"/>
              <w:rPr>
                <w:sz w:val="20"/>
                <w:szCs w:val="20"/>
                <w:color w:val="auto"/>
              </w:rPr>
            </w:pPr>
          </w:p>
        </w:tc>
        <w:tc>
          <w:tcPr>
            <w:tcW w:w="100" w:type="dxa"/>
            <w:vAlign w:val="bottom"/>
            <w:tcBorders>
              <w:bottom w:val="single" w:sz="8" w:color="auto"/>
            </w:tcBorders>
            <w:shd w:val="clear" w:color="auto" w:fill="E7E7E3"/>
          </w:tcPr>
          <w:p>
            <w:pPr>
              <w:spacing w:after="0"/>
              <w:rPr>
                <w:sz w:val="20"/>
                <w:szCs w:val="20"/>
                <w:color w:val="auto"/>
              </w:rPr>
            </w:pPr>
          </w:p>
        </w:tc>
        <w:tc>
          <w:tcPr>
            <w:tcW w:w="140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141,223</w:t>
            </w:r>
          </w:p>
        </w:tc>
        <w:tc>
          <w:tcPr>
            <w:tcW w:w="280" w:type="dxa"/>
            <w:vAlign w:val="bottom"/>
            <w:tcBorders>
              <w:bottom w:val="single" w:sz="8" w:color="E7E7E3"/>
            </w:tcBorders>
            <w:shd w:val="clear" w:color="auto" w:fill="E7E7E3"/>
          </w:tcPr>
          <w:p>
            <w:pPr>
              <w:spacing w:after="0"/>
              <w:rPr>
                <w:sz w:val="20"/>
                <w:szCs w:val="20"/>
                <w:color w:val="auto"/>
              </w:rPr>
            </w:pPr>
          </w:p>
        </w:tc>
        <w:tc>
          <w:tcPr>
            <w:tcW w:w="100" w:type="dxa"/>
            <w:vAlign w:val="bottom"/>
            <w:tcBorders>
              <w:bottom w:val="single" w:sz="8" w:color="auto"/>
            </w:tcBorders>
            <w:shd w:val="clear" w:color="auto" w:fill="E7E7E3"/>
          </w:tcPr>
          <w:p>
            <w:pPr>
              <w:spacing w:after="0"/>
              <w:rPr>
                <w:sz w:val="20"/>
                <w:szCs w:val="20"/>
                <w:color w:val="auto"/>
              </w:rPr>
            </w:pPr>
          </w:p>
        </w:tc>
        <w:tc>
          <w:tcPr>
            <w:tcW w:w="140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148,953</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20"/>
        </w:trPr>
        <w:tc>
          <w:tcPr>
            <w:tcW w:w="7240" w:type="dxa"/>
            <w:vAlign w:val="bottom"/>
            <w:tcBorders>
              <w:top w:val="single" w:sz="8" w:color="FEFEFE"/>
              <w:bottom w:val="single" w:sz="8" w:color="FEFEFE"/>
            </w:tcBorders>
            <w:shd w:val="clear" w:color="auto" w:fill="FEFEFE"/>
          </w:tcPr>
          <w:p>
            <w:pPr>
              <w:ind w:left="600"/>
              <w:spacing w:after="0" w:line="20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80" w:type="dxa"/>
            <w:vAlign w:val="bottom"/>
            <w:tcBorders>
              <w:top w:val="single" w:sz="8" w:color="FEFEFE"/>
              <w:bottom w:val="single" w:sz="8" w:color="FEFEFE"/>
            </w:tcBorders>
            <w:shd w:val="clear" w:color="auto" w:fill="FEFEFE"/>
          </w:tcPr>
          <w:p>
            <w:pPr>
              <w:spacing w:after="0"/>
              <w:rPr>
                <w:sz w:val="19"/>
                <w:szCs w:val="19"/>
                <w:color w:val="auto"/>
              </w:rPr>
            </w:pPr>
          </w:p>
        </w:tc>
        <w:tc>
          <w:tcPr>
            <w:tcW w:w="1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color w:val="auto"/>
              </w:rPr>
              <w:t>380,955</w:t>
            </w:r>
          </w:p>
        </w:tc>
        <w:tc>
          <w:tcPr>
            <w:tcW w:w="280" w:type="dxa"/>
            <w:vAlign w:val="bottom"/>
            <w:tcBorders>
              <w:top w:val="single" w:sz="8" w:color="FEFEFE"/>
              <w:bottom w:val="single" w:sz="8" w:color="FEFEFE"/>
            </w:tcBorders>
            <w:shd w:val="clear" w:color="auto" w:fill="FEFEFE"/>
          </w:tcPr>
          <w:p>
            <w:pPr>
              <w:spacing w:after="0"/>
              <w:rPr>
                <w:sz w:val="19"/>
                <w:szCs w:val="19"/>
                <w:color w:val="auto"/>
              </w:rPr>
            </w:pPr>
          </w:p>
        </w:tc>
        <w:tc>
          <w:tcPr>
            <w:tcW w:w="1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color w:val="auto"/>
              </w:rPr>
              <w:t>357,741</w:t>
            </w:r>
          </w:p>
        </w:tc>
        <w:tc>
          <w:tcPr>
            <w:tcW w:w="100" w:type="dxa"/>
            <w:vAlign w:val="bottom"/>
            <w:tcBorders>
              <w:top w:val="single" w:sz="8" w:color="FEFEFE"/>
              <w:bottom w:val="single" w:sz="8" w:color="FEFEFE"/>
            </w:tcBorders>
            <w:shd w:val="clear" w:color="auto" w:fill="FEFEFE"/>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653" w:right="540" w:bottom="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years ended February 1, 2025, February 3, 2024 and January 28,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280" w:type="dxa"/>
            <w:vAlign w:val="bottom"/>
            <w:gridSpan w:val="2"/>
            <w:shd w:val="clear" w:color="auto" w:fill="FEFEFE"/>
          </w:tcPr>
          <w:p>
            <w:pPr>
              <w:jc w:val="right"/>
              <w:ind w:right="1"/>
              <w:spacing w:after="0"/>
              <w:rPr>
                <w:sz w:val="20"/>
                <w:szCs w:val="20"/>
                <w:color w:val="auto"/>
              </w:rPr>
            </w:pPr>
            <w:r>
              <w:rPr>
                <w:rFonts w:ascii="Times New Roman" w:cs="Times New Roman" w:eastAsia="Times New Roman" w:hAnsi="Times New Roman"/>
                <w:sz w:val="16"/>
                <w:szCs w:val="16"/>
                <w:color w:val="auto"/>
              </w:rPr>
              <w:t>February 1, 2025</w:t>
            </w:r>
          </w:p>
        </w:tc>
        <w:tc>
          <w:tcPr>
            <w:tcW w:w="260" w:type="dxa"/>
            <w:vAlign w:val="bottom"/>
            <w:shd w:val="clear" w:color="auto" w:fill="FEFEFE"/>
          </w:tcPr>
          <w:p>
            <w:pPr>
              <w:spacing w:after="0"/>
              <w:rPr>
                <w:sz w:val="16"/>
                <w:szCs w:val="16"/>
                <w:color w:val="auto"/>
              </w:rPr>
            </w:pPr>
          </w:p>
        </w:tc>
        <w:tc>
          <w:tcPr>
            <w:tcW w:w="1540" w:type="dxa"/>
            <w:vAlign w:val="bottom"/>
            <w:gridSpan w:val="3"/>
            <w:shd w:val="clear" w:color="auto" w:fill="FEFEFE"/>
          </w:tcPr>
          <w:p>
            <w:pPr>
              <w:jc w:val="right"/>
              <w:ind w:right="360"/>
              <w:spacing w:after="0"/>
              <w:rPr>
                <w:sz w:val="20"/>
                <w:szCs w:val="20"/>
                <w:color w:val="auto"/>
              </w:rPr>
            </w:pPr>
            <w:r>
              <w:rPr>
                <w:rFonts w:ascii="Times New Roman" w:cs="Times New Roman" w:eastAsia="Times New Roman" w:hAnsi="Times New Roman"/>
                <w:sz w:val="16"/>
                <w:szCs w:val="16"/>
                <w:color w:val="auto"/>
              </w:rPr>
              <w:t>February 3, 2024</w:t>
            </w:r>
          </w:p>
        </w:tc>
        <w:tc>
          <w:tcPr>
            <w:tcW w:w="1300" w:type="dxa"/>
            <w:vAlign w:val="bottom"/>
            <w:gridSpan w:val="3"/>
            <w:shd w:val="clear" w:color="auto" w:fill="FEFEFE"/>
          </w:tcPr>
          <w:p>
            <w:pPr>
              <w:jc w:val="right"/>
              <w:ind w:right="160"/>
              <w:spacing w:after="0"/>
              <w:rPr>
                <w:sz w:val="20"/>
                <w:szCs w:val="20"/>
                <w:color w:val="auto"/>
              </w:rPr>
            </w:pPr>
            <w:r>
              <w:rPr>
                <w:rFonts w:ascii="Times New Roman" w:cs="Times New Roman" w:eastAsia="Times New Roman" w:hAnsi="Times New Roman"/>
                <w:sz w:val="16"/>
                <w:szCs w:val="16"/>
                <w:color w:val="auto"/>
              </w:rPr>
              <w:t>January 28, 2023</w:t>
            </w:r>
          </w:p>
        </w:tc>
      </w:tr>
      <w:tr>
        <w:trPr>
          <w:trHeight w:val="201"/>
        </w:trPr>
        <w:tc>
          <w:tcPr>
            <w:tcW w:w="6260" w:type="dxa"/>
            <w:vAlign w:val="bottom"/>
            <w:tcBorders>
              <w:bottom w:val="single" w:sz="8" w:color="E7E7E3"/>
            </w:tcBorders>
            <w:shd w:val="clear" w:color="auto" w:fill="FEFEFE"/>
          </w:tcPr>
          <w:p>
            <w:pPr>
              <w:spacing w:after="0"/>
              <w:rPr>
                <w:sz w:val="17"/>
                <w:szCs w:val="17"/>
                <w:color w:val="auto"/>
              </w:rPr>
            </w:pPr>
          </w:p>
        </w:tc>
        <w:tc>
          <w:tcPr>
            <w:tcW w:w="160" w:type="dxa"/>
            <w:vAlign w:val="bottom"/>
            <w:tcBorders>
              <w:bottom w:val="single" w:sz="8" w:color="E7E7E3"/>
            </w:tcBorders>
            <w:shd w:val="clear" w:color="auto" w:fill="FEFEFE"/>
          </w:tcPr>
          <w:p>
            <w:pPr>
              <w:spacing w:after="0"/>
              <w:rPr>
                <w:sz w:val="17"/>
                <w:szCs w:val="17"/>
                <w:color w:val="auto"/>
              </w:rPr>
            </w:pPr>
          </w:p>
        </w:tc>
        <w:tc>
          <w:tcPr>
            <w:tcW w:w="160" w:type="dxa"/>
            <w:vAlign w:val="bottom"/>
            <w:tcBorders>
              <w:bottom w:val="single" w:sz="8" w:color="auto"/>
            </w:tcBorders>
            <w:shd w:val="clear" w:color="auto" w:fill="FEFEFE"/>
          </w:tcPr>
          <w:p>
            <w:pPr>
              <w:spacing w:after="0"/>
              <w:rPr>
                <w:sz w:val="17"/>
                <w:szCs w:val="17"/>
                <w:color w:val="auto"/>
              </w:rPr>
            </w:pPr>
          </w:p>
        </w:tc>
        <w:tc>
          <w:tcPr>
            <w:tcW w:w="1120" w:type="dxa"/>
            <w:vAlign w:val="bottom"/>
            <w:tcBorders>
              <w:bottom w:val="single" w:sz="8" w:color="auto"/>
            </w:tcBorders>
            <w:shd w:val="clear" w:color="auto" w:fill="FEFEFE"/>
          </w:tcPr>
          <w:p>
            <w:pPr>
              <w:jc w:val="right"/>
              <w:ind w:right="121"/>
              <w:spacing w:after="0"/>
              <w:rPr>
                <w:sz w:val="20"/>
                <w:szCs w:val="20"/>
                <w:color w:val="auto"/>
              </w:rPr>
            </w:pPr>
            <w:r>
              <w:rPr>
                <w:rFonts w:ascii="Times New Roman" w:cs="Times New Roman" w:eastAsia="Times New Roman" w:hAnsi="Times New Roman"/>
                <w:sz w:val="16"/>
                <w:szCs w:val="16"/>
                <w:color w:val="auto"/>
              </w:rPr>
              <w:t>(Fiscal 2024)</w:t>
            </w:r>
          </w:p>
        </w:tc>
        <w:tc>
          <w:tcPr>
            <w:tcW w:w="260" w:type="dxa"/>
            <w:vAlign w:val="bottom"/>
            <w:tcBorders>
              <w:bottom w:val="single" w:sz="8" w:color="E7E7E3"/>
            </w:tcBorders>
            <w:shd w:val="clear" w:color="auto" w:fill="FEFEFE"/>
          </w:tcPr>
          <w:p>
            <w:pPr>
              <w:spacing w:after="0"/>
              <w:rPr>
                <w:sz w:val="17"/>
                <w:szCs w:val="17"/>
                <w:color w:val="auto"/>
              </w:rPr>
            </w:pPr>
          </w:p>
        </w:tc>
        <w:tc>
          <w:tcPr>
            <w:tcW w:w="160" w:type="dxa"/>
            <w:vAlign w:val="bottom"/>
            <w:tcBorders>
              <w:bottom w:val="single" w:sz="8" w:color="auto"/>
            </w:tcBorders>
            <w:shd w:val="clear" w:color="auto" w:fill="FEFEFE"/>
          </w:tcPr>
          <w:p>
            <w:pPr>
              <w:spacing w:after="0"/>
              <w:rPr>
                <w:sz w:val="17"/>
                <w:szCs w:val="17"/>
                <w:color w:val="auto"/>
              </w:rPr>
            </w:pPr>
          </w:p>
        </w:tc>
        <w:tc>
          <w:tcPr>
            <w:tcW w:w="1120" w:type="dxa"/>
            <w:vAlign w:val="bottom"/>
            <w:tcBorders>
              <w:bottom w:val="single" w:sz="8" w:color="auto"/>
            </w:tcBorders>
            <w:shd w:val="clear" w:color="auto" w:fill="FEFEFE"/>
          </w:tcPr>
          <w:p>
            <w:pPr>
              <w:jc w:val="right"/>
              <w:ind w:right="121"/>
              <w:spacing w:after="0"/>
              <w:rPr>
                <w:sz w:val="20"/>
                <w:szCs w:val="20"/>
                <w:color w:val="auto"/>
              </w:rPr>
            </w:pPr>
            <w:r>
              <w:rPr>
                <w:rFonts w:ascii="Times New Roman" w:cs="Times New Roman" w:eastAsia="Times New Roman" w:hAnsi="Times New Roman"/>
                <w:sz w:val="16"/>
                <w:szCs w:val="16"/>
                <w:color w:val="auto"/>
              </w:rPr>
              <w:t>(Fiscal 2023)</w:t>
            </w:r>
          </w:p>
        </w:tc>
        <w:tc>
          <w:tcPr>
            <w:tcW w:w="260" w:type="dxa"/>
            <w:vAlign w:val="bottom"/>
            <w:tcBorders>
              <w:bottom w:val="single" w:sz="8" w:color="E7E7E3"/>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060" w:type="dxa"/>
            <w:vAlign w:val="bottom"/>
            <w:tcBorders>
              <w:bottom w:val="single" w:sz="8" w:color="auto"/>
            </w:tcBorders>
            <w:shd w:val="clear" w:color="auto" w:fill="FEFEFE"/>
          </w:tcPr>
          <w:p>
            <w:pPr>
              <w:jc w:val="right"/>
              <w:ind w:right="81"/>
              <w:spacing w:after="0"/>
              <w:rPr>
                <w:sz w:val="20"/>
                <w:szCs w:val="20"/>
                <w:color w:val="auto"/>
              </w:rPr>
            </w:pPr>
            <w:r>
              <w:rPr>
                <w:rFonts w:ascii="Times New Roman" w:cs="Times New Roman" w:eastAsia="Times New Roman" w:hAnsi="Times New Roman"/>
                <w:sz w:val="16"/>
                <w:szCs w:val="16"/>
                <w:color w:val="auto"/>
              </w:rPr>
              <w:t>(Fiscal 2022)</w:t>
            </w:r>
          </w:p>
        </w:tc>
        <w:tc>
          <w:tcPr>
            <w:tcW w:w="100" w:type="dxa"/>
            <w:vAlign w:val="bottom"/>
            <w:tcBorders>
              <w:bottom w:val="single" w:sz="8" w:color="E7E7E3"/>
            </w:tcBorders>
            <w:shd w:val="clear" w:color="auto" w:fill="FEFEFE"/>
          </w:tcPr>
          <w:p>
            <w:pPr>
              <w:spacing w:after="0"/>
              <w:rPr>
                <w:sz w:val="17"/>
                <w:szCs w:val="17"/>
                <w:color w:val="auto"/>
              </w:rPr>
            </w:pPr>
          </w:p>
        </w:tc>
      </w:tr>
      <w:tr>
        <w:trPr>
          <w:trHeight w:val="220"/>
        </w:trPr>
        <w:tc>
          <w:tcPr>
            <w:tcW w:w="6260" w:type="dxa"/>
            <w:vAlign w:val="bottom"/>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Sales</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467,015</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521,815</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545,838</w:t>
            </w:r>
          </w:p>
        </w:tc>
        <w:tc>
          <w:tcPr>
            <w:tcW w:w="100" w:type="dxa"/>
            <w:vAlign w:val="bottom"/>
            <w:shd w:val="clear" w:color="auto" w:fill="E7E7E3"/>
          </w:tcPr>
          <w:p>
            <w:pPr>
              <w:spacing w:after="0"/>
              <w:rPr>
                <w:sz w:val="19"/>
                <w:szCs w:val="19"/>
                <w:color w:val="auto"/>
              </w:rPr>
            </w:pPr>
          </w:p>
        </w:tc>
      </w:tr>
      <w:tr>
        <w:trPr>
          <w:trHeight w:val="230"/>
        </w:trPr>
        <w:tc>
          <w:tcPr>
            <w:tcW w:w="626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Cost of goods sold, including occupancy costs</w:t>
            </w:r>
          </w:p>
        </w:tc>
        <w:tc>
          <w:tcPr>
            <w:tcW w:w="16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249,820</w:t>
            </w:r>
          </w:p>
        </w:tc>
        <w:tc>
          <w:tcPr>
            <w:tcW w:w="26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269,393</w:t>
            </w:r>
          </w:p>
        </w:tc>
        <w:tc>
          <w:tcPr>
            <w:tcW w:w="260" w:type="dxa"/>
            <w:vAlign w:val="bottom"/>
            <w:tcBorders>
              <w:bottom w:val="single" w:sz="8" w:color="E7E7E3"/>
            </w:tcBorders>
            <w:shd w:val="clear" w:color="auto" w:fill="FEFEFE"/>
          </w:tcPr>
          <w:p>
            <w:pPr>
              <w:spacing w:after="0"/>
              <w:rPr>
                <w:sz w:val="19"/>
                <w:szCs w:val="19"/>
                <w:color w:val="auto"/>
              </w:rPr>
            </w:pPr>
          </w:p>
        </w:tc>
        <w:tc>
          <w:tcPr>
            <w:tcW w:w="140" w:type="dxa"/>
            <w:vAlign w:val="bottom"/>
            <w:tcBorders>
              <w:bottom w:val="single" w:sz="8" w:color="auto"/>
            </w:tcBorders>
            <w:shd w:val="clear" w:color="auto" w:fill="FEFEFE"/>
          </w:tcPr>
          <w:p>
            <w:pPr>
              <w:spacing w:after="0"/>
              <w:rPr>
                <w:sz w:val="19"/>
                <w:szCs w:val="19"/>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273,240</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20"/>
        </w:trPr>
        <w:tc>
          <w:tcPr>
            <w:tcW w:w="6260" w:type="dxa"/>
            <w:vAlign w:val="bottom"/>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217,195</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252,422</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272,598</w:t>
            </w: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198,282</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196,529</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198,790</w:t>
            </w: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Impairment (gain) of assets</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(159)</w:t>
            </w:r>
          </w:p>
        </w:tc>
      </w:tr>
      <w:tr>
        <w:trPr>
          <w:trHeight w:val="230"/>
        </w:trPr>
        <w:tc>
          <w:tcPr>
            <w:tcW w:w="6260" w:type="dxa"/>
            <w:vAlign w:val="bottom"/>
            <w:tcBorders>
              <w:bottom w:val="single" w:sz="8" w:color="E7E7E3"/>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13,878</w:t>
            </w:r>
          </w:p>
        </w:tc>
        <w:tc>
          <w:tcPr>
            <w:tcW w:w="26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13,833</w:t>
            </w:r>
          </w:p>
        </w:tc>
        <w:tc>
          <w:tcPr>
            <w:tcW w:w="260" w:type="dxa"/>
            <w:vAlign w:val="bottom"/>
            <w:tcBorders>
              <w:bottom w:val="single" w:sz="8" w:color="E7E7E3"/>
            </w:tcBorders>
            <w:shd w:val="clear" w:color="auto" w:fill="FEFEFE"/>
          </w:tcPr>
          <w:p>
            <w:pPr>
              <w:spacing w:after="0"/>
              <w:rPr>
                <w:sz w:val="19"/>
                <w:szCs w:val="19"/>
                <w:color w:val="auto"/>
              </w:rPr>
            </w:pPr>
          </w:p>
        </w:tc>
        <w:tc>
          <w:tcPr>
            <w:tcW w:w="140" w:type="dxa"/>
            <w:vAlign w:val="bottom"/>
            <w:tcBorders>
              <w:bottom w:val="single" w:sz="8" w:color="auto"/>
            </w:tcBorders>
            <w:shd w:val="clear" w:color="auto" w:fill="FEFEFE"/>
          </w:tcPr>
          <w:p>
            <w:pPr>
              <w:spacing w:after="0"/>
              <w:rPr>
                <w:sz w:val="19"/>
                <w:szCs w:val="19"/>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15,381</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20"/>
        </w:trPr>
        <w:tc>
          <w:tcPr>
            <w:tcW w:w="6260" w:type="dxa"/>
            <w:vAlign w:val="bottom"/>
            <w:tcBorders>
              <w:bottom w:val="single" w:sz="8" w:color="FEFEFE"/>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Total expenses</w:t>
            </w:r>
          </w:p>
        </w:tc>
        <w:tc>
          <w:tcPr>
            <w:tcW w:w="16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112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213,463</w:t>
            </w:r>
          </w:p>
        </w:tc>
        <w:tc>
          <w:tcPr>
            <w:tcW w:w="26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112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210,478</w:t>
            </w:r>
          </w:p>
        </w:tc>
        <w:tc>
          <w:tcPr>
            <w:tcW w:w="260" w:type="dxa"/>
            <w:vAlign w:val="bottom"/>
            <w:tcBorders>
              <w:bottom w:val="single" w:sz="8" w:color="FEFEFE"/>
            </w:tcBorders>
            <w:shd w:val="clear" w:color="auto" w:fill="E7E7E3"/>
          </w:tcPr>
          <w:p>
            <w:pPr>
              <w:spacing w:after="0"/>
              <w:rPr>
                <w:sz w:val="19"/>
                <w:szCs w:val="19"/>
                <w:color w:val="auto"/>
              </w:rPr>
            </w:pPr>
          </w:p>
        </w:tc>
        <w:tc>
          <w:tcPr>
            <w:tcW w:w="140" w:type="dxa"/>
            <w:vAlign w:val="bottom"/>
            <w:tcBorders>
              <w:bottom w:val="single" w:sz="8" w:color="auto"/>
            </w:tcBorders>
            <w:shd w:val="clear" w:color="auto" w:fill="E7E7E3"/>
          </w:tcPr>
          <w:p>
            <w:pPr>
              <w:spacing w:after="0"/>
              <w:rPr>
                <w:sz w:val="19"/>
                <w:szCs w:val="19"/>
                <w:color w:val="auto"/>
              </w:rPr>
            </w:pPr>
          </w:p>
        </w:tc>
        <w:tc>
          <w:tcPr>
            <w:tcW w:w="106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214,012</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3,732</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41,944</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58,586</w:t>
            </w: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380" w:type="dxa"/>
            <w:vAlign w:val="bottom"/>
            <w:gridSpan w:val="2"/>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Loss from termination of retirement plans</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38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(5,690)</w:t>
            </w: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2,084</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2,137</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(251)</w:t>
            </w:r>
          </w:p>
        </w:tc>
      </w:tr>
      <w:tr>
        <w:trPr>
          <w:trHeight w:val="220"/>
        </w:trPr>
        <w:tc>
          <w:tcPr>
            <w:tcW w:w="62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1120" w:type="dxa"/>
            <w:vAlign w:val="bottom"/>
            <w:tcBorders>
              <w:top w:val="single" w:sz="8" w:color="auto"/>
            </w:tcBorders>
            <w:shd w:val="clear" w:color="auto" w:fill="E7E7E3"/>
          </w:tcPr>
          <w:p>
            <w:pPr>
              <w:spacing w:after="0"/>
              <w:rPr>
                <w:sz w:val="19"/>
                <w:szCs w:val="19"/>
                <w:color w:val="auto"/>
              </w:rPr>
            </w:pPr>
          </w:p>
        </w:tc>
        <w:tc>
          <w:tcPr>
            <w:tcW w:w="2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1120" w:type="dxa"/>
            <w:vAlign w:val="bottom"/>
            <w:tcBorders>
              <w:top w:val="single" w:sz="8" w:color="auto"/>
            </w:tcBorders>
            <w:shd w:val="clear" w:color="auto" w:fill="E7E7E3"/>
          </w:tcPr>
          <w:p>
            <w:pPr>
              <w:spacing w:after="0"/>
              <w:rPr>
                <w:sz w:val="19"/>
                <w:szCs w:val="19"/>
                <w:color w:val="auto"/>
              </w:rPr>
            </w:pPr>
          </w:p>
        </w:tc>
        <w:tc>
          <w:tcPr>
            <w:tcW w:w="260" w:type="dxa"/>
            <w:vAlign w:val="bottom"/>
            <w:tcBorders>
              <w:top w:val="single" w:sz="8" w:color="E7E7E3"/>
            </w:tcBorders>
            <w:shd w:val="clear" w:color="auto" w:fill="E7E7E3"/>
          </w:tcPr>
          <w:p>
            <w:pPr>
              <w:spacing w:after="0"/>
              <w:rPr>
                <w:sz w:val="19"/>
                <w:szCs w:val="19"/>
                <w:color w:val="auto"/>
              </w:rPr>
            </w:pPr>
          </w:p>
        </w:tc>
        <w:tc>
          <w:tcPr>
            <w:tcW w:w="140" w:type="dxa"/>
            <w:vAlign w:val="bottom"/>
            <w:tcBorders>
              <w:top w:val="single" w:sz="8" w:color="auto"/>
            </w:tcBorders>
            <w:shd w:val="clear" w:color="auto" w:fill="E7E7E3"/>
          </w:tcPr>
          <w:p>
            <w:pPr>
              <w:spacing w:after="0"/>
              <w:rPr>
                <w:sz w:val="19"/>
                <w:szCs w:val="19"/>
                <w:color w:val="auto"/>
              </w:rPr>
            </w:pPr>
          </w:p>
        </w:tc>
        <w:tc>
          <w:tcPr>
            <w:tcW w:w="106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Income before provision (benefit) for income taxes</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5,816</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38,391</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58,335</w:t>
            </w: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60" w:type="dxa"/>
            <w:vAlign w:val="bottom"/>
            <w:gridSpan w:val="2"/>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10,537</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(30,788)</w:t>
            </w:r>
          </w:p>
        </w:tc>
      </w:tr>
      <w:tr>
        <w:trPr>
          <w:trHeight w:val="220"/>
        </w:trPr>
        <w:tc>
          <w:tcPr>
            <w:tcW w:w="62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1120" w:type="dxa"/>
            <w:vAlign w:val="bottom"/>
            <w:tcBorders>
              <w:top w:val="single" w:sz="8" w:color="auto"/>
            </w:tcBorders>
            <w:shd w:val="clear" w:color="auto" w:fill="E7E7E3"/>
          </w:tcPr>
          <w:p>
            <w:pPr>
              <w:spacing w:after="0"/>
              <w:rPr>
                <w:sz w:val="19"/>
                <w:szCs w:val="19"/>
                <w:color w:val="auto"/>
              </w:rPr>
            </w:pPr>
          </w:p>
        </w:tc>
        <w:tc>
          <w:tcPr>
            <w:tcW w:w="26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1120" w:type="dxa"/>
            <w:vAlign w:val="bottom"/>
            <w:tcBorders>
              <w:top w:val="single" w:sz="8" w:color="auto"/>
            </w:tcBorders>
            <w:shd w:val="clear" w:color="auto" w:fill="E7E7E3"/>
          </w:tcPr>
          <w:p>
            <w:pPr>
              <w:spacing w:after="0"/>
              <w:rPr>
                <w:sz w:val="19"/>
                <w:szCs w:val="19"/>
                <w:color w:val="auto"/>
              </w:rPr>
            </w:pPr>
          </w:p>
        </w:tc>
        <w:tc>
          <w:tcPr>
            <w:tcW w:w="260" w:type="dxa"/>
            <w:vAlign w:val="bottom"/>
            <w:tcBorders>
              <w:top w:val="single" w:sz="8" w:color="E7E7E3"/>
            </w:tcBorders>
            <w:shd w:val="clear" w:color="auto" w:fill="E7E7E3"/>
          </w:tcPr>
          <w:p>
            <w:pPr>
              <w:spacing w:after="0"/>
              <w:rPr>
                <w:sz w:val="19"/>
                <w:szCs w:val="19"/>
                <w:color w:val="auto"/>
              </w:rPr>
            </w:pPr>
          </w:p>
        </w:tc>
        <w:tc>
          <w:tcPr>
            <w:tcW w:w="140" w:type="dxa"/>
            <w:vAlign w:val="bottom"/>
            <w:tcBorders>
              <w:top w:val="single" w:sz="8" w:color="auto"/>
            </w:tcBorders>
            <w:shd w:val="clear" w:color="auto" w:fill="E7E7E3"/>
          </w:tcPr>
          <w:p>
            <w:pPr>
              <w:spacing w:after="0"/>
              <w:rPr>
                <w:sz w:val="19"/>
                <w:szCs w:val="19"/>
                <w:color w:val="auto"/>
              </w:rPr>
            </w:pPr>
          </w:p>
        </w:tc>
        <w:tc>
          <w:tcPr>
            <w:tcW w:w="106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70"/>
        </w:trPr>
        <w:tc>
          <w:tcPr>
            <w:tcW w:w="626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Borders>
              <w:bottom w:val="single" w:sz="8" w:color="E7E7E3"/>
            </w:tcBorders>
            <w:shd w:val="clear" w:color="auto" w:fill="FEFEFE"/>
          </w:tcPr>
          <w:p>
            <w:pPr>
              <w:spacing w:after="0"/>
              <w:rPr>
                <w:sz w:val="23"/>
                <w:szCs w:val="23"/>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260" w:type="dxa"/>
            <w:vAlign w:val="bottom"/>
            <w:tcBorders>
              <w:bottom w:val="single" w:sz="8" w:color="E7E7E3"/>
            </w:tcBorders>
            <w:shd w:val="clear" w:color="auto" w:fill="FEFEFE"/>
          </w:tcPr>
          <w:p>
            <w:pPr>
              <w:spacing w:after="0"/>
              <w:rPr>
                <w:sz w:val="23"/>
                <w:szCs w:val="23"/>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27,854</w:t>
            </w:r>
          </w:p>
        </w:tc>
        <w:tc>
          <w:tcPr>
            <w:tcW w:w="26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89,123</w:t>
            </w:r>
          </w:p>
        </w:tc>
        <w:tc>
          <w:tcPr>
            <w:tcW w:w="100" w:type="dxa"/>
            <w:vAlign w:val="bottom"/>
            <w:tcBorders>
              <w:bottom w:val="single" w:sz="8" w:color="E7E7E3"/>
            </w:tcBorders>
            <w:shd w:val="clear" w:color="auto" w:fill="FEFEFE"/>
          </w:tcPr>
          <w:p>
            <w:pPr>
              <w:spacing w:after="0"/>
              <w:rPr>
                <w:sz w:val="23"/>
                <w:szCs w:val="23"/>
                <w:color w:val="auto"/>
              </w:rPr>
            </w:pPr>
          </w:p>
        </w:tc>
      </w:tr>
      <w:tr>
        <w:trPr>
          <w:trHeight w:val="215"/>
        </w:trPr>
        <w:tc>
          <w:tcPr>
            <w:tcW w:w="6260" w:type="dxa"/>
            <w:vAlign w:val="bottom"/>
            <w:shd w:val="clear" w:color="auto" w:fill="E7E7E3"/>
          </w:tcPr>
          <w:p>
            <w:pPr>
              <w:spacing w:after="0"/>
              <w:rPr>
                <w:sz w:val="18"/>
                <w:szCs w:val="18"/>
                <w:color w:val="auto"/>
              </w:rPr>
            </w:pPr>
          </w:p>
        </w:tc>
        <w:tc>
          <w:tcPr>
            <w:tcW w:w="160" w:type="dxa"/>
            <w:vAlign w:val="bottom"/>
            <w:shd w:val="clear" w:color="auto" w:fill="E7E7E3"/>
          </w:tcPr>
          <w:p>
            <w:pPr>
              <w:spacing w:after="0"/>
              <w:rPr>
                <w:sz w:val="18"/>
                <w:szCs w:val="18"/>
                <w:color w:val="auto"/>
              </w:rPr>
            </w:pPr>
          </w:p>
        </w:tc>
        <w:tc>
          <w:tcPr>
            <w:tcW w:w="160" w:type="dxa"/>
            <w:vAlign w:val="bottom"/>
            <w:shd w:val="clear" w:color="auto" w:fill="E7E7E3"/>
          </w:tcPr>
          <w:p>
            <w:pPr>
              <w:spacing w:after="0"/>
              <w:rPr>
                <w:sz w:val="18"/>
                <w:szCs w:val="18"/>
                <w:color w:val="auto"/>
              </w:rPr>
            </w:pPr>
          </w:p>
        </w:tc>
        <w:tc>
          <w:tcPr>
            <w:tcW w:w="1120" w:type="dxa"/>
            <w:vAlign w:val="bottom"/>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60" w:type="dxa"/>
            <w:vAlign w:val="bottom"/>
            <w:shd w:val="clear" w:color="auto" w:fill="E7E7E3"/>
          </w:tcPr>
          <w:p>
            <w:pPr>
              <w:spacing w:after="0"/>
              <w:rPr>
                <w:sz w:val="18"/>
                <w:szCs w:val="18"/>
                <w:color w:val="auto"/>
              </w:rPr>
            </w:pPr>
          </w:p>
        </w:tc>
        <w:tc>
          <w:tcPr>
            <w:tcW w:w="1120" w:type="dxa"/>
            <w:vAlign w:val="bottom"/>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40" w:type="dxa"/>
            <w:vAlign w:val="bottom"/>
            <w:shd w:val="clear" w:color="auto" w:fill="E7E7E3"/>
          </w:tcPr>
          <w:p>
            <w:pPr>
              <w:spacing w:after="0"/>
              <w:rPr>
                <w:sz w:val="18"/>
                <w:szCs w:val="18"/>
                <w:color w:val="auto"/>
              </w:rPr>
            </w:pPr>
          </w:p>
        </w:tc>
        <w:tc>
          <w:tcPr>
            <w:tcW w:w="106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r>
      <w:tr>
        <w:trPr>
          <w:trHeight w:val="230"/>
        </w:trPr>
        <w:tc>
          <w:tcPr>
            <w:tcW w:w="6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income per share - basic</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Net income per share - diluted</w:t>
            </w:r>
          </w:p>
        </w:tc>
        <w:tc>
          <w:tcPr>
            <w:tcW w:w="32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42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Weighted-average number of common shares outstanding:</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56,779</w:t>
            </w:r>
          </w:p>
        </w:tc>
        <w:tc>
          <w:tcPr>
            <w:tcW w:w="2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61,018</w:t>
            </w:r>
          </w:p>
        </w:tc>
        <w:tc>
          <w:tcPr>
            <w:tcW w:w="2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62,825</w:t>
            </w:r>
          </w:p>
        </w:tc>
        <w:tc>
          <w:tcPr>
            <w:tcW w:w="100" w:type="dxa"/>
            <w:vAlign w:val="bottom"/>
            <w:shd w:val="clear" w:color="auto" w:fill="FEFEFE"/>
          </w:tcPr>
          <w:p>
            <w:pPr>
              <w:spacing w:after="0"/>
              <w:rPr>
                <w:sz w:val="19"/>
                <w:szCs w:val="19"/>
                <w:color w:val="auto"/>
              </w:rPr>
            </w:pPr>
          </w:p>
        </w:tc>
      </w:tr>
      <w:tr>
        <w:trPr>
          <w:trHeight w:val="230"/>
        </w:trPr>
        <w:tc>
          <w:tcPr>
            <w:tcW w:w="62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59,590</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64,305</w:t>
            </w: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66,890</w:t>
            </w:r>
          </w:p>
        </w:tc>
        <w:tc>
          <w:tcPr>
            <w:tcW w:w="100" w:type="dxa"/>
            <w:vAlign w:val="bottom"/>
            <w:shd w:val="clear" w:color="auto" w:fill="E7E7E3"/>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653" w:right="540" w:bottom="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years ended February 1, 2025, February 3, 2024 and January 28,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280" w:type="dxa"/>
            <w:vAlign w:val="bottom"/>
            <w:gridSpan w:val="2"/>
            <w:shd w:val="clear" w:color="auto" w:fill="FEFEFE"/>
          </w:tcPr>
          <w:p>
            <w:pPr>
              <w:jc w:val="right"/>
              <w:ind w:right="7"/>
              <w:spacing w:after="0"/>
              <w:rPr>
                <w:sz w:val="20"/>
                <w:szCs w:val="20"/>
                <w:color w:val="auto"/>
              </w:rPr>
            </w:pPr>
            <w:r>
              <w:rPr>
                <w:rFonts w:ascii="Times New Roman" w:cs="Times New Roman" w:eastAsia="Times New Roman" w:hAnsi="Times New Roman"/>
                <w:sz w:val="16"/>
                <w:szCs w:val="16"/>
                <w:color w:val="auto"/>
              </w:rPr>
              <w:t>February 1, 2025</w:t>
            </w:r>
          </w:p>
        </w:tc>
        <w:tc>
          <w:tcPr>
            <w:tcW w:w="260" w:type="dxa"/>
            <w:vAlign w:val="bottom"/>
            <w:shd w:val="clear" w:color="auto" w:fill="FEFEFE"/>
          </w:tcPr>
          <w:p>
            <w:pPr>
              <w:spacing w:after="0"/>
              <w:rPr>
                <w:sz w:val="16"/>
                <w:szCs w:val="16"/>
                <w:color w:val="auto"/>
              </w:rPr>
            </w:pPr>
          </w:p>
        </w:tc>
        <w:tc>
          <w:tcPr>
            <w:tcW w:w="1520" w:type="dxa"/>
            <w:vAlign w:val="bottom"/>
            <w:gridSpan w:val="3"/>
            <w:shd w:val="clear" w:color="auto" w:fill="FEFEFE"/>
          </w:tcPr>
          <w:p>
            <w:pPr>
              <w:jc w:val="right"/>
              <w:ind w:right="340"/>
              <w:spacing w:after="0"/>
              <w:rPr>
                <w:sz w:val="20"/>
                <w:szCs w:val="20"/>
                <w:color w:val="auto"/>
              </w:rPr>
            </w:pPr>
            <w:r>
              <w:rPr>
                <w:rFonts w:ascii="Times New Roman" w:cs="Times New Roman" w:eastAsia="Times New Roman" w:hAnsi="Times New Roman"/>
                <w:sz w:val="16"/>
                <w:szCs w:val="16"/>
                <w:color w:val="auto"/>
              </w:rPr>
              <w:t>February 3, 2024</w:t>
            </w:r>
          </w:p>
        </w:tc>
        <w:tc>
          <w:tcPr>
            <w:tcW w:w="1380" w:type="dxa"/>
            <w:vAlign w:val="bottom"/>
            <w:gridSpan w:val="3"/>
            <w:shd w:val="clear" w:color="auto" w:fill="FEFEFE"/>
          </w:tcPr>
          <w:p>
            <w:pPr>
              <w:jc w:val="right"/>
              <w:ind w:right="200"/>
              <w:spacing w:after="0"/>
              <w:rPr>
                <w:sz w:val="20"/>
                <w:szCs w:val="20"/>
                <w:color w:val="auto"/>
              </w:rPr>
            </w:pPr>
            <w:r>
              <w:rPr>
                <w:rFonts w:ascii="Times New Roman" w:cs="Times New Roman" w:eastAsia="Times New Roman" w:hAnsi="Times New Roman"/>
                <w:sz w:val="16"/>
                <w:szCs w:val="16"/>
                <w:color w:val="auto"/>
              </w:rPr>
              <w:t>January 28, 2023</w:t>
            </w:r>
          </w:p>
        </w:tc>
      </w:tr>
      <w:tr>
        <w:trPr>
          <w:trHeight w:val="201"/>
        </w:trPr>
        <w:tc>
          <w:tcPr>
            <w:tcW w:w="62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160" w:type="dxa"/>
            <w:vAlign w:val="bottom"/>
            <w:shd w:val="clear" w:color="auto" w:fill="FEFEFE"/>
          </w:tcPr>
          <w:p>
            <w:pPr>
              <w:jc w:val="right"/>
              <w:ind w:right="127"/>
              <w:spacing w:after="0"/>
              <w:rPr>
                <w:sz w:val="20"/>
                <w:szCs w:val="20"/>
                <w:color w:val="auto"/>
              </w:rPr>
            </w:pPr>
            <w:r>
              <w:rPr>
                <w:rFonts w:ascii="Times New Roman" w:cs="Times New Roman" w:eastAsia="Times New Roman" w:hAnsi="Times New Roman"/>
                <w:sz w:val="16"/>
                <w:szCs w:val="16"/>
                <w:color w:val="auto"/>
              </w:rPr>
              <w:t>(Fiscal 2024)</w:t>
            </w:r>
          </w:p>
        </w:tc>
        <w:tc>
          <w:tcPr>
            <w:tcW w:w="26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420" w:type="dxa"/>
            <w:vAlign w:val="bottom"/>
            <w:gridSpan w:val="2"/>
            <w:shd w:val="clear" w:color="auto" w:fill="FEFEFE"/>
          </w:tcPr>
          <w:p>
            <w:pPr>
              <w:jc w:val="right"/>
              <w:ind w:right="460"/>
              <w:spacing w:after="0"/>
              <w:rPr>
                <w:sz w:val="20"/>
                <w:szCs w:val="20"/>
                <w:color w:val="auto"/>
              </w:rPr>
            </w:pPr>
            <w:r>
              <w:rPr>
                <w:rFonts w:ascii="Times New Roman" w:cs="Times New Roman" w:eastAsia="Times New Roman" w:hAnsi="Times New Roman"/>
                <w:sz w:val="16"/>
                <w:szCs w:val="16"/>
                <w:color w:val="auto"/>
              </w:rPr>
              <w:t>(Fiscal 2023)</w:t>
            </w:r>
          </w:p>
        </w:tc>
        <w:tc>
          <w:tcPr>
            <w:tcW w:w="120" w:type="dxa"/>
            <w:vAlign w:val="bottom"/>
            <w:shd w:val="clear" w:color="auto" w:fill="FEFEFE"/>
          </w:tcPr>
          <w:p>
            <w:pPr>
              <w:spacing w:after="0"/>
              <w:rPr>
                <w:sz w:val="17"/>
                <w:szCs w:val="17"/>
                <w:color w:val="auto"/>
              </w:rPr>
            </w:pPr>
          </w:p>
        </w:tc>
        <w:tc>
          <w:tcPr>
            <w:tcW w:w="1260" w:type="dxa"/>
            <w:vAlign w:val="bottom"/>
            <w:gridSpan w:val="2"/>
            <w:shd w:val="clear" w:color="auto" w:fill="FEFEFE"/>
          </w:tcPr>
          <w:p>
            <w:pPr>
              <w:jc w:val="right"/>
              <w:ind w:right="320"/>
              <w:spacing w:after="0"/>
              <w:rPr>
                <w:sz w:val="20"/>
                <w:szCs w:val="20"/>
                <w:color w:val="auto"/>
              </w:rPr>
            </w:pPr>
            <w:r>
              <w:rPr>
                <w:rFonts w:ascii="Times New Roman" w:cs="Times New Roman" w:eastAsia="Times New Roman" w:hAnsi="Times New Roman"/>
                <w:sz w:val="16"/>
                <w:szCs w:val="16"/>
                <w:color w:val="auto"/>
              </w:rPr>
              <w:t>(Fiscal 2022)</w:t>
            </w:r>
          </w:p>
        </w:tc>
      </w:tr>
      <w:tr>
        <w:trPr>
          <w:trHeight w:val="220"/>
        </w:trPr>
        <w:tc>
          <w:tcPr>
            <w:tcW w:w="6220" w:type="dxa"/>
            <w:vAlign w:val="bottom"/>
            <w:tcBorders>
              <w:top w:val="single" w:sz="8" w:color="E7E7E3"/>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tcBorders>
              <w:top w:val="single" w:sz="8" w:color="E7E7E3"/>
            </w:tcBorders>
            <w:shd w:val="clear" w:color="auto" w:fill="E7E7E3"/>
          </w:tcPr>
          <w:p>
            <w:pPr>
              <w:spacing w:after="0"/>
              <w:rPr>
                <w:sz w:val="19"/>
                <w:szCs w:val="19"/>
                <w:color w:val="auto"/>
              </w:rPr>
            </w:pPr>
          </w:p>
        </w:tc>
        <w:tc>
          <w:tcPr>
            <w:tcW w:w="1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3,055</w:t>
            </w:r>
          </w:p>
        </w:tc>
        <w:tc>
          <w:tcPr>
            <w:tcW w:w="260" w:type="dxa"/>
            <w:vAlign w:val="bottom"/>
            <w:tcBorders>
              <w:top w:val="single" w:sz="8" w:color="E7E7E3"/>
            </w:tcBorders>
            <w:shd w:val="clear" w:color="auto" w:fill="E7E7E3"/>
          </w:tcPr>
          <w:p>
            <w:pPr>
              <w:spacing w:after="0"/>
              <w:rPr>
                <w:sz w:val="19"/>
                <w:szCs w:val="19"/>
                <w:color w:val="auto"/>
              </w:rPr>
            </w:pPr>
          </w:p>
        </w:tc>
        <w:tc>
          <w:tcPr>
            <w:tcW w:w="10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27,854</w:t>
            </w:r>
          </w:p>
        </w:tc>
        <w:tc>
          <w:tcPr>
            <w:tcW w:w="260" w:type="dxa"/>
            <w:vAlign w:val="bottom"/>
            <w:tcBorders>
              <w:top w:val="single" w:sz="8" w:color="E7E7E3"/>
            </w:tcBorders>
            <w:shd w:val="clear" w:color="auto" w:fill="E7E7E3"/>
          </w:tcPr>
          <w:p>
            <w:pPr>
              <w:spacing w:after="0"/>
              <w:rPr>
                <w:sz w:val="19"/>
                <w:szCs w:val="19"/>
                <w:color w:val="auto"/>
              </w:rPr>
            </w:pPr>
          </w:p>
        </w:tc>
        <w:tc>
          <w:tcPr>
            <w:tcW w:w="1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89,123</w:t>
            </w: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62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22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Other comprehensive income (loss) before taxes:</w:t>
            </w:r>
          </w:p>
        </w:tc>
        <w:tc>
          <w:tcPr>
            <w:tcW w:w="14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2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Recognition of accumulated foreign currency translation adjustment</w:t>
            </w: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FEFEFE"/>
          </w:tcPr>
          <w:p>
            <w:pPr>
              <w:spacing w:after="0"/>
              <w:rPr>
                <w:sz w:val="19"/>
                <w:szCs w:val="19"/>
                <w:color w:val="auto"/>
              </w:rPr>
            </w:pPr>
          </w:p>
        </w:tc>
      </w:tr>
      <w:tr>
        <w:trPr>
          <w:trHeight w:val="230"/>
        </w:trPr>
        <w:tc>
          <w:tcPr>
            <w:tcW w:w="622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4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2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62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Retirement plans</w:t>
            </w: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(167)</w:t>
            </w: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00" w:type="dxa"/>
            <w:vAlign w:val="bottom"/>
            <w:shd w:val="clear" w:color="auto" w:fill="FEFEFE"/>
          </w:tcPr>
          <w:p>
            <w:pPr>
              <w:spacing w:after="0"/>
              <w:rPr>
                <w:sz w:val="19"/>
                <w:szCs w:val="19"/>
                <w:color w:val="auto"/>
              </w:rPr>
            </w:pPr>
          </w:p>
        </w:tc>
      </w:tr>
      <w:tr>
        <w:trPr>
          <w:trHeight w:val="230"/>
        </w:trPr>
        <w:tc>
          <w:tcPr>
            <w:tcW w:w="6220" w:type="dxa"/>
            <w:vAlign w:val="bottom"/>
            <w:tcBorders>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Recognized loss from termination of retirement plans</w:t>
            </w:r>
          </w:p>
        </w:tc>
        <w:tc>
          <w:tcPr>
            <w:tcW w:w="14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spacing w:after="0"/>
              <w:rPr>
                <w:sz w:val="19"/>
                <w:szCs w:val="19"/>
                <w:color w:val="auto"/>
              </w:rPr>
            </w:pPr>
          </w:p>
        </w:tc>
        <w:tc>
          <w:tcPr>
            <w:tcW w:w="26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5,690</w:t>
            </w:r>
          </w:p>
        </w:tc>
        <w:tc>
          <w:tcPr>
            <w:tcW w:w="26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spacing w:after="0"/>
              <w:rPr>
                <w:sz w:val="19"/>
                <w:szCs w:val="19"/>
                <w:color w:val="auto"/>
              </w:rPr>
            </w:pP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220" w:type="dxa"/>
            <w:vAlign w:val="bottom"/>
            <w:shd w:val="clear" w:color="auto" w:fill="FEFEFE"/>
          </w:tcPr>
          <w:p>
            <w:pPr>
              <w:ind w:left="400"/>
              <w:spacing w:after="0" w:line="220" w:lineRule="exact"/>
              <w:rPr>
                <w:sz w:val="20"/>
                <w:szCs w:val="20"/>
                <w:color w:val="auto"/>
              </w:rPr>
            </w:pPr>
            <w:r>
              <w:rPr>
                <w:rFonts w:ascii="Times New Roman" w:cs="Times New Roman" w:eastAsia="Times New Roman" w:hAnsi="Times New Roman"/>
                <w:sz w:val="20"/>
                <w:szCs w:val="20"/>
                <w:color w:val="auto"/>
              </w:rPr>
              <w:t>Other comprehensive income before taxes</w:t>
            </w:r>
          </w:p>
        </w:tc>
        <w:tc>
          <w:tcPr>
            <w:tcW w:w="1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6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5,523</w:t>
            </w:r>
          </w:p>
        </w:tc>
        <w:tc>
          <w:tcPr>
            <w:tcW w:w="2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6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763</w:t>
            </w:r>
          </w:p>
        </w:tc>
        <w:tc>
          <w:tcPr>
            <w:tcW w:w="100" w:type="dxa"/>
            <w:vAlign w:val="bottom"/>
            <w:shd w:val="clear" w:color="auto" w:fill="FEFEFE"/>
          </w:tcPr>
          <w:p>
            <w:pPr>
              <w:spacing w:after="0"/>
              <w:rPr>
                <w:sz w:val="19"/>
                <w:szCs w:val="19"/>
                <w:color w:val="auto"/>
              </w:rPr>
            </w:pPr>
          </w:p>
        </w:tc>
      </w:tr>
      <w:tr>
        <w:trPr>
          <w:trHeight w:val="230"/>
        </w:trPr>
        <w:tc>
          <w:tcPr>
            <w:tcW w:w="622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Tax provision related to items of other comprehensive income</w:t>
            </w:r>
          </w:p>
        </w:tc>
        <w:tc>
          <w:tcPr>
            <w:tcW w:w="14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spacing w:after="0"/>
              <w:rPr>
                <w:sz w:val="19"/>
                <w:szCs w:val="19"/>
                <w:color w:val="auto"/>
              </w:rPr>
            </w:pPr>
          </w:p>
        </w:tc>
        <w:tc>
          <w:tcPr>
            <w:tcW w:w="26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26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220" w:type="dxa"/>
            <w:vAlign w:val="bottom"/>
            <w:tcBorders>
              <w:bottom w:val="single" w:sz="8" w:color="E7E7E3"/>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Other comprehensive income, net of tax</w:t>
            </w:r>
          </w:p>
        </w:tc>
        <w:tc>
          <w:tcPr>
            <w:tcW w:w="140" w:type="dxa"/>
            <w:vAlign w:val="bottom"/>
            <w:tcBorders>
              <w:bottom w:val="single" w:sz="8" w:color="E7E7E3"/>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160" w:type="dxa"/>
            <w:vAlign w:val="bottom"/>
            <w:tcBorders>
              <w:bottom w:val="single" w:sz="8" w:color="auto"/>
            </w:tcBorders>
            <w:shd w:val="clear" w:color="auto" w:fill="FEFEFE"/>
          </w:tcPr>
          <w:p>
            <w:pPr>
              <w:spacing w:after="0"/>
              <w:rPr>
                <w:sz w:val="19"/>
                <w:szCs w:val="19"/>
                <w:color w:val="auto"/>
              </w:rPr>
            </w:pPr>
          </w:p>
        </w:tc>
        <w:tc>
          <w:tcPr>
            <w:tcW w:w="26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auto"/>
            </w:tcBorders>
            <w:shd w:val="clear" w:color="auto" w:fill="FEFEFE"/>
          </w:tcPr>
          <w:p>
            <w:pPr>
              <w:spacing w:after="0"/>
              <w:rPr>
                <w:sz w:val="19"/>
                <w:szCs w:val="19"/>
                <w:color w:val="auto"/>
              </w:rPr>
            </w:pPr>
          </w:p>
        </w:tc>
        <w:tc>
          <w:tcPr>
            <w:tcW w:w="116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4,928</w:t>
            </w:r>
          </w:p>
        </w:tc>
        <w:tc>
          <w:tcPr>
            <w:tcW w:w="260" w:type="dxa"/>
            <w:vAlign w:val="bottom"/>
            <w:tcBorders>
              <w:bottom w:val="single" w:sz="8" w:color="E7E7E3"/>
            </w:tcBorders>
            <w:shd w:val="clear" w:color="auto" w:fill="FEFEFE"/>
          </w:tcPr>
          <w:p>
            <w:pPr>
              <w:spacing w:after="0"/>
              <w:rPr>
                <w:sz w:val="19"/>
                <w:szCs w:val="19"/>
                <w:color w:val="auto"/>
              </w:rPr>
            </w:pPr>
          </w:p>
        </w:tc>
        <w:tc>
          <w:tcPr>
            <w:tcW w:w="120" w:type="dxa"/>
            <w:vAlign w:val="bottom"/>
            <w:tcBorders>
              <w:bottom w:val="single" w:sz="8" w:color="auto"/>
            </w:tcBorders>
            <w:shd w:val="clear" w:color="auto" w:fill="FEFEFE"/>
          </w:tcPr>
          <w:p>
            <w:pPr>
              <w:spacing w:after="0"/>
              <w:rPr>
                <w:sz w:val="19"/>
                <w:szCs w:val="19"/>
                <w:color w:val="auto"/>
              </w:rPr>
            </w:pPr>
          </w:p>
        </w:tc>
        <w:tc>
          <w:tcPr>
            <w:tcW w:w="116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597</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40"/>
        </w:trPr>
        <w:tc>
          <w:tcPr>
            <w:tcW w:w="6220" w:type="dxa"/>
            <w:vAlign w:val="bottom"/>
            <w:tcBorders>
              <w:bottom w:val="single" w:sz="8" w:color="E7E7E3"/>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Comprehensive income</w:t>
            </w:r>
          </w:p>
        </w:tc>
        <w:tc>
          <w:tcPr>
            <w:tcW w:w="140" w:type="dxa"/>
            <w:vAlign w:val="bottom"/>
            <w:tcBorders>
              <w:bottom w:val="single" w:sz="8" w:color="E7E7E3"/>
            </w:tcBorders>
            <w:shd w:val="clear" w:color="auto" w:fill="E7E7E3"/>
          </w:tcPr>
          <w:p>
            <w:pPr>
              <w:spacing w:after="0"/>
              <w:rPr>
                <w:sz w:val="20"/>
                <w:szCs w:val="20"/>
                <w:color w:val="auto"/>
              </w:rPr>
            </w:pPr>
          </w:p>
        </w:tc>
        <w:tc>
          <w:tcPr>
            <w:tcW w:w="12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3,055</w:t>
            </w:r>
          </w:p>
        </w:tc>
        <w:tc>
          <w:tcPr>
            <w:tcW w:w="260" w:type="dxa"/>
            <w:vAlign w:val="bottom"/>
            <w:tcBorders>
              <w:bottom w:val="single" w:sz="8" w:color="E7E7E3"/>
            </w:tcBorders>
            <w:shd w:val="clear" w:color="auto" w:fill="E7E7E3"/>
          </w:tcPr>
          <w:p>
            <w:pPr>
              <w:spacing w:after="0"/>
              <w:rPr>
                <w:sz w:val="20"/>
                <w:szCs w:val="20"/>
                <w:color w:val="auto"/>
              </w:rPr>
            </w:pPr>
          </w:p>
        </w:tc>
        <w:tc>
          <w:tcPr>
            <w:tcW w:w="10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32,782</w:t>
            </w:r>
          </w:p>
        </w:tc>
        <w:tc>
          <w:tcPr>
            <w:tcW w:w="260" w:type="dxa"/>
            <w:vAlign w:val="bottom"/>
            <w:tcBorders>
              <w:bottom w:val="single" w:sz="8" w:color="E7E7E3"/>
            </w:tcBorders>
            <w:shd w:val="clear" w:color="auto" w:fill="E7E7E3"/>
          </w:tcPr>
          <w:p>
            <w:pPr>
              <w:spacing w:after="0"/>
              <w:rPr>
                <w:sz w:val="20"/>
                <w:szCs w:val="20"/>
                <w:color w:val="auto"/>
              </w:rPr>
            </w:pPr>
          </w:p>
        </w:tc>
        <w:tc>
          <w:tcPr>
            <w:tcW w:w="12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89,720</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653" w:right="540" w:bottom="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spacing w:after="0" w:line="263" w:lineRule="auto"/>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 For the fiscal years ended February 1, 2025, February 3, 2024 and January 28,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9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080" w:type="dxa"/>
            <w:vAlign w:val="bottom"/>
            <w:gridSpan w:val="3"/>
            <w:shd w:val="clear" w:color="auto" w:fill="FEFEFE"/>
          </w:tcPr>
          <w:p>
            <w:pPr>
              <w:jc w:val="center"/>
              <w:ind w:right="180"/>
              <w:spacing w:after="0"/>
              <w:rPr>
                <w:sz w:val="20"/>
                <w:szCs w:val="20"/>
                <w:color w:val="auto"/>
              </w:rPr>
            </w:pPr>
            <w:r>
              <w:rPr>
                <w:rFonts w:ascii="Times New Roman" w:cs="Times New Roman" w:eastAsia="Times New Roman" w:hAnsi="Times New Roman"/>
                <w:sz w:val="14"/>
                <w:szCs w:val="14"/>
                <w:color w:val="auto"/>
                <w:w w:val="99"/>
              </w:rPr>
              <w:t>Accumulated</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9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78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4"/>
                <w:szCs w:val="14"/>
                <w:color w:val="auto"/>
              </w:rPr>
              <w:t>Additional</w:t>
            </w:r>
          </w:p>
        </w:tc>
        <w:tc>
          <w:tcPr>
            <w:tcW w:w="86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center"/>
              <w:ind w:right="3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w w:val="98"/>
              </w:rPr>
              <w:t>Common Stock</w:t>
            </w: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4"/>
                <w:szCs w:val="14"/>
                <w:color w:val="auto"/>
                <w:w w:val="93"/>
              </w:rPr>
              <w:t>Paid-in</w:t>
            </w: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w w:val="96"/>
              </w:rPr>
              <w:t>Treasury Stock</w:t>
            </w:r>
          </w:p>
        </w:tc>
        <w:tc>
          <w:tcPr>
            <w:tcW w:w="80" w:type="dxa"/>
            <w:vAlign w:val="bottom"/>
            <w:shd w:val="clear" w:color="auto" w:fill="FEFEFE"/>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9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8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176"/>
        </w:trPr>
        <w:tc>
          <w:tcPr>
            <w:tcW w:w="35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900" w:type="dxa"/>
            <w:vAlign w:val="bottom"/>
            <w:shd w:val="clear" w:color="auto" w:fill="FEFEFE"/>
          </w:tcPr>
          <w:p>
            <w:pPr>
              <w:jc w:val="right"/>
              <w:ind w:right="21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shd w:val="clear" w:color="auto" w:fill="FEFEFE"/>
          </w:tcPr>
          <w:p>
            <w:pPr>
              <w:spacing w:after="0"/>
              <w:rPr>
                <w:sz w:val="15"/>
                <w:szCs w:val="15"/>
                <w:color w:val="auto"/>
              </w:rPr>
            </w:pPr>
          </w:p>
        </w:tc>
        <w:tc>
          <w:tcPr>
            <w:tcW w:w="740" w:type="dxa"/>
            <w:vAlign w:val="bottom"/>
            <w:gridSpan w:val="3"/>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Amounts</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4"/>
                <w:szCs w:val="14"/>
                <w:color w:val="auto"/>
                <w:w w:val="93"/>
              </w:rPr>
              <w:t>Capital</w:t>
            </w:r>
          </w:p>
        </w:tc>
        <w:tc>
          <w:tcPr>
            <w:tcW w:w="1040" w:type="dxa"/>
            <w:vAlign w:val="bottom"/>
            <w:gridSpan w:val="2"/>
            <w:shd w:val="clear" w:color="auto" w:fill="FEFEFE"/>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3"/>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Amounts</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290"/>
              <w:spacing w:after="0"/>
              <w:rPr>
                <w:sz w:val="20"/>
                <w:szCs w:val="20"/>
                <w:color w:val="auto"/>
              </w:rPr>
            </w:pPr>
            <w:r>
              <w:rPr>
                <w:rFonts w:ascii="Times New Roman" w:cs="Times New Roman" w:eastAsia="Times New Roman" w:hAnsi="Times New Roman"/>
                <w:sz w:val="14"/>
                <w:szCs w:val="14"/>
                <w:color w:val="auto"/>
              </w:rPr>
              <w:t>Deficit</w:t>
            </w:r>
          </w:p>
        </w:tc>
        <w:tc>
          <w:tcPr>
            <w:tcW w:w="1080" w:type="dxa"/>
            <w:vAlign w:val="bottom"/>
            <w:gridSpan w:val="3"/>
            <w:shd w:val="clear" w:color="auto" w:fill="FEFEFE"/>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r>
      <w:tr>
        <w:trPr>
          <w:trHeight w:val="205"/>
        </w:trPr>
        <w:tc>
          <w:tcPr>
            <w:tcW w:w="3540" w:type="dxa"/>
            <w:vAlign w:val="bottom"/>
            <w:tcBorders>
              <w:top w:val="single" w:sz="8" w:color="E7E7E3"/>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Balance at January 29, 2022</w:t>
            </w:r>
          </w:p>
        </w:tc>
        <w:tc>
          <w:tcPr>
            <w:tcW w:w="80" w:type="dxa"/>
            <w:vAlign w:val="bottom"/>
            <w:tcBorders>
              <w:top w:val="single" w:sz="8" w:color="E7E7E3"/>
              <w:bottom w:val="single" w:sz="8" w:color="FEFEFE"/>
            </w:tcBorders>
            <w:shd w:val="clear" w:color="auto" w:fill="E7E7E3"/>
          </w:tcPr>
          <w:p>
            <w:pPr>
              <w:spacing w:after="0"/>
              <w:rPr>
                <w:sz w:val="17"/>
                <w:szCs w:val="17"/>
                <w:color w:val="auto"/>
              </w:rPr>
            </w:pPr>
          </w:p>
        </w:tc>
        <w:tc>
          <w:tcPr>
            <w:tcW w:w="9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77,025</w:t>
            </w:r>
          </w:p>
        </w:tc>
        <w:tc>
          <w:tcPr>
            <w:tcW w:w="160" w:type="dxa"/>
            <w:vAlign w:val="bottom"/>
            <w:tcBorders>
              <w:top w:val="single" w:sz="8" w:color="E7E7E3"/>
              <w:bottom w:val="single" w:sz="8" w:color="FEFEFE"/>
            </w:tcBorders>
            <w:shd w:val="clear" w:color="auto" w:fill="E7E7E3"/>
          </w:tcPr>
          <w:p>
            <w:pPr>
              <w:spacing w:after="0"/>
              <w:rPr>
                <w:sz w:val="17"/>
                <w:szCs w:val="17"/>
                <w:color w:val="auto"/>
              </w:rPr>
            </w:pPr>
          </w:p>
        </w:tc>
        <w:tc>
          <w:tcPr>
            <w:tcW w:w="22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tcBorders>
              <w:top w:val="single" w:sz="8" w:color="E7E7E3"/>
              <w:bottom w:val="single" w:sz="8" w:color="FEFEFE"/>
            </w:tcBorders>
            <w:shd w:val="clear" w:color="auto" w:fill="E7E7E3"/>
          </w:tcPr>
          <w:p>
            <w:pPr>
              <w:spacing w:after="0"/>
              <w:rPr>
                <w:sz w:val="17"/>
                <w:szCs w:val="17"/>
                <w:color w:val="auto"/>
              </w:rPr>
            </w:pPr>
          </w:p>
        </w:tc>
        <w:tc>
          <w:tcPr>
            <w:tcW w:w="10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shd w:val="clear" w:color="auto" w:fill="E7E7E3"/>
              </w:rPr>
              <w:t>$</w:t>
            </w:r>
          </w:p>
        </w:tc>
        <w:tc>
          <w:tcPr>
            <w:tcW w:w="5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319,511</w:t>
            </w:r>
          </w:p>
        </w:tc>
        <w:tc>
          <w:tcPr>
            <w:tcW w:w="160" w:type="dxa"/>
            <w:vAlign w:val="bottom"/>
            <w:tcBorders>
              <w:top w:val="single" w:sz="8" w:color="E7E7E3"/>
              <w:bottom w:val="single" w:sz="8" w:color="FEFEFE"/>
            </w:tcBorders>
            <w:shd w:val="clear" w:color="auto" w:fill="E7E7E3"/>
          </w:tcPr>
          <w:p>
            <w:pPr>
              <w:spacing w:after="0"/>
              <w:rPr>
                <w:sz w:val="17"/>
                <w:szCs w:val="17"/>
                <w:color w:val="auto"/>
              </w:rPr>
            </w:pPr>
          </w:p>
        </w:tc>
        <w:tc>
          <w:tcPr>
            <w:tcW w:w="8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80" w:type="dxa"/>
            <w:vAlign w:val="bottom"/>
            <w:tcBorders>
              <w:top w:val="single" w:sz="8" w:color="E7E7E3"/>
              <w:bottom w:val="single" w:sz="8" w:color="FEFEFE"/>
            </w:tcBorders>
            <w:shd w:val="clear" w:color="auto" w:fill="E7E7E3"/>
          </w:tcPr>
          <w:p>
            <w:pPr>
              <w:spacing w:after="0"/>
              <w:rPr>
                <w:sz w:val="17"/>
                <w:szCs w:val="17"/>
                <w:color w:val="auto"/>
              </w:rPr>
            </w:pPr>
          </w:p>
        </w:tc>
        <w:tc>
          <w:tcPr>
            <w:tcW w:w="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(92,658</w:t>
            </w:r>
          </w:p>
        </w:tc>
        <w:tc>
          <w:tcPr>
            <w:tcW w:w="160" w:type="dxa"/>
            <w:vAlign w:val="bottom"/>
            <w:tcBorders>
              <w:top w:val="single" w:sz="8" w:color="E7E7E3"/>
              <w:bottom w:val="single" w:sz="8" w:color="FEFEFE"/>
            </w:tcBorders>
            <w:shd w:val="clear" w:color="auto" w:fill="E7E7E3"/>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(163,879</w:t>
            </w:r>
          </w:p>
        </w:tc>
        <w:tc>
          <w:tcPr>
            <w:tcW w:w="180" w:type="dxa"/>
            <w:vAlign w:val="bottom"/>
            <w:tcBorders>
              <w:top w:val="single" w:sz="8" w:color="E7E7E3"/>
              <w:bottom w:val="single" w:sz="8" w:color="FEFEFE"/>
            </w:tcBorders>
            <w:shd w:val="clear" w:color="auto" w:fill="E7E7E3"/>
          </w:tcPr>
          <w:p>
            <w:pPr>
              <w:jc w:val="right"/>
              <w:ind w:right="5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80" w:type="dxa"/>
            <w:vAlign w:val="bottom"/>
            <w:tcBorders>
              <w:top w:val="single" w:sz="8" w:color="E7E7E3"/>
              <w:bottom w:val="single" w:sz="8" w:color="FEFEFE"/>
            </w:tcBorders>
            <w:shd w:val="clear" w:color="auto" w:fill="E7E7E3"/>
          </w:tcPr>
          <w:p>
            <w:pPr>
              <w:spacing w:after="0"/>
              <w:rPr>
                <w:sz w:val="17"/>
                <w:szCs w:val="17"/>
                <w:color w:val="auto"/>
              </w:rPr>
            </w:pPr>
          </w:p>
        </w:tc>
        <w:tc>
          <w:tcPr>
            <w:tcW w:w="120" w:type="dxa"/>
            <w:vAlign w:val="bottom"/>
            <w:tcBorders>
              <w:top w:val="single" w:sz="8" w:color="auto"/>
              <w:bottom w:val="single" w:sz="8" w:color="auto"/>
            </w:tcBorders>
            <w:shd w:val="clear" w:color="auto" w:fill="E7E7E3"/>
          </w:tcPr>
          <w:p>
            <w:pPr>
              <w:jc w:val="right"/>
              <w:ind w:right="5"/>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58,219</w:t>
            </w:r>
          </w:p>
        </w:tc>
        <w:tc>
          <w:tcPr>
            <w:tcW w:w="80" w:type="dxa"/>
            <w:vAlign w:val="bottom"/>
            <w:tcBorders>
              <w:top w:val="single" w:sz="8" w:color="E7E7E3"/>
              <w:bottom w:val="single" w:sz="8" w:color="FEFEFE"/>
            </w:tcBorders>
            <w:shd w:val="clear" w:color="auto" w:fill="E7E7E3"/>
          </w:tcPr>
          <w:p>
            <w:pPr>
              <w:spacing w:after="0"/>
              <w:rPr>
                <w:sz w:val="17"/>
                <w:szCs w:val="17"/>
                <w:color w:val="auto"/>
              </w:rPr>
            </w:pPr>
          </w:p>
        </w:tc>
      </w:tr>
      <w:tr>
        <w:trPr>
          <w:trHeight w:val="160"/>
        </w:trPr>
        <w:tc>
          <w:tcPr>
            <w:tcW w:w="354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9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3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6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0" w:type="dxa"/>
            <w:vAlign w:val="bottom"/>
            <w:shd w:val="clear" w:color="auto" w:fill="E7E7E3"/>
          </w:tcPr>
          <w:p>
            <w:pPr>
              <w:spacing w:after="0"/>
              <w:rPr>
                <w:sz w:val="15"/>
                <w:szCs w:val="15"/>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60" w:type="dxa"/>
            <w:vAlign w:val="bottom"/>
            <w:shd w:val="clear" w:color="auto" w:fill="E7E7E3"/>
          </w:tcPr>
          <w:p>
            <w:pPr>
              <w:spacing w:after="0"/>
              <w:rPr>
                <w:sz w:val="15"/>
                <w:szCs w:val="15"/>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80" w:type="dxa"/>
            <w:vAlign w:val="bottom"/>
            <w:shd w:val="clear" w:color="auto" w:fill="E7E7E3"/>
          </w:tcPr>
          <w:p>
            <w:pPr>
              <w:spacing w:after="0"/>
              <w:rPr>
                <w:sz w:val="15"/>
                <w:szCs w:val="15"/>
                <w:color w:val="auto"/>
              </w:rPr>
            </w:pPr>
          </w:p>
        </w:tc>
        <w:tc>
          <w:tcPr>
            <w:tcW w:w="5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40" w:type="dxa"/>
            <w:vAlign w:val="bottom"/>
            <w:shd w:val="clear" w:color="auto" w:fill="E7E7E3"/>
          </w:tcPr>
          <w:p>
            <w:pPr>
              <w:spacing w:after="0"/>
              <w:rPr>
                <w:sz w:val="15"/>
                <w:szCs w:val="15"/>
                <w:color w:val="auto"/>
              </w:rPr>
            </w:pPr>
          </w:p>
        </w:tc>
        <w:tc>
          <w:tcPr>
            <w:tcW w:w="6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shd w:val="clear" w:color="auto" w:fill="E7E7E3"/>
          </w:tcPr>
          <w:p>
            <w:pPr>
              <w:spacing w:after="0"/>
              <w:rPr>
                <w:sz w:val="15"/>
                <w:szCs w:val="15"/>
                <w:color w:val="auto"/>
              </w:rPr>
            </w:pPr>
          </w:p>
        </w:tc>
      </w:tr>
      <w:tr>
        <w:trPr>
          <w:trHeight w:val="160"/>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RSUs granted for achievement of performance-based</w:t>
            </w:r>
          </w:p>
        </w:tc>
        <w:tc>
          <w:tcPr>
            <w:tcW w:w="80" w:type="dxa"/>
            <w:vAlign w:val="bottom"/>
            <w:shd w:val="clear" w:color="auto" w:fill="FEFEFE"/>
          </w:tcPr>
          <w:p>
            <w:pPr>
              <w:spacing w:after="0"/>
              <w:rPr>
                <w:sz w:val="13"/>
                <w:szCs w:val="13"/>
                <w:color w:val="auto"/>
              </w:rPr>
            </w:pPr>
          </w:p>
        </w:tc>
        <w:tc>
          <w:tcPr>
            <w:tcW w:w="9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3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6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r>
      <w:tr>
        <w:trPr>
          <w:trHeight w:val="176"/>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compensation, reclassified from liability to equity</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6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Issuance of common stock, upon RSUs release</w:t>
            </w:r>
          </w:p>
        </w:tc>
        <w:tc>
          <w:tcPr>
            <w:tcW w:w="9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6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Shares withheld for taxes related to net share settlement</w:t>
            </w:r>
          </w:p>
        </w:tc>
        <w:tc>
          <w:tcPr>
            <w:tcW w:w="1140" w:type="dxa"/>
            <w:vAlign w:val="bottom"/>
            <w:gridSpan w:val="3"/>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(1,841)</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4"/>
                <w:szCs w:val="14"/>
                <w:color w:val="auto"/>
              </w:rPr>
              <w:t>(1,845)</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4"/>
                <w:szCs w:val="14"/>
                <w:color w:val="auto"/>
              </w:rPr>
              <w:t>(12,728)</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4"/>
                <w:szCs w:val="14"/>
                <w:color w:val="auto"/>
              </w:rPr>
              <w:t>(12,728)</w:t>
            </w: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Board of directors' compensation</w:t>
            </w:r>
          </w:p>
        </w:tc>
        <w:tc>
          <w:tcPr>
            <w:tcW w:w="9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E7E7E3"/>
          </w:tcPr>
          <w:p>
            <w:pPr>
              <w:spacing w:after="0"/>
              <w:rPr>
                <w:sz w:val="15"/>
                <w:szCs w:val="15"/>
                <w:color w:val="auto"/>
              </w:rPr>
            </w:pP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80" w:type="dxa"/>
            <w:vAlign w:val="bottom"/>
            <w:shd w:val="clear" w:color="auto" w:fill="FEFEFE"/>
          </w:tcPr>
          <w:p>
            <w:pPr>
              <w:spacing w:after="0"/>
              <w:rPr>
                <w:sz w:val="15"/>
                <w:szCs w:val="15"/>
                <w:color w:val="auto"/>
              </w:rPr>
            </w:pPr>
          </w:p>
        </w:tc>
        <w:tc>
          <w:tcPr>
            <w:tcW w:w="9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72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160"/>
        </w:trPr>
        <w:tc>
          <w:tcPr>
            <w:tcW w:w="35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14"/>
                <w:szCs w:val="14"/>
                <w:color w:val="auto"/>
              </w:rPr>
              <w:t>Unrecognized gain associated with Pension Plan, net of</w:t>
            </w:r>
          </w:p>
        </w:tc>
        <w:tc>
          <w:tcPr>
            <w:tcW w:w="80" w:type="dxa"/>
            <w:vAlign w:val="bottom"/>
            <w:shd w:val="clear" w:color="auto" w:fill="E7E7E3"/>
          </w:tcPr>
          <w:p>
            <w:pPr>
              <w:spacing w:after="0"/>
              <w:rPr>
                <w:sz w:val="13"/>
                <w:szCs w:val="13"/>
                <w:color w:val="auto"/>
              </w:rPr>
            </w:pPr>
          </w:p>
        </w:tc>
        <w:tc>
          <w:tcPr>
            <w:tcW w:w="90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220" w:type="dxa"/>
            <w:vAlign w:val="bottom"/>
            <w:shd w:val="clear" w:color="auto" w:fill="E7E7E3"/>
          </w:tcPr>
          <w:p>
            <w:pPr>
              <w:spacing w:after="0"/>
              <w:rPr>
                <w:sz w:val="13"/>
                <w:szCs w:val="13"/>
                <w:color w:val="auto"/>
              </w:rPr>
            </w:pPr>
          </w:p>
        </w:tc>
        <w:tc>
          <w:tcPr>
            <w:tcW w:w="36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100" w:type="dxa"/>
            <w:vAlign w:val="bottom"/>
            <w:shd w:val="clear" w:color="auto" w:fill="E7E7E3"/>
          </w:tcPr>
          <w:p>
            <w:pPr>
              <w:spacing w:after="0"/>
              <w:rPr>
                <w:sz w:val="13"/>
                <w:szCs w:val="13"/>
                <w:color w:val="auto"/>
              </w:rPr>
            </w:pPr>
          </w:p>
        </w:tc>
        <w:tc>
          <w:tcPr>
            <w:tcW w:w="52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86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80" w:type="dxa"/>
            <w:vAlign w:val="bottom"/>
            <w:shd w:val="clear" w:color="auto" w:fill="E7E7E3"/>
          </w:tcPr>
          <w:p>
            <w:pPr>
              <w:spacing w:after="0"/>
              <w:rPr>
                <w:sz w:val="13"/>
                <w:szCs w:val="13"/>
                <w:color w:val="auto"/>
              </w:rPr>
            </w:pPr>
          </w:p>
        </w:tc>
        <w:tc>
          <w:tcPr>
            <w:tcW w:w="54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62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72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120" w:type="dxa"/>
            <w:vAlign w:val="bottom"/>
            <w:shd w:val="clear" w:color="auto" w:fill="E7E7E3"/>
          </w:tcPr>
          <w:p>
            <w:pPr>
              <w:spacing w:after="0"/>
              <w:rPr>
                <w:sz w:val="13"/>
                <w:szCs w:val="13"/>
                <w:color w:val="auto"/>
              </w:rPr>
            </w:pPr>
          </w:p>
        </w:tc>
        <w:tc>
          <w:tcPr>
            <w:tcW w:w="560" w:type="dxa"/>
            <w:vAlign w:val="bottom"/>
            <w:shd w:val="clear" w:color="auto" w:fill="E7E7E3"/>
          </w:tcPr>
          <w:p>
            <w:pPr>
              <w:spacing w:after="0"/>
              <w:rPr>
                <w:sz w:val="13"/>
                <w:szCs w:val="13"/>
                <w:color w:val="auto"/>
              </w:rPr>
            </w:pPr>
          </w:p>
        </w:tc>
        <w:tc>
          <w:tcPr>
            <w:tcW w:w="80" w:type="dxa"/>
            <w:vAlign w:val="bottom"/>
            <w:shd w:val="clear" w:color="auto" w:fill="E7E7E3"/>
          </w:tcPr>
          <w:p>
            <w:pPr>
              <w:spacing w:after="0"/>
              <w:rPr>
                <w:sz w:val="13"/>
                <w:szCs w:val="13"/>
                <w:color w:val="auto"/>
              </w:rPr>
            </w:pPr>
          </w:p>
        </w:tc>
      </w:tr>
      <w:tr>
        <w:trPr>
          <w:trHeight w:val="176"/>
        </w:trPr>
        <w:tc>
          <w:tcPr>
            <w:tcW w:w="35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shd w:val="clear" w:color="auto" w:fill="E7E7E3"/>
          </w:tcPr>
          <w:p>
            <w:pPr>
              <w:spacing w:after="0"/>
              <w:rPr>
                <w:sz w:val="15"/>
                <w:szCs w:val="15"/>
                <w:color w:val="auto"/>
              </w:rPr>
            </w:pPr>
          </w:p>
        </w:tc>
        <w:tc>
          <w:tcPr>
            <w:tcW w:w="106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14"/>
                <w:szCs w:val="14"/>
                <w:color w:val="auto"/>
              </w:rPr>
              <w:t>Foreign currency, net of taxes</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r>
      <w:tr>
        <w:trPr>
          <w:trHeight w:val="160"/>
        </w:trPr>
        <w:tc>
          <w:tcPr>
            <w:tcW w:w="35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14"/>
                <w:szCs w:val="14"/>
                <w:color w:val="auto"/>
              </w:rPr>
              <w:t>Recognition of accumulated foreign currency translation</w:t>
            </w:r>
          </w:p>
        </w:tc>
        <w:tc>
          <w:tcPr>
            <w:tcW w:w="80" w:type="dxa"/>
            <w:vAlign w:val="bottom"/>
            <w:shd w:val="clear" w:color="auto" w:fill="E7E7E3"/>
          </w:tcPr>
          <w:p>
            <w:pPr>
              <w:spacing w:after="0"/>
              <w:rPr>
                <w:sz w:val="13"/>
                <w:szCs w:val="13"/>
                <w:color w:val="auto"/>
              </w:rPr>
            </w:pPr>
          </w:p>
        </w:tc>
        <w:tc>
          <w:tcPr>
            <w:tcW w:w="90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220" w:type="dxa"/>
            <w:vAlign w:val="bottom"/>
            <w:shd w:val="clear" w:color="auto" w:fill="E7E7E3"/>
          </w:tcPr>
          <w:p>
            <w:pPr>
              <w:spacing w:after="0"/>
              <w:rPr>
                <w:sz w:val="13"/>
                <w:szCs w:val="13"/>
                <w:color w:val="auto"/>
              </w:rPr>
            </w:pPr>
          </w:p>
        </w:tc>
        <w:tc>
          <w:tcPr>
            <w:tcW w:w="36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100" w:type="dxa"/>
            <w:vAlign w:val="bottom"/>
            <w:shd w:val="clear" w:color="auto" w:fill="E7E7E3"/>
          </w:tcPr>
          <w:p>
            <w:pPr>
              <w:spacing w:after="0"/>
              <w:rPr>
                <w:sz w:val="13"/>
                <w:szCs w:val="13"/>
                <w:color w:val="auto"/>
              </w:rPr>
            </w:pPr>
          </w:p>
        </w:tc>
        <w:tc>
          <w:tcPr>
            <w:tcW w:w="52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86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80" w:type="dxa"/>
            <w:vAlign w:val="bottom"/>
            <w:shd w:val="clear" w:color="auto" w:fill="E7E7E3"/>
          </w:tcPr>
          <w:p>
            <w:pPr>
              <w:spacing w:after="0"/>
              <w:rPr>
                <w:sz w:val="13"/>
                <w:szCs w:val="13"/>
                <w:color w:val="auto"/>
              </w:rPr>
            </w:pPr>
          </w:p>
        </w:tc>
        <w:tc>
          <w:tcPr>
            <w:tcW w:w="540" w:type="dxa"/>
            <w:vAlign w:val="bottom"/>
            <w:shd w:val="clear" w:color="auto" w:fill="E7E7E3"/>
          </w:tcPr>
          <w:p>
            <w:pPr>
              <w:spacing w:after="0"/>
              <w:rPr>
                <w:sz w:val="13"/>
                <w:szCs w:val="13"/>
                <w:color w:val="auto"/>
              </w:rPr>
            </w:pPr>
          </w:p>
        </w:tc>
        <w:tc>
          <w:tcPr>
            <w:tcW w:w="16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62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720" w:type="dxa"/>
            <w:vAlign w:val="bottom"/>
            <w:shd w:val="clear" w:color="auto" w:fill="E7E7E3"/>
          </w:tcPr>
          <w:p>
            <w:pPr>
              <w:spacing w:after="0"/>
              <w:rPr>
                <w:sz w:val="13"/>
                <w:szCs w:val="13"/>
                <w:color w:val="auto"/>
              </w:rPr>
            </w:pPr>
          </w:p>
        </w:tc>
        <w:tc>
          <w:tcPr>
            <w:tcW w:w="180" w:type="dxa"/>
            <w:vAlign w:val="bottom"/>
            <w:shd w:val="clear" w:color="auto" w:fill="E7E7E3"/>
          </w:tcPr>
          <w:p>
            <w:pPr>
              <w:spacing w:after="0"/>
              <w:rPr>
                <w:sz w:val="13"/>
                <w:szCs w:val="13"/>
                <w:color w:val="auto"/>
              </w:rPr>
            </w:pPr>
          </w:p>
        </w:tc>
        <w:tc>
          <w:tcPr>
            <w:tcW w:w="120" w:type="dxa"/>
            <w:vAlign w:val="bottom"/>
            <w:shd w:val="clear" w:color="auto" w:fill="E7E7E3"/>
          </w:tcPr>
          <w:p>
            <w:pPr>
              <w:spacing w:after="0"/>
              <w:rPr>
                <w:sz w:val="13"/>
                <w:szCs w:val="13"/>
                <w:color w:val="auto"/>
              </w:rPr>
            </w:pPr>
          </w:p>
        </w:tc>
        <w:tc>
          <w:tcPr>
            <w:tcW w:w="560" w:type="dxa"/>
            <w:vAlign w:val="bottom"/>
            <w:shd w:val="clear" w:color="auto" w:fill="E7E7E3"/>
          </w:tcPr>
          <w:p>
            <w:pPr>
              <w:spacing w:after="0"/>
              <w:rPr>
                <w:sz w:val="13"/>
                <w:szCs w:val="13"/>
                <w:color w:val="auto"/>
              </w:rPr>
            </w:pPr>
          </w:p>
        </w:tc>
        <w:tc>
          <w:tcPr>
            <w:tcW w:w="80" w:type="dxa"/>
            <w:vAlign w:val="bottom"/>
            <w:shd w:val="clear" w:color="auto" w:fill="E7E7E3"/>
          </w:tcPr>
          <w:p>
            <w:pPr>
              <w:spacing w:after="0"/>
              <w:rPr>
                <w:sz w:val="13"/>
                <w:szCs w:val="13"/>
                <w:color w:val="auto"/>
              </w:rPr>
            </w:pPr>
          </w:p>
        </w:tc>
      </w:tr>
      <w:tr>
        <w:trPr>
          <w:trHeight w:val="176"/>
        </w:trPr>
        <w:tc>
          <w:tcPr>
            <w:tcW w:w="354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14"/>
                <w:szCs w:val="14"/>
                <w:color w:val="auto"/>
              </w:rPr>
              <w:t>adjustment</w:t>
            </w:r>
          </w:p>
        </w:tc>
        <w:tc>
          <w:tcPr>
            <w:tcW w:w="80" w:type="dxa"/>
            <w:vAlign w:val="bottom"/>
            <w:shd w:val="clear" w:color="auto" w:fill="E7E7E3"/>
          </w:tcPr>
          <w:p>
            <w:pPr>
              <w:spacing w:after="0"/>
              <w:rPr>
                <w:sz w:val="15"/>
                <w:szCs w:val="15"/>
                <w:color w:val="auto"/>
              </w:rPr>
            </w:pPr>
          </w:p>
        </w:tc>
        <w:tc>
          <w:tcPr>
            <w:tcW w:w="106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E7E7E3"/>
            </w:tcBorders>
            <w:shd w:val="clear" w:color="auto" w:fill="FEFEFE"/>
          </w:tcPr>
          <w:p>
            <w:pPr>
              <w:spacing w:after="0"/>
              <w:rPr>
                <w:sz w:val="15"/>
                <w:szCs w:val="15"/>
                <w:color w:val="auto"/>
              </w:rPr>
            </w:pPr>
          </w:p>
        </w:tc>
        <w:tc>
          <w:tcPr>
            <w:tcW w:w="9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220" w:type="dxa"/>
            <w:vAlign w:val="bottom"/>
            <w:tcBorders>
              <w:bottom w:val="single" w:sz="8" w:color="auto"/>
            </w:tcBorders>
            <w:shd w:val="clear" w:color="auto" w:fill="FEFEFE"/>
          </w:tcPr>
          <w:p>
            <w:pPr>
              <w:spacing w:after="0"/>
              <w:rPr>
                <w:sz w:val="15"/>
                <w:szCs w:val="15"/>
                <w:color w:val="auto"/>
              </w:rPr>
            </w:pPr>
          </w:p>
        </w:tc>
        <w:tc>
          <w:tcPr>
            <w:tcW w:w="3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00" w:type="dxa"/>
            <w:vAlign w:val="bottom"/>
            <w:tcBorders>
              <w:bottom w:val="single" w:sz="8" w:color="auto"/>
            </w:tcBorders>
            <w:shd w:val="clear" w:color="auto" w:fill="FEFEFE"/>
          </w:tcPr>
          <w:p>
            <w:pPr>
              <w:spacing w:after="0"/>
              <w:rPr>
                <w:sz w:val="15"/>
                <w:szCs w:val="15"/>
                <w:color w:val="auto"/>
              </w:rPr>
            </w:pPr>
          </w:p>
        </w:tc>
        <w:tc>
          <w:tcPr>
            <w:tcW w:w="5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5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6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89,123</w:t>
            </w:r>
          </w:p>
        </w:tc>
        <w:tc>
          <w:tcPr>
            <w:tcW w:w="180" w:type="dxa"/>
            <w:vAlign w:val="bottom"/>
            <w:tcBorders>
              <w:bottom w:val="single" w:sz="8" w:color="E7E7E3"/>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7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5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89,123</w:t>
            </w:r>
          </w:p>
        </w:tc>
        <w:tc>
          <w:tcPr>
            <w:tcW w:w="80" w:type="dxa"/>
            <w:vAlign w:val="bottom"/>
            <w:tcBorders>
              <w:bottom w:val="single" w:sz="8" w:color="E7E7E3"/>
            </w:tcBorders>
            <w:shd w:val="clear" w:color="auto" w:fill="FEFEFE"/>
          </w:tcPr>
          <w:p>
            <w:pPr>
              <w:spacing w:after="0"/>
              <w:rPr>
                <w:sz w:val="15"/>
                <w:szCs w:val="15"/>
                <w:color w:val="auto"/>
              </w:rPr>
            </w:pPr>
          </w:p>
        </w:tc>
      </w:tr>
      <w:tr>
        <w:trPr>
          <w:trHeight w:val="205"/>
        </w:trPr>
        <w:tc>
          <w:tcPr>
            <w:tcW w:w="354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Balance at January 28, 2023</w:t>
            </w:r>
          </w:p>
        </w:tc>
        <w:tc>
          <w:tcPr>
            <w:tcW w:w="80" w:type="dxa"/>
            <w:vAlign w:val="bottom"/>
            <w:tcBorders>
              <w:bottom w:val="single" w:sz="8" w:color="FEFEFE"/>
            </w:tcBorders>
            <w:shd w:val="clear" w:color="auto" w:fill="E7E7E3"/>
          </w:tcPr>
          <w:p>
            <w:pPr>
              <w:spacing w:after="0"/>
              <w:rPr>
                <w:sz w:val="17"/>
                <w:szCs w:val="17"/>
                <w:color w:val="auto"/>
              </w:rPr>
            </w:pPr>
          </w:p>
        </w:tc>
        <w:tc>
          <w:tcPr>
            <w:tcW w:w="9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78,230</w:t>
            </w:r>
          </w:p>
        </w:tc>
        <w:tc>
          <w:tcPr>
            <w:tcW w:w="160" w:type="dxa"/>
            <w:vAlign w:val="bottom"/>
            <w:tcBorders>
              <w:bottom w:val="single" w:sz="8" w:color="FEFEFE"/>
            </w:tcBorders>
            <w:shd w:val="clear" w:color="auto" w:fill="E7E7E3"/>
          </w:tcPr>
          <w:p>
            <w:pPr>
              <w:spacing w:after="0"/>
              <w:rPr>
                <w:sz w:val="17"/>
                <w:szCs w:val="17"/>
                <w:color w:val="auto"/>
              </w:rPr>
            </w:pPr>
          </w:p>
        </w:tc>
        <w:tc>
          <w:tcPr>
            <w:tcW w:w="22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60" w:type="dxa"/>
            <w:vAlign w:val="bottom"/>
            <w:tcBorders>
              <w:bottom w:val="single" w:sz="8" w:color="FEFEFE"/>
            </w:tcBorders>
            <w:shd w:val="clear" w:color="auto" w:fill="E7E7E3"/>
          </w:tcPr>
          <w:p>
            <w:pPr>
              <w:spacing w:after="0"/>
              <w:rPr>
                <w:sz w:val="17"/>
                <w:szCs w:val="17"/>
                <w:color w:val="auto"/>
              </w:rPr>
            </w:pPr>
          </w:p>
        </w:tc>
        <w:tc>
          <w:tcPr>
            <w:tcW w:w="10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shd w:val="clear" w:color="auto" w:fill="E7E7E3"/>
              </w:rPr>
              <w:t>$</w:t>
            </w:r>
          </w:p>
        </w:tc>
        <w:tc>
          <w:tcPr>
            <w:tcW w:w="5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321,516</w:t>
            </w:r>
          </w:p>
        </w:tc>
        <w:tc>
          <w:tcPr>
            <w:tcW w:w="160" w:type="dxa"/>
            <w:vAlign w:val="bottom"/>
            <w:tcBorders>
              <w:bottom w:val="single" w:sz="8" w:color="FEFEFE"/>
            </w:tcBorders>
            <w:shd w:val="clear" w:color="auto" w:fill="E7E7E3"/>
          </w:tcPr>
          <w:p>
            <w:pPr>
              <w:spacing w:after="0"/>
              <w:rPr>
                <w:sz w:val="17"/>
                <w:szCs w:val="17"/>
                <w:color w:val="auto"/>
              </w:rPr>
            </w:pPr>
          </w:p>
        </w:tc>
        <w:tc>
          <w:tcPr>
            <w:tcW w:w="8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80" w:type="dxa"/>
            <w:vAlign w:val="bottom"/>
            <w:tcBorders>
              <w:bottom w:val="single" w:sz="8" w:color="FEFEFE"/>
            </w:tcBorders>
            <w:shd w:val="clear" w:color="auto" w:fill="E7E7E3"/>
          </w:tcPr>
          <w:p>
            <w:pPr>
              <w:spacing w:after="0"/>
              <w:rPr>
                <w:sz w:val="17"/>
                <w:szCs w:val="17"/>
                <w:color w:val="auto"/>
              </w:rPr>
            </w:pPr>
          </w:p>
        </w:tc>
        <w:tc>
          <w:tcPr>
            <w:tcW w:w="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w w:val="99"/>
                <w:shd w:val="clear" w:color="auto" w:fill="E7E7E3"/>
              </w:rPr>
              <w:t>(105,386</w:t>
            </w:r>
          </w:p>
        </w:tc>
        <w:tc>
          <w:tcPr>
            <w:tcW w:w="160" w:type="dxa"/>
            <w:vAlign w:val="bottom"/>
            <w:tcBorders>
              <w:bottom w:val="single" w:sz="8" w:color="FEFEFE"/>
            </w:tcBorders>
            <w:shd w:val="clear" w:color="auto" w:fill="E7E7E3"/>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(74,756</w:t>
            </w:r>
          </w:p>
        </w:tc>
        <w:tc>
          <w:tcPr>
            <w:tcW w:w="180" w:type="dxa"/>
            <w:vAlign w:val="bottom"/>
            <w:tcBorders>
              <w:bottom w:val="single" w:sz="8" w:color="FEFEFE"/>
            </w:tcBorders>
            <w:shd w:val="clear" w:color="auto" w:fill="E7E7E3"/>
          </w:tcPr>
          <w:p>
            <w:pPr>
              <w:jc w:val="right"/>
              <w:ind w:right="5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80" w:type="dxa"/>
            <w:vAlign w:val="bottom"/>
            <w:tcBorders>
              <w:bottom w:val="single" w:sz="8" w:color="FEFEFE"/>
            </w:tcBorders>
            <w:shd w:val="clear" w:color="auto" w:fill="E7E7E3"/>
          </w:tcPr>
          <w:p>
            <w:pPr>
              <w:spacing w:after="0"/>
              <w:rPr>
                <w:sz w:val="17"/>
                <w:szCs w:val="17"/>
                <w:color w:val="auto"/>
              </w:rPr>
            </w:pPr>
          </w:p>
        </w:tc>
        <w:tc>
          <w:tcPr>
            <w:tcW w:w="120" w:type="dxa"/>
            <w:vAlign w:val="bottom"/>
            <w:tcBorders>
              <w:bottom w:val="single" w:sz="8" w:color="auto"/>
            </w:tcBorders>
            <w:shd w:val="clear" w:color="auto" w:fill="E7E7E3"/>
          </w:tcPr>
          <w:p>
            <w:pPr>
              <w:jc w:val="right"/>
              <w:ind w:right="5"/>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137,228</w:t>
            </w:r>
          </w:p>
        </w:tc>
        <w:tc>
          <w:tcPr>
            <w:tcW w:w="80" w:type="dxa"/>
            <w:vAlign w:val="bottom"/>
            <w:tcBorders>
              <w:bottom w:val="single" w:sz="8" w:color="FEFEFE"/>
            </w:tcBorders>
            <w:shd w:val="clear" w:color="auto" w:fill="E7E7E3"/>
          </w:tcPr>
          <w:p>
            <w:pPr>
              <w:spacing w:after="0"/>
              <w:rPr>
                <w:sz w:val="17"/>
                <w:szCs w:val="17"/>
                <w:color w:val="auto"/>
              </w:rPr>
            </w:pPr>
          </w:p>
        </w:tc>
      </w:tr>
      <w:tr>
        <w:trPr>
          <w:trHeight w:val="160"/>
        </w:trPr>
        <w:tc>
          <w:tcPr>
            <w:tcW w:w="354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9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3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6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0" w:type="dxa"/>
            <w:vAlign w:val="bottom"/>
            <w:shd w:val="clear" w:color="auto" w:fill="E7E7E3"/>
          </w:tcPr>
          <w:p>
            <w:pPr>
              <w:spacing w:after="0"/>
              <w:rPr>
                <w:sz w:val="15"/>
                <w:szCs w:val="15"/>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60" w:type="dxa"/>
            <w:vAlign w:val="bottom"/>
            <w:shd w:val="clear" w:color="auto" w:fill="E7E7E3"/>
          </w:tcPr>
          <w:p>
            <w:pPr>
              <w:spacing w:after="0"/>
              <w:rPr>
                <w:sz w:val="15"/>
                <w:szCs w:val="15"/>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80" w:type="dxa"/>
            <w:vAlign w:val="bottom"/>
            <w:shd w:val="clear" w:color="auto" w:fill="E7E7E3"/>
          </w:tcPr>
          <w:p>
            <w:pPr>
              <w:spacing w:after="0"/>
              <w:rPr>
                <w:sz w:val="15"/>
                <w:szCs w:val="15"/>
                <w:color w:val="auto"/>
              </w:rPr>
            </w:pPr>
          </w:p>
        </w:tc>
        <w:tc>
          <w:tcPr>
            <w:tcW w:w="5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40" w:type="dxa"/>
            <w:vAlign w:val="bottom"/>
            <w:shd w:val="clear" w:color="auto" w:fill="E7E7E3"/>
          </w:tcPr>
          <w:p>
            <w:pPr>
              <w:spacing w:after="0"/>
              <w:rPr>
                <w:sz w:val="15"/>
                <w:szCs w:val="15"/>
                <w:color w:val="auto"/>
              </w:rPr>
            </w:pPr>
          </w:p>
        </w:tc>
        <w:tc>
          <w:tcPr>
            <w:tcW w:w="6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shd w:val="clear" w:color="auto" w:fill="E7E7E3"/>
          </w:tcPr>
          <w:p>
            <w:pPr>
              <w:spacing w:after="0"/>
              <w:rPr>
                <w:sz w:val="15"/>
                <w:szCs w:val="15"/>
                <w:color w:val="auto"/>
              </w:rPr>
            </w:pPr>
          </w:p>
        </w:tc>
      </w:tr>
      <w:tr>
        <w:trPr>
          <w:trHeight w:val="160"/>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RSUs granted for achievement of performance-based</w:t>
            </w:r>
          </w:p>
        </w:tc>
        <w:tc>
          <w:tcPr>
            <w:tcW w:w="80" w:type="dxa"/>
            <w:vAlign w:val="bottom"/>
            <w:shd w:val="clear" w:color="auto" w:fill="FEFEFE"/>
          </w:tcPr>
          <w:p>
            <w:pPr>
              <w:spacing w:after="0"/>
              <w:rPr>
                <w:sz w:val="13"/>
                <w:szCs w:val="13"/>
                <w:color w:val="auto"/>
              </w:rPr>
            </w:pPr>
          </w:p>
        </w:tc>
        <w:tc>
          <w:tcPr>
            <w:tcW w:w="9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3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6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r>
      <w:tr>
        <w:trPr>
          <w:trHeight w:val="176"/>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compensation, reclassified from liability to equity</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6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Issuance of common stock, upon RSUs release</w:t>
            </w:r>
          </w:p>
        </w:tc>
        <w:tc>
          <w:tcPr>
            <w:tcW w:w="9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6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Shares withheld for taxes related to net share settlement</w:t>
            </w:r>
          </w:p>
        </w:tc>
        <w:tc>
          <w:tcPr>
            <w:tcW w:w="1140" w:type="dxa"/>
            <w:vAlign w:val="bottom"/>
            <w:gridSpan w:val="3"/>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(153)</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4"/>
                <w:szCs w:val="14"/>
                <w:color w:val="auto"/>
              </w:rPr>
              <w:t>(758)</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4"/>
                <w:szCs w:val="14"/>
                <w:color w:val="auto"/>
              </w:rPr>
              <w:t>(759)</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Repurchase of common stock, excluding excise taxes</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4"/>
                <w:szCs w:val="14"/>
                <w:color w:val="auto"/>
              </w:rPr>
              <w:t>(24,541)</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4"/>
                <w:szCs w:val="14"/>
                <w:color w:val="auto"/>
              </w:rPr>
              <w:t>(24,541)</w:t>
            </w: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Excise taxes accrued on repurchase of common stock</w:t>
            </w:r>
          </w:p>
        </w:tc>
        <w:tc>
          <w:tcPr>
            <w:tcW w:w="80" w:type="dxa"/>
            <w:vAlign w:val="bottom"/>
            <w:shd w:val="clear" w:color="auto" w:fill="E7E7E3"/>
          </w:tcPr>
          <w:p>
            <w:pPr>
              <w:spacing w:after="0"/>
              <w:rPr>
                <w:sz w:val="15"/>
                <w:szCs w:val="15"/>
                <w:color w:val="auto"/>
              </w:rPr>
            </w:pPr>
          </w:p>
        </w:tc>
        <w:tc>
          <w:tcPr>
            <w:tcW w:w="900" w:type="dxa"/>
            <w:vAlign w:val="bottom"/>
            <w:shd w:val="clear" w:color="auto" w:fill="E7E7E3"/>
          </w:tcPr>
          <w:p>
            <w:pPr>
              <w:spacing w:after="0"/>
              <w:rPr>
                <w:sz w:val="15"/>
                <w:szCs w:val="15"/>
                <w:color w:val="auto"/>
              </w:rPr>
            </w:pP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spacing w:after="0"/>
              <w:rPr>
                <w:sz w:val="15"/>
                <w:szCs w:val="15"/>
                <w:color w:val="auto"/>
              </w:rPr>
            </w:pP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spacing w:after="0"/>
              <w:rPr>
                <w:sz w:val="15"/>
                <w:szCs w:val="15"/>
                <w:color w:val="auto"/>
              </w:rPr>
            </w:pPr>
          </w:p>
        </w:tc>
        <w:tc>
          <w:tcPr>
            <w:tcW w:w="160" w:type="dxa"/>
            <w:vAlign w:val="bottom"/>
            <w:shd w:val="clear" w:color="auto" w:fill="E7E7E3"/>
          </w:tcPr>
          <w:p>
            <w:pPr>
              <w:spacing w:after="0"/>
              <w:rPr>
                <w:sz w:val="15"/>
                <w:szCs w:val="15"/>
                <w:color w:val="auto"/>
              </w:rPr>
            </w:pPr>
          </w:p>
        </w:tc>
        <w:tc>
          <w:tcPr>
            <w:tcW w:w="86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E7E7E3"/>
          </w:tcPr>
          <w:p>
            <w:pPr>
              <w:spacing w:after="0"/>
              <w:rPr>
                <w:sz w:val="15"/>
                <w:szCs w:val="15"/>
                <w:color w:val="auto"/>
              </w:rPr>
            </w:pPr>
          </w:p>
        </w:tc>
        <w:tc>
          <w:tcPr>
            <w:tcW w:w="62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Board of directors' compensation</w:t>
            </w: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5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6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5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FEFEFE"/>
          </w:tcPr>
          <w:p>
            <w:pPr>
              <w:spacing w:after="0"/>
              <w:rPr>
                <w:sz w:val="15"/>
                <w:szCs w:val="15"/>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E7E7E3"/>
          </w:tcPr>
          <w:p>
            <w:pPr>
              <w:spacing w:after="0"/>
              <w:rPr>
                <w:sz w:val="15"/>
                <w:szCs w:val="15"/>
                <w:color w:val="auto"/>
              </w:rPr>
            </w:pPr>
          </w:p>
        </w:tc>
        <w:tc>
          <w:tcPr>
            <w:tcW w:w="106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E7E7E3"/>
            </w:tcBorders>
            <w:shd w:val="clear" w:color="auto" w:fill="FEFEFE"/>
          </w:tcPr>
          <w:p>
            <w:pPr>
              <w:spacing w:after="0"/>
              <w:rPr>
                <w:sz w:val="15"/>
                <w:szCs w:val="15"/>
                <w:color w:val="auto"/>
              </w:rPr>
            </w:pPr>
          </w:p>
        </w:tc>
        <w:tc>
          <w:tcPr>
            <w:tcW w:w="9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220" w:type="dxa"/>
            <w:vAlign w:val="bottom"/>
            <w:tcBorders>
              <w:bottom w:val="single" w:sz="8" w:color="auto"/>
            </w:tcBorders>
            <w:shd w:val="clear" w:color="auto" w:fill="FEFEFE"/>
          </w:tcPr>
          <w:p>
            <w:pPr>
              <w:spacing w:after="0"/>
              <w:rPr>
                <w:sz w:val="15"/>
                <w:szCs w:val="15"/>
                <w:color w:val="auto"/>
              </w:rPr>
            </w:pPr>
          </w:p>
        </w:tc>
        <w:tc>
          <w:tcPr>
            <w:tcW w:w="3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00" w:type="dxa"/>
            <w:vAlign w:val="bottom"/>
            <w:tcBorders>
              <w:bottom w:val="single" w:sz="8" w:color="auto"/>
            </w:tcBorders>
            <w:shd w:val="clear" w:color="auto" w:fill="FEFEFE"/>
          </w:tcPr>
          <w:p>
            <w:pPr>
              <w:spacing w:after="0"/>
              <w:rPr>
                <w:sz w:val="15"/>
                <w:szCs w:val="15"/>
                <w:color w:val="auto"/>
              </w:rPr>
            </w:pPr>
          </w:p>
        </w:tc>
        <w:tc>
          <w:tcPr>
            <w:tcW w:w="5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5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6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27,854</w:t>
            </w:r>
          </w:p>
        </w:tc>
        <w:tc>
          <w:tcPr>
            <w:tcW w:w="180" w:type="dxa"/>
            <w:vAlign w:val="bottom"/>
            <w:tcBorders>
              <w:bottom w:val="single" w:sz="8" w:color="E7E7E3"/>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7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5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27,854</w:t>
            </w:r>
          </w:p>
        </w:tc>
        <w:tc>
          <w:tcPr>
            <w:tcW w:w="80" w:type="dxa"/>
            <w:vAlign w:val="bottom"/>
            <w:tcBorders>
              <w:bottom w:val="single" w:sz="8" w:color="E7E7E3"/>
            </w:tcBorders>
            <w:shd w:val="clear" w:color="auto" w:fill="FEFEFE"/>
          </w:tcPr>
          <w:p>
            <w:pPr>
              <w:spacing w:after="0"/>
              <w:rPr>
                <w:sz w:val="15"/>
                <w:szCs w:val="15"/>
                <w:color w:val="auto"/>
              </w:rPr>
            </w:pPr>
          </w:p>
        </w:tc>
      </w:tr>
      <w:tr>
        <w:trPr>
          <w:trHeight w:val="225"/>
        </w:trPr>
        <w:tc>
          <w:tcPr>
            <w:tcW w:w="3540" w:type="dxa"/>
            <w:vAlign w:val="bottom"/>
            <w:tcBorders>
              <w:bottom w:val="single" w:sz="8" w:color="E7E7E3"/>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Balance at February 3, 2024</w:t>
            </w:r>
          </w:p>
        </w:tc>
        <w:tc>
          <w:tcPr>
            <w:tcW w:w="80" w:type="dxa"/>
            <w:vAlign w:val="bottom"/>
            <w:tcBorders>
              <w:bottom w:val="single" w:sz="8" w:color="E7E7E3"/>
            </w:tcBorders>
            <w:shd w:val="clear" w:color="auto" w:fill="E7E7E3"/>
          </w:tcPr>
          <w:p>
            <w:pPr>
              <w:spacing w:after="0"/>
              <w:rPr>
                <w:sz w:val="19"/>
                <w:szCs w:val="19"/>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79,033</w:t>
            </w:r>
          </w:p>
        </w:tc>
        <w:tc>
          <w:tcPr>
            <w:tcW w:w="160" w:type="dxa"/>
            <w:vAlign w:val="bottom"/>
            <w:tcBorders>
              <w:bottom w:val="single" w:sz="8" w:color="E7E7E3"/>
            </w:tcBorders>
            <w:shd w:val="clear" w:color="auto" w:fill="E7E7E3"/>
          </w:tcPr>
          <w:p>
            <w:pPr>
              <w:spacing w:after="0"/>
              <w:rPr>
                <w:sz w:val="19"/>
                <w:szCs w:val="19"/>
                <w:color w:val="auto"/>
              </w:rPr>
            </w:pPr>
          </w:p>
        </w:tc>
        <w:tc>
          <w:tcPr>
            <w:tcW w:w="22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60" w:type="dxa"/>
            <w:vAlign w:val="bottom"/>
            <w:tcBorders>
              <w:bottom w:val="single" w:sz="8" w:color="E7E7E3"/>
            </w:tcBorders>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shd w:val="clear" w:color="auto" w:fill="E7E7E3"/>
              </w:rPr>
              <w:t>$</w:t>
            </w:r>
          </w:p>
        </w:tc>
        <w:tc>
          <w:tcPr>
            <w:tcW w:w="5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325,202</w:t>
            </w:r>
          </w:p>
        </w:tc>
        <w:tc>
          <w:tcPr>
            <w:tcW w:w="160" w:type="dxa"/>
            <w:vAlign w:val="bottom"/>
            <w:tcBorders>
              <w:bottom w:val="single" w:sz="8" w:color="E7E7E3"/>
            </w:tcBorders>
            <w:shd w:val="clear" w:color="auto" w:fill="E7E7E3"/>
          </w:tcPr>
          <w:p>
            <w:pPr>
              <w:spacing w:after="0"/>
              <w:rPr>
                <w:sz w:val="19"/>
                <w:szCs w:val="19"/>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(21,041)</w:t>
            </w:r>
          </w:p>
        </w:tc>
        <w:tc>
          <w:tcPr>
            <w:tcW w:w="180" w:type="dxa"/>
            <w:vAlign w:val="bottom"/>
            <w:tcBorders>
              <w:bottom w:val="single" w:sz="8" w:color="E7E7E3"/>
            </w:tcBorders>
            <w:shd w:val="clear" w:color="auto" w:fill="E7E7E3"/>
          </w:tcPr>
          <w:p>
            <w:pPr>
              <w:spacing w:after="0"/>
              <w:rPr>
                <w:sz w:val="19"/>
                <w:szCs w:val="19"/>
                <w:color w:val="auto"/>
              </w:rPr>
            </w:pPr>
          </w:p>
        </w:tc>
        <w:tc>
          <w:tcPr>
            <w:tcW w:w="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w w:val="99"/>
                <w:shd w:val="clear" w:color="auto" w:fill="E7E7E3"/>
              </w:rPr>
              <w:t>(130,137</w:t>
            </w:r>
          </w:p>
        </w:tc>
        <w:tc>
          <w:tcPr>
            <w:tcW w:w="160" w:type="dxa"/>
            <w:vAlign w:val="bottom"/>
            <w:tcBorders>
              <w:bottom w:val="single" w:sz="8" w:color="E7E7E3"/>
            </w:tcBorders>
            <w:shd w:val="clear" w:color="auto" w:fill="E7E7E3"/>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(46,902</w:t>
            </w:r>
          </w:p>
        </w:tc>
        <w:tc>
          <w:tcPr>
            <w:tcW w:w="180" w:type="dxa"/>
            <w:vAlign w:val="bottom"/>
            <w:tcBorders>
              <w:bottom w:val="single" w:sz="8" w:color="E7E7E3"/>
            </w:tcBorders>
            <w:shd w:val="clear" w:color="auto" w:fill="E7E7E3"/>
          </w:tcPr>
          <w:p>
            <w:pPr>
              <w:jc w:val="right"/>
              <w:ind w:right="5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jc w:val="right"/>
              <w:ind w:right="5"/>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148,953</w:t>
            </w:r>
          </w:p>
        </w:tc>
        <w:tc>
          <w:tcPr>
            <w:tcW w:w="80" w:type="dxa"/>
            <w:vAlign w:val="bottom"/>
            <w:tcBorders>
              <w:bottom w:val="single" w:sz="8" w:color="E7E7E3"/>
            </w:tcBorders>
            <w:shd w:val="clear" w:color="auto" w:fill="E7E7E3"/>
          </w:tcPr>
          <w:p>
            <w:pPr>
              <w:spacing w:after="0"/>
              <w:rPr>
                <w:sz w:val="19"/>
                <w:szCs w:val="19"/>
                <w:color w:val="auto"/>
              </w:rPr>
            </w:pPr>
          </w:p>
        </w:tc>
      </w:tr>
      <w:tr>
        <w:trPr>
          <w:trHeight w:val="140"/>
        </w:trPr>
        <w:tc>
          <w:tcPr>
            <w:tcW w:w="3540" w:type="dxa"/>
            <w:vAlign w:val="bottom"/>
            <w:tcBorders>
              <w:top w:val="single" w:sz="8" w:color="FEFEFE"/>
            </w:tcBorders>
            <w:shd w:val="clear" w:color="auto" w:fill="FEFEFE"/>
          </w:tcPr>
          <w:p>
            <w:pPr>
              <w:spacing w:after="0"/>
              <w:rPr>
                <w:sz w:val="12"/>
                <w:szCs w:val="12"/>
                <w:color w:val="auto"/>
              </w:rPr>
            </w:pPr>
          </w:p>
        </w:tc>
        <w:tc>
          <w:tcPr>
            <w:tcW w:w="80" w:type="dxa"/>
            <w:vAlign w:val="bottom"/>
            <w:tcBorders>
              <w:top w:val="single" w:sz="8" w:color="FEFEFE"/>
            </w:tcBorders>
            <w:shd w:val="clear" w:color="auto" w:fill="FEFEFE"/>
          </w:tcPr>
          <w:p>
            <w:pPr>
              <w:spacing w:after="0"/>
              <w:rPr>
                <w:sz w:val="12"/>
                <w:szCs w:val="12"/>
                <w:color w:val="auto"/>
              </w:rPr>
            </w:pPr>
          </w:p>
        </w:tc>
        <w:tc>
          <w:tcPr>
            <w:tcW w:w="900" w:type="dxa"/>
            <w:vAlign w:val="bottom"/>
            <w:tcBorders>
              <w:top w:val="single" w:sz="8" w:color="auto"/>
            </w:tcBorders>
            <w:shd w:val="clear" w:color="auto" w:fill="FEFEFE"/>
          </w:tcPr>
          <w:p>
            <w:pPr>
              <w:spacing w:after="0"/>
              <w:rPr>
                <w:sz w:val="12"/>
                <w:szCs w:val="12"/>
                <w:color w:val="auto"/>
              </w:rPr>
            </w:pPr>
          </w:p>
        </w:tc>
        <w:tc>
          <w:tcPr>
            <w:tcW w:w="160" w:type="dxa"/>
            <w:vAlign w:val="bottom"/>
            <w:tcBorders>
              <w:top w:val="single" w:sz="8" w:color="FEFEFE"/>
            </w:tcBorders>
            <w:shd w:val="clear" w:color="auto" w:fill="FEFEFE"/>
          </w:tcPr>
          <w:p>
            <w:pPr>
              <w:spacing w:after="0"/>
              <w:rPr>
                <w:sz w:val="12"/>
                <w:szCs w:val="12"/>
                <w:color w:val="auto"/>
              </w:rPr>
            </w:pPr>
          </w:p>
        </w:tc>
        <w:tc>
          <w:tcPr>
            <w:tcW w:w="220" w:type="dxa"/>
            <w:vAlign w:val="bottom"/>
            <w:tcBorders>
              <w:top w:val="single" w:sz="8" w:color="auto"/>
            </w:tcBorders>
            <w:shd w:val="clear" w:color="auto" w:fill="FEFEFE"/>
          </w:tcPr>
          <w:p>
            <w:pPr>
              <w:spacing w:after="0"/>
              <w:rPr>
                <w:sz w:val="12"/>
                <w:szCs w:val="12"/>
                <w:color w:val="auto"/>
              </w:rPr>
            </w:pPr>
          </w:p>
        </w:tc>
        <w:tc>
          <w:tcPr>
            <w:tcW w:w="360" w:type="dxa"/>
            <w:vAlign w:val="bottom"/>
            <w:tcBorders>
              <w:top w:val="single" w:sz="8" w:color="auto"/>
            </w:tcBorders>
            <w:shd w:val="clear" w:color="auto" w:fill="FEFEFE"/>
          </w:tcPr>
          <w:p>
            <w:pPr>
              <w:spacing w:after="0"/>
              <w:rPr>
                <w:sz w:val="12"/>
                <w:szCs w:val="12"/>
                <w:color w:val="auto"/>
              </w:rPr>
            </w:pPr>
          </w:p>
        </w:tc>
        <w:tc>
          <w:tcPr>
            <w:tcW w:w="160" w:type="dxa"/>
            <w:vAlign w:val="bottom"/>
            <w:tcBorders>
              <w:top w:val="single" w:sz="8" w:color="FEFEFE"/>
            </w:tcBorders>
            <w:shd w:val="clear" w:color="auto" w:fill="FEFEFE"/>
          </w:tcPr>
          <w:p>
            <w:pPr>
              <w:spacing w:after="0"/>
              <w:rPr>
                <w:sz w:val="12"/>
                <w:szCs w:val="12"/>
                <w:color w:val="auto"/>
              </w:rPr>
            </w:pPr>
          </w:p>
        </w:tc>
        <w:tc>
          <w:tcPr>
            <w:tcW w:w="100" w:type="dxa"/>
            <w:vAlign w:val="bottom"/>
            <w:tcBorders>
              <w:top w:val="single" w:sz="8" w:color="auto"/>
            </w:tcBorders>
            <w:shd w:val="clear" w:color="auto" w:fill="FEFEFE"/>
          </w:tcPr>
          <w:p>
            <w:pPr>
              <w:spacing w:after="0"/>
              <w:rPr>
                <w:sz w:val="12"/>
                <w:szCs w:val="12"/>
                <w:color w:val="auto"/>
              </w:rPr>
            </w:pPr>
          </w:p>
        </w:tc>
        <w:tc>
          <w:tcPr>
            <w:tcW w:w="520" w:type="dxa"/>
            <w:vAlign w:val="bottom"/>
            <w:tcBorders>
              <w:top w:val="single" w:sz="8" w:color="auto"/>
            </w:tcBorders>
            <w:shd w:val="clear" w:color="auto" w:fill="FEFEFE"/>
          </w:tcPr>
          <w:p>
            <w:pPr>
              <w:spacing w:after="0"/>
              <w:rPr>
                <w:sz w:val="12"/>
                <w:szCs w:val="12"/>
                <w:color w:val="auto"/>
              </w:rPr>
            </w:pPr>
          </w:p>
        </w:tc>
        <w:tc>
          <w:tcPr>
            <w:tcW w:w="160" w:type="dxa"/>
            <w:vAlign w:val="bottom"/>
            <w:tcBorders>
              <w:top w:val="single" w:sz="8" w:color="FEFEFE"/>
            </w:tcBorders>
            <w:shd w:val="clear" w:color="auto" w:fill="FEFEFE"/>
          </w:tcPr>
          <w:p>
            <w:pPr>
              <w:spacing w:after="0"/>
              <w:rPr>
                <w:sz w:val="12"/>
                <w:szCs w:val="12"/>
                <w:color w:val="auto"/>
              </w:rPr>
            </w:pPr>
          </w:p>
        </w:tc>
        <w:tc>
          <w:tcPr>
            <w:tcW w:w="860" w:type="dxa"/>
            <w:vAlign w:val="bottom"/>
            <w:tcBorders>
              <w:top w:val="single" w:sz="8" w:color="auto"/>
            </w:tcBorders>
            <w:shd w:val="clear" w:color="auto" w:fill="FEFEFE"/>
          </w:tcPr>
          <w:p>
            <w:pPr>
              <w:spacing w:after="0"/>
              <w:rPr>
                <w:sz w:val="12"/>
                <w:szCs w:val="12"/>
                <w:color w:val="auto"/>
              </w:rPr>
            </w:pPr>
          </w:p>
        </w:tc>
        <w:tc>
          <w:tcPr>
            <w:tcW w:w="180" w:type="dxa"/>
            <w:vAlign w:val="bottom"/>
            <w:tcBorders>
              <w:top w:val="single" w:sz="8" w:color="FEFEFE"/>
            </w:tcBorders>
            <w:shd w:val="clear" w:color="auto" w:fill="FEFEFE"/>
          </w:tcPr>
          <w:p>
            <w:pPr>
              <w:spacing w:after="0"/>
              <w:rPr>
                <w:sz w:val="12"/>
                <w:szCs w:val="12"/>
                <w:color w:val="auto"/>
              </w:rPr>
            </w:pPr>
          </w:p>
        </w:tc>
        <w:tc>
          <w:tcPr>
            <w:tcW w:w="80" w:type="dxa"/>
            <w:vAlign w:val="bottom"/>
            <w:tcBorders>
              <w:top w:val="single" w:sz="8" w:color="auto"/>
            </w:tcBorders>
            <w:shd w:val="clear" w:color="auto" w:fill="FEFEFE"/>
          </w:tcPr>
          <w:p>
            <w:pPr>
              <w:spacing w:after="0"/>
              <w:rPr>
                <w:sz w:val="12"/>
                <w:szCs w:val="12"/>
                <w:color w:val="auto"/>
              </w:rPr>
            </w:pPr>
          </w:p>
        </w:tc>
        <w:tc>
          <w:tcPr>
            <w:tcW w:w="540" w:type="dxa"/>
            <w:vAlign w:val="bottom"/>
            <w:tcBorders>
              <w:top w:val="single" w:sz="8" w:color="auto"/>
            </w:tcBorders>
            <w:shd w:val="clear" w:color="auto" w:fill="FEFEFE"/>
          </w:tcPr>
          <w:p>
            <w:pPr>
              <w:spacing w:after="0"/>
              <w:rPr>
                <w:sz w:val="12"/>
                <w:szCs w:val="12"/>
                <w:color w:val="auto"/>
              </w:rPr>
            </w:pPr>
          </w:p>
        </w:tc>
        <w:tc>
          <w:tcPr>
            <w:tcW w:w="160" w:type="dxa"/>
            <w:vAlign w:val="bottom"/>
            <w:tcBorders>
              <w:top w:val="single" w:sz="8" w:color="FEFEFE"/>
            </w:tcBorders>
            <w:shd w:val="clear" w:color="auto" w:fill="FEFEFE"/>
          </w:tcPr>
          <w:p>
            <w:pPr>
              <w:spacing w:after="0"/>
              <w:rPr>
                <w:sz w:val="12"/>
                <w:szCs w:val="12"/>
                <w:color w:val="auto"/>
              </w:rPr>
            </w:pPr>
          </w:p>
        </w:tc>
        <w:tc>
          <w:tcPr>
            <w:tcW w:w="140" w:type="dxa"/>
            <w:vAlign w:val="bottom"/>
            <w:tcBorders>
              <w:top w:val="single" w:sz="8" w:color="auto"/>
            </w:tcBorders>
            <w:shd w:val="clear" w:color="auto" w:fill="FEFEFE"/>
          </w:tcPr>
          <w:p>
            <w:pPr>
              <w:spacing w:after="0"/>
              <w:rPr>
                <w:sz w:val="12"/>
                <w:szCs w:val="12"/>
                <w:color w:val="auto"/>
              </w:rPr>
            </w:pPr>
          </w:p>
        </w:tc>
        <w:tc>
          <w:tcPr>
            <w:tcW w:w="620" w:type="dxa"/>
            <w:vAlign w:val="bottom"/>
            <w:tcBorders>
              <w:top w:val="single" w:sz="8" w:color="auto"/>
            </w:tcBorders>
            <w:shd w:val="clear" w:color="auto" w:fill="FEFEFE"/>
          </w:tcPr>
          <w:p>
            <w:pPr>
              <w:spacing w:after="0"/>
              <w:rPr>
                <w:sz w:val="12"/>
                <w:szCs w:val="12"/>
                <w:color w:val="auto"/>
              </w:rPr>
            </w:pPr>
          </w:p>
        </w:tc>
        <w:tc>
          <w:tcPr>
            <w:tcW w:w="180" w:type="dxa"/>
            <w:vAlign w:val="bottom"/>
            <w:tcBorders>
              <w:top w:val="single" w:sz="8" w:color="FEFEFE"/>
            </w:tcBorders>
            <w:shd w:val="clear" w:color="auto" w:fill="FEFEFE"/>
          </w:tcPr>
          <w:p>
            <w:pPr>
              <w:spacing w:after="0"/>
              <w:rPr>
                <w:sz w:val="12"/>
                <w:szCs w:val="12"/>
                <w:color w:val="auto"/>
              </w:rPr>
            </w:pPr>
          </w:p>
        </w:tc>
        <w:tc>
          <w:tcPr>
            <w:tcW w:w="180" w:type="dxa"/>
            <w:vAlign w:val="bottom"/>
            <w:tcBorders>
              <w:top w:val="single" w:sz="8" w:color="auto"/>
            </w:tcBorders>
            <w:shd w:val="clear" w:color="auto" w:fill="FEFEFE"/>
          </w:tcPr>
          <w:p>
            <w:pPr>
              <w:spacing w:after="0"/>
              <w:rPr>
                <w:sz w:val="12"/>
                <w:szCs w:val="12"/>
                <w:color w:val="auto"/>
              </w:rPr>
            </w:pPr>
          </w:p>
        </w:tc>
        <w:tc>
          <w:tcPr>
            <w:tcW w:w="720" w:type="dxa"/>
            <w:vAlign w:val="bottom"/>
            <w:tcBorders>
              <w:top w:val="single" w:sz="8" w:color="auto"/>
            </w:tcBorders>
            <w:shd w:val="clear" w:color="auto" w:fill="FEFEFE"/>
          </w:tcPr>
          <w:p>
            <w:pPr>
              <w:spacing w:after="0"/>
              <w:rPr>
                <w:sz w:val="12"/>
                <w:szCs w:val="12"/>
                <w:color w:val="auto"/>
              </w:rPr>
            </w:pPr>
          </w:p>
        </w:tc>
        <w:tc>
          <w:tcPr>
            <w:tcW w:w="180" w:type="dxa"/>
            <w:vAlign w:val="bottom"/>
            <w:tcBorders>
              <w:top w:val="single" w:sz="8" w:color="FEFEFE"/>
            </w:tcBorders>
            <w:shd w:val="clear" w:color="auto" w:fill="FEFEFE"/>
          </w:tcPr>
          <w:p>
            <w:pPr>
              <w:spacing w:after="0"/>
              <w:rPr>
                <w:sz w:val="12"/>
                <w:szCs w:val="12"/>
                <w:color w:val="auto"/>
              </w:rPr>
            </w:pPr>
          </w:p>
        </w:tc>
        <w:tc>
          <w:tcPr>
            <w:tcW w:w="120" w:type="dxa"/>
            <w:vAlign w:val="bottom"/>
            <w:tcBorders>
              <w:top w:val="single" w:sz="8" w:color="auto"/>
            </w:tcBorders>
            <w:shd w:val="clear" w:color="auto" w:fill="FEFEFE"/>
          </w:tcPr>
          <w:p>
            <w:pPr>
              <w:spacing w:after="0"/>
              <w:rPr>
                <w:sz w:val="12"/>
                <w:szCs w:val="12"/>
                <w:color w:val="auto"/>
              </w:rPr>
            </w:pPr>
          </w:p>
        </w:tc>
        <w:tc>
          <w:tcPr>
            <w:tcW w:w="560" w:type="dxa"/>
            <w:vAlign w:val="bottom"/>
            <w:tcBorders>
              <w:top w:val="single" w:sz="8" w:color="auto"/>
            </w:tcBorders>
            <w:shd w:val="clear" w:color="auto" w:fill="FEFEFE"/>
          </w:tcPr>
          <w:p>
            <w:pPr>
              <w:spacing w:after="0"/>
              <w:rPr>
                <w:sz w:val="12"/>
                <w:szCs w:val="12"/>
                <w:color w:val="auto"/>
              </w:rPr>
            </w:pPr>
          </w:p>
        </w:tc>
        <w:tc>
          <w:tcPr>
            <w:tcW w:w="80" w:type="dxa"/>
            <w:vAlign w:val="bottom"/>
            <w:tcBorders>
              <w:top w:val="single" w:sz="8" w:color="FEFEFE"/>
            </w:tcBorders>
            <w:shd w:val="clear" w:color="auto" w:fill="FEFEFE"/>
          </w:tcPr>
          <w:p>
            <w:pPr>
              <w:spacing w:after="0"/>
              <w:rPr>
                <w:sz w:val="12"/>
                <w:szCs w:val="12"/>
                <w:color w:val="auto"/>
              </w:rPr>
            </w:pP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0" w:type="dxa"/>
            <w:vAlign w:val="bottom"/>
            <w:shd w:val="clear" w:color="auto" w:fill="E7E7E3"/>
          </w:tcPr>
          <w:p>
            <w:pPr>
              <w:spacing w:after="0"/>
              <w:rPr>
                <w:sz w:val="15"/>
                <w:szCs w:val="15"/>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160" w:type="dxa"/>
            <w:vAlign w:val="bottom"/>
            <w:shd w:val="clear" w:color="auto" w:fill="E7E7E3"/>
          </w:tcPr>
          <w:p>
            <w:pPr>
              <w:spacing w:after="0"/>
              <w:rPr>
                <w:sz w:val="15"/>
                <w:szCs w:val="15"/>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80" w:type="dxa"/>
            <w:vAlign w:val="bottom"/>
            <w:shd w:val="clear" w:color="auto" w:fill="E7E7E3"/>
          </w:tcPr>
          <w:p>
            <w:pPr>
              <w:spacing w:after="0"/>
              <w:rPr>
                <w:sz w:val="15"/>
                <w:szCs w:val="15"/>
                <w:color w:val="auto"/>
              </w:rPr>
            </w:pPr>
          </w:p>
        </w:tc>
        <w:tc>
          <w:tcPr>
            <w:tcW w:w="5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7E7E3"/>
          </w:tcPr>
          <w:p>
            <w:pPr>
              <w:spacing w:after="0"/>
              <w:rPr>
                <w:sz w:val="15"/>
                <w:szCs w:val="15"/>
                <w:color w:val="auto"/>
              </w:rPr>
            </w:pPr>
          </w:p>
        </w:tc>
        <w:tc>
          <w:tcPr>
            <w:tcW w:w="140" w:type="dxa"/>
            <w:vAlign w:val="bottom"/>
            <w:shd w:val="clear" w:color="auto" w:fill="E7E7E3"/>
          </w:tcPr>
          <w:p>
            <w:pPr>
              <w:spacing w:after="0"/>
              <w:rPr>
                <w:sz w:val="15"/>
                <w:szCs w:val="15"/>
                <w:color w:val="auto"/>
              </w:rPr>
            </w:pPr>
          </w:p>
        </w:tc>
        <w:tc>
          <w:tcPr>
            <w:tcW w:w="6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80" w:type="dxa"/>
            <w:vAlign w:val="bottom"/>
            <w:shd w:val="clear" w:color="auto" w:fill="E7E7E3"/>
          </w:tcPr>
          <w:p>
            <w:pPr>
              <w:spacing w:after="0"/>
              <w:rPr>
                <w:sz w:val="15"/>
                <w:szCs w:val="15"/>
                <w:color w:val="auto"/>
              </w:rPr>
            </w:pPr>
          </w:p>
        </w:tc>
        <w:tc>
          <w:tcPr>
            <w:tcW w:w="7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Issuance of common stock, upon RSUs release</w:t>
            </w: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3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E7E7E3"/>
          </w:tcPr>
          <w:p>
            <w:pPr>
              <w:spacing w:after="0"/>
              <w:rPr>
                <w:sz w:val="15"/>
                <w:szCs w:val="15"/>
                <w:color w:val="auto"/>
              </w:rPr>
            </w:pP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Shares withheld for taxes related to net share settlement</w:t>
            </w:r>
          </w:p>
        </w:tc>
        <w:tc>
          <w:tcPr>
            <w:tcW w:w="1140" w:type="dxa"/>
            <w:vAlign w:val="bottom"/>
            <w:gridSpan w:val="3"/>
            <w:shd w:val="clear" w:color="auto" w:fill="FEFEFE"/>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14"/>
                <w:szCs w:val="14"/>
                <w:color w:val="auto"/>
              </w:rPr>
              <w:t>(78)</w:t>
            </w: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Repurchase of common stock, excluding excise taxes</w:t>
            </w:r>
          </w:p>
        </w:tc>
        <w:tc>
          <w:tcPr>
            <w:tcW w:w="80" w:type="dxa"/>
            <w:vAlign w:val="bottom"/>
            <w:shd w:val="clear" w:color="auto" w:fill="E7E7E3"/>
          </w:tcPr>
          <w:p>
            <w:pPr>
              <w:spacing w:after="0"/>
              <w:rPr>
                <w:sz w:val="15"/>
                <w:szCs w:val="15"/>
                <w:color w:val="auto"/>
              </w:rPr>
            </w:pPr>
          </w:p>
        </w:tc>
        <w:tc>
          <w:tcPr>
            <w:tcW w:w="106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7E7E3"/>
          </w:tcPr>
          <w:p>
            <w:pPr>
              <w:spacing w:after="0"/>
              <w:rPr>
                <w:sz w:val="15"/>
                <w:szCs w:val="15"/>
                <w:color w:val="auto"/>
              </w:rPr>
            </w:pPr>
          </w:p>
        </w:tc>
        <w:tc>
          <w:tcPr>
            <w:tcW w:w="52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7E3"/>
          </w:tcPr>
          <w:p>
            <w:pPr>
              <w:spacing w:after="0"/>
              <w:rPr>
                <w:sz w:val="15"/>
                <w:szCs w:val="15"/>
                <w:color w:val="auto"/>
              </w:rPr>
            </w:pPr>
          </w:p>
        </w:tc>
        <w:tc>
          <w:tcPr>
            <w:tcW w:w="68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(4,868)</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4"/>
                <w:szCs w:val="14"/>
                <w:color w:val="auto"/>
              </w:rPr>
              <w:t>(13,730)</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6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4"/>
                <w:szCs w:val="14"/>
                <w:color w:val="auto"/>
              </w:rPr>
              <w:t>(13,730)</w:t>
            </w:r>
          </w:p>
        </w:tc>
      </w:tr>
      <w:tr>
        <w:trPr>
          <w:trHeight w:val="175"/>
        </w:trPr>
        <w:tc>
          <w:tcPr>
            <w:tcW w:w="3540" w:type="dxa"/>
            <w:vAlign w:val="bottom"/>
            <w:shd w:val="clear" w:color="auto" w:fill="FEFEFE"/>
          </w:tcPr>
          <w:p>
            <w:pPr>
              <w:spacing w:after="0"/>
              <w:rPr>
                <w:sz w:val="20"/>
                <w:szCs w:val="20"/>
                <w:color w:val="auto"/>
              </w:rPr>
            </w:pPr>
            <w:r>
              <w:rPr>
                <w:rFonts w:ascii="Times New Roman" w:cs="Times New Roman" w:eastAsia="Times New Roman" w:hAnsi="Times New Roman"/>
                <w:sz w:val="14"/>
                <w:szCs w:val="14"/>
                <w:color w:val="auto"/>
              </w:rPr>
              <w:t>Excise taxes accrued on repurchase of common stock</w:t>
            </w:r>
          </w:p>
        </w:tc>
        <w:tc>
          <w:tcPr>
            <w:tcW w:w="80" w:type="dxa"/>
            <w:vAlign w:val="bottom"/>
            <w:shd w:val="clear" w:color="auto" w:fill="FEFEFE"/>
          </w:tcPr>
          <w:p>
            <w:pPr>
              <w:spacing w:after="0"/>
              <w:rPr>
                <w:sz w:val="15"/>
                <w:szCs w:val="15"/>
                <w:color w:val="auto"/>
              </w:rPr>
            </w:pPr>
          </w:p>
        </w:tc>
        <w:tc>
          <w:tcPr>
            <w:tcW w:w="106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EFEFE"/>
          </w:tcPr>
          <w:p>
            <w:pPr>
              <w:spacing w:after="0"/>
              <w:rPr>
                <w:sz w:val="15"/>
                <w:szCs w:val="15"/>
                <w:color w:val="auto"/>
              </w:rPr>
            </w:pPr>
          </w:p>
        </w:tc>
        <w:tc>
          <w:tcPr>
            <w:tcW w:w="5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68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EFEFE"/>
          </w:tcPr>
          <w:p>
            <w:pPr>
              <w:spacing w:after="0"/>
              <w:rPr>
                <w:sz w:val="15"/>
                <w:szCs w:val="15"/>
                <w:color w:val="auto"/>
              </w:rPr>
            </w:pPr>
          </w:p>
        </w:tc>
        <w:tc>
          <w:tcPr>
            <w:tcW w:w="70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FEFEFE"/>
          </w:tcPr>
          <w:p>
            <w:pPr>
              <w:spacing w:after="0"/>
              <w:rPr>
                <w:sz w:val="15"/>
                <w:szCs w:val="15"/>
                <w:color w:val="auto"/>
              </w:rPr>
            </w:pPr>
          </w:p>
        </w:tc>
        <w:tc>
          <w:tcPr>
            <w:tcW w:w="800" w:type="dxa"/>
            <w:vAlign w:val="bottom"/>
            <w:gridSpan w:val="2"/>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EFEFE"/>
          </w:tcPr>
          <w:p>
            <w:pPr>
              <w:spacing w:after="0"/>
              <w:rPr>
                <w:sz w:val="15"/>
                <w:szCs w:val="15"/>
                <w:color w:val="auto"/>
              </w:rPr>
            </w:pPr>
          </w:p>
        </w:tc>
        <w:tc>
          <w:tcPr>
            <w:tcW w:w="6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4"/>
                <w:szCs w:val="14"/>
                <w:color w:val="auto"/>
              </w:rPr>
              <w:t>(118)</w:t>
            </w:r>
          </w:p>
        </w:tc>
      </w:tr>
      <w:tr>
        <w:trPr>
          <w:trHeight w:val="175"/>
        </w:trPr>
        <w:tc>
          <w:tcPr>
            <w:tcW w:w="3540" w:type="dxa"/>
            <w:vAlign w:val="bottom"/>
            <w:shd w:val="clear" w:color="auto" w:fill="E7E7E3"/>
          </w:tcPr>
          <w:p>
            <w:pPr>
              <w:spacing w:after="0"/>
              <w:rPr>
                <w:sz w:val="20"/>
                <w:szCs w:val="20"/>
                <w:color w:val="auto"/>
              </w:rPr>
            </w:pPr>
            <w:r>
              <w:rPr>
                <w:rFonts w:ascii="Times New Roman" w:cs="Times New Roman" w:eastAsia="Times New Roman" w:hAnsi="Times New Roman"/>
                <w:sz w:val="14"/>
                <w:szCs w:val="14"/>
                <w:color w:val="auto"/>
              </w:rPr>
              <w:t>Board of directors' compensation</w:t>
            </w:r>
          </w:p>
        </w:tc>
        <w:tc>
          <w:tcPr>
            <w:tcW w:w="9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E7E7E3"/>
          </w:tcPr>
          <w:p>
            <w:pPr>
              <w:spacing w:after="0"/>
              <w:rPr>
                <w:sz w:val="15"/>
                <w:szCs w:val="15"/>
                <w:color w:val="auto"/>
              </w:rPr>
            </w:pPr>
          </w:p>
        </w:tc>
        <w:tc>
          <w:tcPr>
            <w:tcW w:w="220" w:type="dxa"/>
            <w:vAlign w:val="bottom"/>
            <w:shd w:val="clear" w:color="auto" w:fill="E7E7E3"/>
          </w:tcPr>
          <w:p>
            <w:pPr>
              <w:spacing w:after="0"/>
              <w:rPr>
                <w:sz w:val="15"/>
                <w:szCs w:val="15"/>
                <w:color w:val="auto"/>
              </w:rPr>
            </w:pPr>
          </w:p>
        </w:tc>
        <w:tc>
          <w:tcPr>
            <w:tcW w:w="3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E7E7E3"/>
          </w:tcPr>
          <w:p>
            <w:pPr>
              <w:spacing w:after="0"/>
              <w:rPr>
                <w:sz w:val="15"/>
                <w:szCs w:val="15"/>
                <w:color w:val="auto"/>
              </w:rPr>
            </w:pPr>
          </w:p>
        </w:tc>
        <w:tc>
          <w:tcPr>
            <w:tcW w:w="100" w:type="dxa"/>
            <w:vAlign w:val="bottom"/>
            <w:shd w:val="clear" w:color="auto" w:fill="E7E7E3"/>
          </w:tcPr>
          <w:p>
            <w:pPr>
              <w:spacing w:after="0"/>
              <w:rPr>
                <w:sz w:val="15"/>
                <w:szCs w:val="15"/>
                <w:color w:val="auto"/>
              </w:rPr>
            </w:pPr>
          </w:p>
        </w:tc>
        <w:tc>
          <w:tcPr>
            <w:tcW w:w="5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60" w:type="dxa"/>
            <w:vAlign w:val="bottom"/>
            <w:shd w:val="clear" w:color="auto" w:fill="E7E7E3"/>
          </w:tcPr>
          <w:p>
            <w:pPr>
              <w:spacing w:after="0"/>
              <w:rPr>
                <w:sz w:val="15"/>
                <w:szCs w:val="15"/>
                <w:color w:val="auto"/>
              </w:rPr>
            </w:pPr>
          </w:p>
        </w:tc>
        <w:tc>
          <w:tcPr>
            <w:tcW w:w="10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3"/>
          </w:tcPr>
          <w:p>
            <w:pPr>
              <w:spacing w:after="0"/>
              <w:rPr>
                <w:sz w:val="15"/>
                <w:szCs w:val="15"/>
                <w:color w:val="auto"/>
              </w:rPr>
            </w:pPr>
          </w:p>
        </w:tc>
        <w:tc>
          <w:tcPr>
            <w:tcW w:w="70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7E7E3"/>
          </w:tcPr>
          <w:p>
            <w:pPr>
              <w:spacing w:after="0"/>
              <w:rPr>
                <w:sz w:val="15"/>
                <w:szCs w:val="15"/>
                <w:color w:val="auto"/>
              </w:rPr>
            </w:pPr>
          </w:p>
        </w:tc>
        <w:tc>
          <w:tcPr>
            <w:tcW w:w="800" w:type="dxa"/>
            <w:vAlign w:val="bottom"/>
            <w:gridSpan w:val="2"/>
            <w:shd w:val="clear" w:color="auto" w:fill="E7E7E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7E3"/>
          </w:tcPr>
          <w:p>
            <w:pPr>
              <w:spacing w:after="0"/>
              <w:rPr>
                <w:sz w:val="15"/>
                <w:szCs w:val="15"/>
                <w:color w:val="auto"/>
              </w:rPr>
            </w:pPr>
          </w:p>
        </w:tc>
        <w:tc>
          <w:tcPr>
            <w:tcW w:w="90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7E3"/>
          </w:tcPr>
          <w:p>
            <w:pPr>
              <w:spacing w:after="0"/>
              <w:rPr>
                <w:sz w:val="15"/>
                <w:szCs w:val="15"/>
                <w:color w:val="auto"/>
              </w:rPr>
            </w:pPr>
          </w:p>
        </w:tc>
        <w:tc>
          <w:tcPr>
            <w:tcW w:w="5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E7E7E3"/>
          </w:tcPr>
          <w:p>
            <w:pPr>
              <w:spacing w:after="0"/>
              <w:rPr>
                <w:sz w:val="15"/>
                <w:szCs w:val="15"/>
                <w:color w:val="auto"/>
              </w:rPr>
            </w:pPr>
          </w:p>
        </w:tc>
      </w:tr>
      <w:tr>
        <w:trPr>
          <w:trHeight w:val="175"/>
        </w:trPr>
        <w:tc>
          <w:tcPr>
            <w:tcW w:w="35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E7E7E3"/>
            </w:tcBorders>
            <w:shd w:val="clear" w:color="auto" w:fill="FEFEFE"/>
          </w:tcPr>
          <w:p>
            <w:pPr>
              <w:spacing w:after="0"/>
              <w:rPr>
                <w:sz w:val="15"/>
                <w:szCs w:val="15"/>
                <w:color w:val="auto"/>
              </w:rPr>
            </w:pPr>
          </w:p>
        </w:tc>
        <w:tc>
          <w:tcPr>
            <w:tcW w:w="9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220" w:type="dxa"/>
            <w:vAlign w:val="bottom"/>
            <w:tcBorders>
              <w:bottom w:val="single" w:sz="8" w:color="auto"/>
            </w:tcBorders>
            <w:shd w:val="clear" w:color="auto" w:fill="FEFEFE"/>
          </w:tcPr>
          <w:p>
            <w:pPr>
              <w:spacing w:after="0"/>
              <w:rPr>
                <w:sz w:val="15"/>
                <w:szCs w:val="15"/>
                <w:color w:val="auto"/>
              </w:rPr>
            </w:pPr>
          </w:p>
        </w:tc>
        <w:tc>
          <w:tcPr>
            <w:tcW w:w="3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00" w:type="dxa"/>
            <w:vAlign w:val="bottom"/>
            <w:tcBorders>
              <w:bottom w:val="single" w:sz="8" w:color="auto"/>
            </w:tcBorders>
            <w:shd w:val="clear" w:color="auto" w:fill="FEFEFE"/>
          </w:tcPr>
          <w:p>
            <w:pPr>
              <w:spacing w:after="0"/>
              <w:rPr>
                <w:sz w:val="15"/>
                <w:szCs w:val="15"/>
                <w:color w:val="auto"/>
              </w:rPr>
            </w:pPr>
          </w:p>
        </w:tc>
        <w:tc>
          <w:tcPr>
            <w:tcW w:w="5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5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7E7E3"/>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6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80" w:type="dxa"/>
            <w:vAlign w:val="bottom"/>
            <w:tcBorders>
              <w:bottom w:val="single" w:sz="8" w:color="E7E7E3"/>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7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FEFEFE"/>
          </w:tcPr>
          <w:p>
            <w:pPr>
              <w:spacing w:after="0"/>
              <w:rPr>
                <w:sz w:val="15"/>
                <w:szCs w:val="15"/>
                <w:color w:val="auto"/>
              </w:rPr>
            </w:pPr>
          </w:p>
        </w:tc>
        <w:tc>
          <w:tcPr>
            <w:tcW w:w="120" w:type="dxa"/>
            <w:vAlign w:val="bottom"/>
            <w:tcBorders>
              <w:bottom w:val="single" w:sz="8" w:color="auto"/>
            </w:tcBorders>
            <w:shd w:val="clear" w:color="auto" w:fill="FEFEFE"/>
          </w:tcPr>
          <w:p>
            <w:pPr>
              <w:spacing w:after="0"/>
              <w:rPr>
                <w:sz w:val="15"/>
                <w:szCs w:val="15"/>
                <w:color w:val="auto"/>
              </w:rPr>
            </w:pPr>
          </w:p>
        </w:tc>
        <w:tc>
          <w:tcPr>
            <w:tcW w:w="5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Borders>
              <w:bottom w:val="single" w:sz="8" w:color="E7E7E3"/>
            </w:tcBorders>
            <w:shd w:val="clear" w:color="auto" w:fill="FEFEFE"/>
          </w:tcPr>
          <w:p>
            <w:pPr>
              <w:spacing w:after="0"/>
              <w:rPr>
                <w:sz w:val="15"/>
                <w:szCs w:val="15"/>
                <w:color w:val="auto"/>
              </w:rPr>
            </w:pPr>
          </w:p>
        </w:tc>
      </w:tr>
      <w:tr>
        <w:trPr>
          <w:trHeight w:val="185"/>
        </w:trPr>
        <w:tc>
          <w:tcPr>
            <w:tcW w:w="3540" w:type="dxa"/>
            <w:vAlign w:val="bottom"/>
            <w:tcBorders>
              <w:bottom w:val="single" w:sz="8" w:color="E7E7E3"/>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Balance at February 1, 2025</w:t>
            </w:r>
          </w:p>
        </w:tc>
        <w:tc>
          <w:tcPr>
            <w:tcW w:w="80" w:type="dxa"/>
            <w:vAlign w:val="bottom"/>
            <w:tcBorders>
              <w:bottom w:val="single" w:sz="8" w:color="E7E7E3"/>
            </w:tcBorders>
            <w:shd w:val="clear" w:color="auto" w:fill="E7E7E3"/>
          </w:tcPr>
          <w:p>
            <w:pPr>
              <w:spacing w:after="0"/>
              <w:rPr>
                <w:sz w:val="16"/>
                <w:szCs w:val="16"/>
                <w:color w:val="auto"/>
              </w:rPr>
            </w:pPr>
          </w:p>
        </w:tc>
        <w:tc>
          <w:tcPr>
            <w:tcW w:w="9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79,403</w:t>
            </w:r>
          </w:p>
        </w:tc>
        <w:tc>
          <w:tcPr>
            <w:tcW w:w="160" w:type="dxa"/>
            <w:vAlign w:val="bottom"/>
            <w:tcBorders>
              <w:bottom w:val="single" w:sz="8" w:color="E7E7E3"/>
            </w:tcBorders>
            <w:shd w:val="clear" w:color="auto" w:fill="E7E7E3"/>
          </w:tcPr>
          <w:p>
            <w:pPr>
              <w:spacing w:after="0"/>
              <w:rPr>
                <w:sz w:val="16"/>
                <w:szCs w:val="16"/>
                <w:color w:val="auto"/>
              </w:rPr>
            </w:pPr>
          </w:p>
        </w:tc>
        <w:tc>
          <w:tcPr>
            <w:tcW w:w="22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60" w:type="dxa"/>
            <w:vAlign w:val="bottom"/>
            <w:tcBorders>
              <w:bottom w:val="single" w:sz="8" w:color="E7E7E3"/>
            </w:tcBorders>
            <w:shd w:val="clear" w:color="auto" w:fill="E7E7E3"/>
          </w:tcPr>
          <w:p>
            <w:pPr>
              <w:spacing w:after="0"/>
              <w:rPr>
                <w:sz w:val="16"/>
                <w:szCs w:val="16"/>
                <w:color w:val="auto"/>
              </w:rPr>
            </w:pPr>
          </w:p>
        </w:tc>
        <w:tc>
          <w:tcPr>
            <w:tcW w:w="10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shd w:val="clear" w:color="auto" w:fill="E7E7E3"/>
              </w:rPr>
              <w:t>$</w:t>
            </w:r>
          </w:p>
        </w:tc>
        <w:tc>
          <w:tcPr>
            <w:tcW w:w="5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328,261</w:t>
            </w:r>
          </w:p>
        </w:tc>
        <w:tc>
          <w:tcPr>
            <w:tcW w:w="160" w:type="dxa"/>
            <w:vAlign w:val="bottom"/>
            <w:tcBorders>
              <w:bottom w:val="single" w:sz="8" w:color="E7E7E3"/>
            </w:tcBorders>
            <w:shd w:val="clear" w:color="auto" w:fill="E7E7E3"/>
          </w:tcPr>
          <w:p>
            <w:pPr>
              <w:spacing w:after="0"/>
              <w:rPr>
                <w:sz w:val="16"/>
                <w:szCs w:val="16"/>
                <w:color w:val="auto"/>
              </w:rPr>
            </w:pPr>
          </w:p>
        </w:tc>
        <w:tc>
          <w:tcPr>
            <w:tcW w:w="8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(25,909)</w:t>
            </w:r>
          </w:p>
        </w:tc>
        <w:tc>
          <w:tcPr>
            <w:tcW w:w="180" w:type="dxa"/>
            <w:vAlign w:val="bottom"/>
            <w:tcBorders>
              <w:bottom w:val="single" w:sz="8" w:color="E7E7E3"/>
            </w:tcBorders>
            <w:shd w:val="clear" w:color="auto" w:fill="E7E7E3"/>
          </w:tcPr>
          <w:p>
            <w:pPr>
              <w:spacing w:after="0"/>
              <w:rPr>
                <w:sz w:val="16"/>
                <w:szCs w:val="16"/>
                <w:color w:val="auto"/>
              </w:rPr>
            </w:pPr>
          </w:p>
        </w:tc>
        <w:tc>
          <w:tcPr>
            <w:tcW w:w="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w w:val="99"/>
                <w:shd w:val="clear" w:color="auto" w:fill="E7E7E3"/>
              </w:rPr>
              <w:t>(143,985</w:t>
            </w:r>
          </w:p>
        </w:tc>
        <w:tc>
          <w:tcPr>
            <w:tcW w:w="160" w:type="dxa"/>
            <w:vAlign w:val="bottom"/>
            <w:tcBorders>
              <w:bottom w:val="single" w:sz="8" w:color="E7E7E3"/>
            </w:tcBorders>
            <w:shd w:val="clear" w:color="auto" w:fill="E7E7E3"/>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(43,847</w:t>
            </w:r>
          </w:p>
        </w:tc>
        <w:tc>
          <w:tcPr>
            <w:tcW w:w="180" w:type="dxa"/>
            <w:vAlign w:val="bottom"/>
            <w:tcBorders>
              <w:bottom w:val="single" w:sz="8" w:color="E7E7E3"/>
            </w:tcBorders>
            <w:shd w:val="clear" w:color="auto" w:fill="E7E7E3"/>
          </w:tcPr>
          <w:p>
            <w:pPr>
              <w:jc w:val="right"/>
              <w:ind w:right="5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7E7E3"/>
            </w:tcBorders>
            <w:shd w:val="clear" w:color="auto" w:fill="E7E7E3"/>
          </w:tcPr>
          <w:p>
            <w:pPr>
              <w:spacing w:after="0"/>
              <w:rPr>
                <w:sz w:val="16"/>
                <w:szCs w:val="16"/>
                <w:color w:val="auto"/>
              </w:rPr>
            </w:pPr>
          </w:p>
        </w:tc>
        <w:tc>
          <w:tcPr>
            <w:tcW w:w="120" w:type="dxa"/>
            <w:vAlign w:val="bottom"/>
            <w:tcBorders>
              <w:bottom w:val="single" w:sz="8" w:color="auto"/>
            </w:tcBorders>
            <w:shd w:val="clear" w:color="auto" w:fill="E7E7E3"/>
          </w:tcPr>
          <w:p>
            <w:pPr>
              <w:jc w:val="right"/>
              <w:ind w:right="5"/>
              <w:spacing w:after="0"/>
              <w:rPr>
                <w:sz w:val="20"/>
                <w:szCs w:val="20"/>
                <w:color w:val="auto"/>
              </w:rPr>
            </w:pPr>
            <w:r>
              <w:rPr>
                <w:rFonts w:ascii="Times New Roman" w:cs="Times New Roman" w:eastAsia="Times New Roman" w:hAnsi="Times New Roman"/>
                <w:sz w:val="11"/>
                <w:szCs w:val="11"/>
                <w:color w:val="auto"/>
                <w:w w:val="71"/>
                <w:shd w:val="clear" w:color="auto" w:fill="E7E7E3"/>
              </w:rPr>
              <w:t>$</w:t>
            </w:r>
          </w:p>
        </w:tc>
        <w:tc>
          <w:tcPr>
            <w:tcW w:w="5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4"/>
                <w:szCs w:val="14"/>
                <w:color w:val="auto"/>
                <w:shd w:val="clear" w:color="auto" w:fill="E7E7E3"/>
              </w:rPr>
              <w:t>141,223</w:t>
            </w:r>
          </w:p>
        </w:tc>
        <w:tc>
          <w:tcPr>
            <w:tcW w:w="80" w:type="dxa"/>
            <w:vAlign w:val="bottom"/>
            <w:tcBorders>
              <w:bottom w:val="single" w:sz="8" w:color="E7E7E3"/>
            </w:tcBorders>
            <w:shd w:val="clear" w:color="auto" w:fill="E7E7E3"/>
          </w:tcPr>
          <w:p>
            <w:pPr>
              <w:spacing w:after="0"/>
              <w:rPr>
                <w:sz w:val="16"/>
                <w:szCs w:val="16"/>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-4671695</wp:posOffset>
            </wp:positionV>
            <wp:extent cx="9271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710" cy="3175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-4671695</wp:posOffset>
            </wp:positionV>
            <wp:extent cx="101028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0285" cy="3175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-4541520</wp:posOffset>
            </wp:positionV>
            <wp:extent cx="427355" cy="4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355" cy="4762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-4541520</wp:posOffset>
            </wp:positionV>
            <wp:extent cx="1022985" cy="4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2985" cy="4762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-2781300</wp:posOffset>
            </wp:positionV>
            <wp:extent cx="105410" cy="44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410" cy="4445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-2781300</wp:posOffset>
            </wp:positionV>
            <wp:extent cx="1022985" cy="4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2985" cy="4445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-1310640</wp:posOffset>
            </wp:positionV>
            <wp:extent cx="38100" cy="4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00" cy="4445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-1310640</wp:posOffset>
            </wp:positionV>
            <wp:extent cx="38100" cy="44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100" cy="4445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-1310640</wp:posOffset>
            </wp:positionV>
            <wp:extent cx="38100" cy="44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100" cy="4445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-1193165</wp:posOffset>
            </wp:positionV>
            <wp:extent cx="38100" cy="4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100" cy="4762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-1193165</wp:posOffset>
            </wp:positionV>
            <wp:extent cx="38100" cy="4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100" cy="4762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-1193165</wp:posOffset>
            </wp:positionV>
            <wp:extent cx="38100" cy="4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100" cy="4762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-164465</wp:posOffset>
            </wp:positionV>
            <wp:extent cx="38100" cy="44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00" cy="4445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-164465</wp:posOffset>
            </wp:positionV>
            <wp:extent cx="38100" cy="44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100" cy="4445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-164465</wp:posOffset>
            </wp:positionV>
            <wp:extent cx="38100" cy="44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00" cy="4445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653" w:right="540" w:bottom="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years ended February 1, 2025, February 3, 2024 and January 28,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2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480" w:type="dxa"/>
            <w:vAlign w:val="bottom"/>
            <w:gridSpan w:val="3"/>
            <w:shd w:val="clear" w:color="auto" w:fill="FEFEFE"/>
          </w:tcPr>
          <w:p>
            <w:pPr>
              <w:jc w:val="right"/>
              <w:ind w:right="320"/>
              <w:spacing w:after="0"/>
              <w:rPr>
                <w:sz w:val="20"/>
                <w:szCs w:val="20"/>
                <w:color w:val="auto"/>
              </w:rPr>
            </w:pPr>
            <w:r>
              <w:rPr>
                <w:rFonts w:ascii="Times New Roman" w:cs="Times New Roman" w:eastAsia="Times New Roman" w:hAnsi="Times New Roman"/>
                <w:sz w:val="16"/>
                <w:szCs w:val="16"/>
                <w:color w:val="auto"/>
              </w:rPr>
              <w:t>February 1, 2025</w:t>
            </w:r>
          </w:p>
        </w:tc>
        <w:tc>
          <w:tcPr>
            <w:tcW w:w="1500" w:type="dxa"/>
            <w:vAlign w:val="bottom"/>
            <w:gridSpan w:val="3"/>
            <w:shd w:val="clear" w:color="auto" w:fill="FEFEFE"/>
          </w:tcPr>
          <w:p>
            <w:pPr>
              <w:jc w:val="right"/>
              <w:ind w:right="340"/>
              <w:spacing w:after="0"/>
              <w:rPr>
                <w:sz w:val="20"/>
                <w:szCs w:val="20"/>
                <w:color w:val="auto"/>
              </w:rPr>
            </w:pPr>
            <w:r>
              <w:rPr>
                <w:rFonts w:ascii="Times New Roman" w:cs="Times New Roman" w:eastAsia="Times New Roman" w:hAnsi="Times New Roman"/>
                <w:sz w:val="16"/>
                <w:szCs w:val="16"/>
                <w:color w:val="auto"/>
              </w:rPr>
              <w:t>February 3, 2024</w:t>
            </w:r>
          </w:p>
        </w:tc>
        <w:tc>
          <w:tcPr>
            <w:tcW w:w="1340" w:type="dxa"/>
            <w:vAlign w:val="bottom"/>
            <w:gridSpan w:val="3"/>
            <w:shd w:val="clear" w:color="auto" w:fill="FEFEFE"/>
          </w:tcPr>
          <w:p>
            <w:pPr>
              <w:jc w:val="right"/>
              <w:ind w:right="180"/>
              <w:spacing w:after="0"/>
              <w:rPr>
                <w:sz w:val="20"/>
                <w:szCs w:val="20"/>
                <w:color w:val="auto"/>
              </w:rPr>
            </w:pPr>
            <w:r>
              <w:rPr>
                <w:rFonts w:ascii="Times New Roman" w:cs="Times New Roman" w:eastAsia="Times New Roman" w:hAnsi="Times New Roman"/>
                <w:sz w:val="16"/>
                <w:szCs w:val="16"/>
                <w:color w:val="auto"/>
              </w:rPr>
              <w:t>January 28, 2023</w:t>
            </w:r>
          </w:p>
        </w:tc>
      </w:tr>
      <w:tr>
        <w:trPr>
          <w:trHeight w:val="201"/>
        </w:trPr>
        <w:tc>
          <w:tcPr>
            <w:tcW w:w="6320" w:type="dxa"/>
            <w:vAlign w:val="bottom"/>
            <w:tcBorders>
              <w:bottom w:val="single" w:sz="8" w:color="E7E7E3"/>
            </w:tcBorders>
            <w:shd w:val="clear" w:color="auto" w:fill="FEFEFE"/>
          </w:tcPr>
          <w:p>
            <w:pPr>
              <w:spacing w:after="0"/>
              <w:rPr>
                <w:sz w:val="17"/>
                <w:szCs w:val="17"/>
                <w:color w:val="auto"/>
              </w:rPr>
            </w:pPr>
          </w:p>
        </w:tc>
        <w:tc>
          <w:tcPr>
            <w:tcW w:w="160" w:type="dxa"/>
            <w:vAlign w:val="bottom"/>
            <w:tcBorders>
              <w:bottom w:val="single" w:sz="8" w:color="E7E7E3"/>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right"/>
              <w:ind w:right="121"/>
              <w:spacing w:after="0"/>
              <w:rPr>
                <w:sz w:val="20"/>
                <w:szCs w:val="20"/>
                <w:color w:val="auto"/>
              </w:rPr>
            </w:pPr>
            <w:r>
              <w:rPr>
                <w:rFonts w:ascii="Times New Roman" w:cs="Times New Roman" w:eastAsia="Times New Roman" w:hAnsi="Times New Roman"/>
                <w:sz w:val="16"/>
                <w:szCs w:val="16"/>
                <w:color w:val="auto"/>
              </w:rPr>
              <w:t>(Fiscal 2024)</w:t>
            </w:r>
          </w:p>
        </w:tc>
        <w:tc>
          <w:tcPr>
            <w:tcW w:w="240" w:type="dxa"/>
            <w:vAlign w:val="bottom"/>
            <w:tcBorders>
              <w:bottom w:val="single" w:sz="8" w:color="E7E7E3"/>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right"/>
              <w:ind w:right="101"/>
              <w:spacing w:after="0"/>
              <w:rPr>
                <w:sz w:val="20"/>
                <w:szCs w:val="20"/>
                <w:color w:val="auto"/>
              </w:rPr>
            </w:pPr>
            <w:r>
              <w:rPr>
                <w:rFonts w:ascii="Times New Roman" w:cs="Times New Roman" w:eastAsia="Times New Roman" w:hAnsi="Times New Roman"/>
                <w:sz w:val="16"/>
                <w:szCs w:val="16"/>
                <w:color w:val="auto"/>
              </w:rPr>
              <w:t>(Fiscal 2023)</w:t>
            </w:r>
          </w:p>
        </w:tc>
        <w:tc>
          <w:tcPr>
            <w:tcW w:w="260" w:type="dxa"/>
            <w:vAlign w:val="bottom"/>
            <w:tcBorders>
              <w:bottom w:val="single" w:sz="8" w:color="E7E7E3"/>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right"/>
              <w:ind w:right="101"/>
              <w:spacing w:after="0"/>
              <w:rPr>
                <w:sz w:val="20"/>
                <w:szCs w:val="20"/>
                <w:color w:val="auto"/>
              </w:rPr>
            </w:pPr>
            <w:r>
              <w:rPr>
                <w:rFonts w:ascii="Times New Roman" w:cs="Times New Roman" w:eastAsia="Times New Roman" w:hAnsi="Times New Roman"/>
                <w:sz w:val="16"/>
                <w:szCs w:val="16"/>
                <w:color w:val="auto"/>
              </w:rPr>
              <w:t>(Fiscal 2022)</w:t>
            </w:r>
          </w:p>
        </w:tc>
        <w:tc>
          <w:tcPr>
            <w:tcW w:w="100" w:type="dxa"/>
            <w:vAlign w:val="bottom"/>
            <w:tcBorders>
              <w:bottom w:val="single" w:sz="8" w:color="E7E7E3"/>
            </w:tcBorders>
            <w:shd w:val="clear" w:color="auto" w:fill="FEFEFE"/>
          </w:tcPr>
          <w:p>
            <w:pPr>
              <w:spacing w:after="0"/>
              <w:rPr>
                <w:sz w:val="17"/>
                <w:szCs w:val="17"/>
                <w:color w:val="auto"/>
              </w:rPr>
            </w:pPr>
          </w:p>
        </w:tc>
      </w:tr>
      <w:tr>
        <w:trPr>
          <w:trHeight w:val="234"/>
        </w:trPr>
        <w:tc>
          <w:tcPr>
            <w:tcW w:w="632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1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24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44"/>
        </w:trPr>
        <w:tc>
          <w:tcPr>
            <w:tcW w:w="63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27,854</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89,123</w:t>
            </w:r>
          </w:p>
        </w:tc>
        <w:tc>
          <w:tcPr>
            <w:tcW w:w="100" w:type="dxa"/>
            <w:vAlign w:val="bottom"/>
            <w:shd w:val="clear" w:color="auto" w:fill="FEFEFE"/>
          </w:tcPr>
          <w:p>
            <w:pPr>
              <w:spacing w:after="0"/>
              <w:rPr>
                <w:sz w:val="21"/>
                <w:szCs w:val="21"/>
                <w:color w:val="auto"/>
              </w:rPr>
            </w:pPr>
          </w:p>
        </w:tc>
      </w:tr>
      <w:tr>
        <w:trPr>
          <w:trHeight w:val="223"/>
        </w:trPr>
        <w:tc>
          <w:tcPr>
            <w:tcW w:w="6320" w:type="dxa"/>
            <w:vAlign w:val="bottom"/>
            <w:shd w:val="clear" w:color="auto" w:fill="E7E7E3"/>
          </w:tcPr>
          <w:p>
            <w:pPr>
              <w:ind w:left="200"/>
              <w:spacing w:after="0" w:line="223"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1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24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26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51"/>
        </w:trPr>
        <w:tc>
          <w:tcPr>
            <w:tcW w:w="632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activities: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Loss from retirement plan terminations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34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5,690</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Recognition of accumulated foreign currency translation adjustment</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Amortization and write-off of deferred debt issuance costs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Impairment (gain) of assets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2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(159)</w:t>
            </w: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13,878</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13,833</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15,381</w:t>
            </w: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Gain on sale of equipment</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Deferred taxes, net of valuation allowance</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9,329</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(31,624)</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2,496</w:t>
            </w:r>
          </w:p>
        </w:tc>
        <w:tc>
          <w:tcPr>
            <w:tcW w:w="2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1,384</w:t>
            </w: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Board of directors' stock compensation</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Accounts receivable</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1,862</w:t>
            </w: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(2,786)</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Inventories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5,482</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12,036</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(11,240)</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1,953</w:t>
            </w: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(1,094)</w:t>
            </w:r>
          </w:p>
        </w:tc>
        <w:tc>
          <w:tcPr>
            <w:tcW w:w="140" w:type="dxa"/>
            <w:vAlign w:val="bottom"/>
            <w:shd w:val="clear" w:color="auto" w:fill="E7E7E3"/>
          </w:tcPr>
          <w:p>
            <w:pPr>
              <w:spacing w:after="0"/>
              <w:rPr>
                <w:sz w:val="21"/>
                <w:szCs w:val="21"/>
                <w:color w:val="auto"/>
              </w:rPr>
            </w:pPr>
          </w:p>
        </w:tc>
        <w:tc>
          <w:tcPr>
            <w:tcW w:w="12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(599)</w:t>
            </w: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34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(129)</w:t>
            </w: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(80)</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6,991</w:t>
            </w: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(10,195)</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Operating leases, net</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34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(2,888)</w:t>
            </w:r>
          </w:p>
        </w:tc>
        <w:tc>
          <w:tcPr>
            <w:tcW w:w="14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(3,563)</w:t>
            </w: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(7,510)</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(7,240)</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(4,564)</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1,852</w:t>
            </w:r>
          </w:p>
        </w:tc>
        <w:tc>
          <w:tcPr>
            <w:tcW w:w="100" w:type="dxa"/>
            <w:vAlign w:val="bottom"/>
            <w:shd w:val="clear" w:color="auto" w:fill="E7E7E3"/>
          </w:tcPr>
          <w:p>
            <w:pPr>
              <w:spacing w:after="0"/>
              <w:rPr>
                <w:sz w:val="21"/>
                <w:szCs w:val="21"/>
                <w:color w:val="auto"/>
              </w:rPr>
            </w:pPr>
          </w:p>
        </w:tc>
      </w:tr>
      <w:tr>
        <w:trPr>
          <w:trHeight w:val="234"/>
        </w:trPr>
        <w:tc>
          <w:tcPr>
            <w:tcW w:w="6320" w:type="dxa"/>
            <w:vAlign w:val="bottom"/>
            <w:tcBorders>
              <w:top w:val="single" w:sz="8" w:color="FEFEFE"/>
              <w:bottom w:val="single" w:sz="8" w:color="E7E7E3"/>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6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29,583</w:t>
            </w:r>
          </w:p>
        </w:tc>
        <w:tc>
          <w:tcPr>
            <w:tcW w:w="24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49,594</w:t>
            </w:r>
          </w:p>
        </w:tc>
        <w:tc>
          <w:tcPr>
            <w:tcW w:w="26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59,944</w:t>
            </w:r>
          </w:p>
        </w:tc>
        <w:tc>
          <w:tcPr>
            <w:tcW w:w="100" w:type="dxa"/>
            <w:vAlign w:val="bottom"/>
            <w:tcBorders>
              <w:top w:val="single" w:sz="8" w:color="FEFEFE"/>
              <w:bottom w:val="single" w:sz="8" w:color="E7E7E3"/>
            </w:tcBorders>
            <w:shd w:val="clear" w:color="auto" w:fill="FEFEFE"/>
          </w:tcPr>
          <w:p>
            <w:pPr>
              <w:spacing w:after="0"/>
              <w:rPr>
                <w:sz w:val="20"/>
                <w:szCs w:val="20"/>
                <w:color w:val="auto"/>
              </w:rPr>
            </w:pPr>
          </w:p>
        </w:tc>
      </w:tr>
      <w:tr>
        <w:trPr>
          <w:trHeight w:val="234"/>
        </w:trPr>
        <w:tc>
          <w:tcPr>
            <w:tcW w:w="632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24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44"/>
        </w:trPr>
        <w:tc>
          <w:tcPr>
            <w:tcW w:w="63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Additions to property and equipment, net</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(27,723)</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(17,418)</w:t>
            </w:r>
          </w:p>
        </w:tc>
        <w:tc>
          <w:tcPr>
            <w:tcW w:w="140" w:type="dxa"/>
            <w:vAlign w:val="bottom"/>
            <w:shd w:val="clear" w:color="auto" w:fill="E7E7E3"/>
          </w:tcPr>
          <w:p>
            <w:pPr>
              <w:spacing w:after="0"/>
              <w:rPr>
                <w:sz w:val="21"/>
                <w:szCs w:val="21"/>
                <w:color w:val="auto"/>
              </w:rPr>
            </w:pPr>
          </w:p>
        </w:tc>
        <w:tc>
          <w:tcPr>
            <w:tcW w:w="12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(9,642)</w:t>
            </w: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Proceeds from sale of equipment</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Purchase of short-term investments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(48,011)</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(79,883)</w:t>
            </w:r>
          </w:p>
        </w:tc>
        <w:tc>
          <w:tcPr>
            <w:tcW w:w="140" w:type="dxa"/>
            <w:vAlign w:val="bottom"/>
            <w:shd w:val="clear" w:color="auto" w:fill="E7E7E3"/>
          </w:tcPr>
          <w:p>
            <w:pPr>
              <w:spacing w:after="0"/>
              <w:rPr>
                <w:sz w:val="21"/>
                <w:szCs w:val="21"/>
                <w:color w:val="auto"/>
              </w:rPr>
            </w:pPr>
          </w:p>
        </w:tc>
        <w:tc>
          <w:tcPr>
            <w:tcW w:w="120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Maturity of short-term investments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44,383</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48,010</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320" w:type="dxa"/>
            <w:vAlign w:val="bottom"/>
            <w:tcBorders>
              <w:top w:val="single" w:sz="8" w:color="E7E7E3"/>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Net cash used for investing activities</w:t>
            </w:r>
          </w:p>
        </w:tc>
        <w:tc>
          <w:tcPr>
            <w:tcW w:w="160" w:type="dxa"/>
            <w:vAlign w:val="bottom"/>
            <w:tcBorders>
              <w:top w:val="single" w:sz="8" w:color="E7E7E3"/>
              <w:bottom w:val="single" w:sz="8" w:color="FEFEFE"/>
            </w:tcBorders>
            <w:shd w:val="clear" w:color="auto" w:fill="E7E7E3"/>
          </w:tcPr>
          <w:p>
            <w:pPr>
              <w:spacing w:after="0"/>
              <w:rPr>
                <w:sz w:val="20"/>
                <w:szCs w:val="20"/>
                <w:color w:val="auto"/>
              </w:rPr>
            </w:pPr>
          </w:p>
        </w:tc>
        <w:tc>
          <w:tcPr>
            <w:tcW w:w="140" w:type="dxa"/>
            <w:vAlign w:val="bottom"/>
            <w:tcBorders>
              <w:top w:val="single" w:sz="8" w:color="auto"/>
              <w:bottom w:val="single" w:sz="8" w:color="auto"/>
            </w:tcBorders>
            <w:shd w:val="clear" w:color="auto" w:fill="E7E7E3"/>
          </w:tcPr>
          <w:p>
            <w:pPr>
              <w:spacing w:after="0"/>
              <w:rPr>
                <w:sz w:val="20"/>
                <w:szCs w:val="20"/>
                <w:color w:val="auto"/>
              </w:rPr>
            </w:pPr>
          </w:p>
        </w:tc>
        <w:tc>
          <w:tcPr>
            <w:tcW w:w="11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(31,339)</w:t>
            </w:r>
          </w:p>
        </w:tc>
        <w:tc>
          <w:tcPr>
            <w:tcW w:w="240" w:type="dxa"/>
            <w:vAlign w:val="bottom"/>
            <w:tcBorders>
              <w:top w:val="single" w:sz="8" w:color="E7E7E3"/>
              <w:bottom w:val="single" w:sz="8" w:color="FEFEFE"/>
            </w:tcBorders>
            <w:shd w:val="clear" w:color="auto" w:fill="E7E7E3"/>
          </w:tcPr>
          <w:p>
            <w:pPr>
              <w:spacing w:after="0"/>
              <w:rPr>
                <w:sz w:val="20"/>
                <w:szCs w:val="20"/>
                <w:color w:val="auto"/>
              </w:rPr>
            </w:pPr>
          </w:p>
        </w:tc>
        <w:tc>
          <w:tcPr>
            <w:tcW w:w="140" w:type="dxa"/>
            <w:vAlign w:val="bottom"/>
            <w:tcBorders>
              <w:top w:val="single" w:sz="8" w:color="auto"/>
              <w:bottom w:val="single" w:sz="8" w:color="auto"/>
            </w:tcBorders>
            <w:shd w:val="clear" w:color="auto" w:fill="E7E7E3"/>
          </w:tcPr>
          <w:p>
            <w:pPr>
              <w:spacing w:after="0"/>
              <w:rPr>
                <w:sz w:val="20"/>
                <w:szCs w:val="20"/>
                <w:color w:val="auto"/>
              </w:rPr>
            </w:pPr>
          </w:p>
        </w:tc>
        <w:tc>
          <w:tcPr>
            <w:tcW w:w="11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(49,146)</w:t>
            </w:r>
          </w:p>
        </w:tc>
        <w:tc>
          <w:tcPr>
            <w:tcW w:w="260" w:type="dxa"/>
            <w:vAlign w:val="bottom"/>
            <w:tcBorders>
              <w:top w:val="single" w:sz="8" w:color="E7E7E3"/>
              <w:bottom w:val="single" w:sz="8" w:color="FEFEFE"/>
            </w:tcBorders>
            <w:shd w:val="clear" w:color="auto" w:fill="E7E7E3"/>
          </w:tcPr>
          <w:p>
            <w:pPr>
              <w:spacing w:after="0"/>
              <w:rPr>
                <w:sz w:val="20"/>
                <w:szCs w:val="20"/>
                <w:color w:val="auto"/>
              </w:rPr>
            </w:pPr>
          </w:p>
        </w:tc>
        <w:tc>
          <w:tcPr>
            <w:tcW w:w="140" w:type="dxa"/>
            <w:vAlign w:val="bottom"/>
            <w:tcBorders>
              <w:top w:val="single" w:sz="8" w:color="auto"/>
              <w:bottom w:val="single" w:sz="8" w:color="auto"/>
            </w:tcBorders>
            <w:shd w:val="clear" w:color="auto" w:fill="E7E7E3"/>
          </w:tcPr>
          <w:p>
            <w:pPr>
              <w:spacing w:after="0"/>
              <w:rPr>
                <w:sz w:val="20"/>
                <w:szCs w:val="20"/>
                <w:color w:val="auto"/>
              </w:rPr>
            </w:pPr>
          </w:p>
        </w:tc>
        <w:tc>
          <w:tcPr>
            <w:tcW w:w="11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(9,642)</w:t>
            </w:r>
          </w:p>
        </w:tc>
        <w:tc>
          <w:tcPr>
            <w:tcW w:w="100" w:type="dxa"/>
            <w:vAlign w:val="bottom"/>
            <w:tcBorders>
              <w:top w:val="single" w:sz="8" w:color="E7E7E3"/>
              <w:bottom w:val="single" w:sz="8" w:color="FEFEFE"/>
            </w:tcBorders>
            <w:shd w:val="clear" w:color="auto" w:fill="E7E7E3"/>
          </w:tcPr>
          <w:p>
            <w:pPr>
              <w:spacing w:after="0"/>
              <w:rPr>
                <w:sz w:val="20"/>
                <w:szCs w:val="20"/>
                <w:color w:val="auto"/>
              </w:rPr>
            </w:pPr>
          </w:p>
        </w:tc>
      </w:tr>
      <w:tr>
        <w:trPr>
          <w:trHeight w:val="234"/>
        </w:trPr>
        <w:tc>
          <w:tcPr>
            <w:tcW w:w="63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00" w:type="dxa"/>
            <w:vAlign w:val="bottom"/>
            <w:shd w:val="clear" w:color="auto" w:fill="FEFEFE"/>
          </w:tcPr>
          <w:p>
            <w:pPr>
              <w:spacing w:after="0"/>
              <w:rPr>
                <w:sz w:val="20"/>
                <w:szCs w:val="20"/>
                <w:color w:val="auto"/>
              </w:rPr>
            </w:pPr>
          </w:p>
        </w:tc>
        <w:tc>
          <w:tcPr>
            <w:tcW w:w="24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00" w:type="dxa"/>
            <w:vAlign w:val="bottom"/>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0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r>
      <w:tr>
        <w:trPr>
          <w:trHeight w:val="244"/>
        </w:trPr>
        <w:tc>
          <w:tcPr>
            <w:tcW w:w="632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34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(13,730)</w:t>
            </w:r>
          </w:p>
        </w:tc>
        <w:tc>
          <w:tcPr>
            <w:tcW w:w="140" w:type="dxa"/>
            <w:vAlign w:val="bottom"/>
            <w:shd w:val="clear" w:color="auto" w:fill="FEFEFE"/>
          </w:tcPr>
          <w:p>
            <w:pPr>
              <w:spacing w:after="0"/>
              <w:rPr>
                <w:sz w:val="21"/>
                <w:szCs w:val="21"/>
                <w:color w:val="auto"/>
              </w:rPr>
            </w:pPr>
          </w:p>
        </w:tc>
        <w:tc>
          <w:tcPr>
            <w:tcW w:w="136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(24,541)</w:t>
            </w:r>
          </w:p>
        </w:tc>
        <w:tc>
          <w:tcPr>
            <w:tcW w:w="140" w:type="dxa"/>
            <w:vAlign w:val="bottom"/>
            <w:shd w:val="clear" w:color="auto" w:fill="FEFEFE"/>
          </w:tcPr>
          <w:p>
            <w:pPr>
              <w:spacing w:after="0"/>
              <w:rPr>
                <w:sz w:val="21"/>
                <w:szCs w:val="21"/>
                <w:color w:val="auto"/>
              </w:rPr>
            </w:pPr>
          </w:p>
        </w:tc>
        <w:tc>
          <w:tcPr>
            <w:tcW w:w="12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(12,728)</w:t>
            </w: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Payment of excise tax on repurchased shares of common stock</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(205)</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63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Proceeds from the exercise of stock options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839</w:t>
            </w:r>
          </w:p>
        </w:tc>
        <w:tc>
          <w:tcPr>
            <w:tcW w:w="100" w:type="dxa"/>
            <w:vAlign w:val="bottom"/>
            <w:shd w:val="clear" w:color="auto" w:fill="FEFEFE"/>
          </w:tcPr>
          <w:p>
            <w:pPr>
              <w:spacing w:after="0"/>
              <w:rPr>
                <w:sz w:val="21"/>
                <w:szCs w:val="21"/>
                <w:color w:val="auto"/>
              </w:rPr>
            </w:pPr>
          </w:p>
        </w:tc>
      </w:tr>
      <w:tr>
        <w:trPr>
          <w:trHeight w:val="244"/>
        </w:trPr>
        <w:tc>
          <w:tcPr>
            <w:tcW w:w="6320" w:type="dxa"/>
            <w:vAlign w:val="bottom"/>
            <w:shd w:val="clear" w:color="auto" w:fill="E7E7E3"/>
          </w:tcPr>
          <w:p>
            <w:pPr>
              <w:ind w:left="400"/>
              <w:spacing w:after="0"/>
              <w:rPr>
                <w:sz w:val="20"/>
                <w:szCs w:val="20"/>
                <w:color w:val="auto"/>
              </w:rPr>
            </w:pPr>
            <w:r>
              <w:rPr>
                <w:rFonts w:ascii="Times New Roman" w:cs="Times New Roman" w:eastAsia="Times New Roman" w:hAnsi="Times New Roman"/>
                <w:sz w:val="20"/>
                <w:szCs w:val="20"/>
                <w:color w:val="auto"/>
              </w:rPr>
              <w:t>Tax withholdings paid related to net share settlements</w:t>
            </w:r>
          </w:p>
        </w:tc>
        <w:tc>
          <w:tcPr>
            <w:tcW w:w="16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jc w:val="right"/>
              <w:ind w:right="180"/>
              <w:spacing w:after="0"/>
              <w:rPr>
                <w:sz w:val="20"/>
                <w:szCs w:val="20"/>
                <w:color w:val="auto"/>
              </w:rPr>
            </w:pPr>
            <w:r>
              <w:rPr>
                <w:rFonts w:ascii="Times New Roman" w:cs="Times New Roman" w:eastAsia="Times New Roman" w:hAnsi="Times New Roman"/>
                <w:sz w:val="20"/>
                <w:szCs w:val="20"/>
                <w:color w:val="auto"/>
              </w:rPr>
              <w:t>(78)</w:t>
            </w:r>
          </w:p>
        </w:tc>
        <w:tc>
          <w:tcPr>
            <w:tcW w:w="140" w:type="dxa"/>
            <w:vAlign w:val="bottom"/>
            <w:shd w:val="clear" w:color="auto" w:fill="E7E7E3"/>
          </w:tcPr>
          <w:p>
            <w:pPr>
              <w:spacing w:after="0"/>
              <w:rPr>
                <w:sz w:val="21"/>
                <w:szCs w:val="21"/>
                <w:color w:val="auto"/>
              </w:rPr>
            </w:pPr>
          </w:p>
        </w:tc>
        <w:tc>
          <w:tcPr>
            <w:tcW w:w="136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(759)</w:t>
            </w:r>
          </w:p>
        </w:tc>
        <w:tc>
          <w:tcPr>
            <w:tcW w:w="140" w:type="dxa"/>
            <w:vAlign w:val="bottom"/>
            <w:shd w:val="clear" w:color="auto" w:fill="E7E7E3"/>
          </w:tcPr>
          <w:p>
            <w:pPr>
              <w:spacing w:after="0"/>
              <w:rPr>
                <w:sz w:val="21"/>
                <w:szCs w:val="21"/>
                <w:color w:val="auto"/>
              </w:rPr>
            </w:pPr>
          </w:p>
        </w:tc>
        <w:tc>
          <w:tcPr>
            <w:tcW w:w="12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(1,845)</w:t>
            </w:r>
          </w:p>
        </w:tc>
      </w:tr>
      <w:tr>
        <w:trPr>
          <w:trHeight w:val="234"/>
        </w:trPr>
        <w:tc>
          <w:tcPr>
            <w:tcW w:w="6320" w:type="dxa"/>
            <w:vAlign w:val="bottom"/>
            <w:tcBorders>
              <w:top w:val="single" w:sz="8" w:color="FEFEFE"/>
              <w:bottom w:val="single" w:sz="8" w:color="E7E7E3"/>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Net cash used for financing activities</w:t>
            </w:r>
          </w:p>
        </w:tc>
        <w:tc>
          <w:tcPr>
            <w:tcW w:w="16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(13,933)</w:t>
            </w:r>
          </w:p>
        </w:tc>
        <w:tc>
          <w:tcPr>
            <w:tcW w:w="24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(24,932)</w:t>
            </w:r>
          </w:p>
        </w:tc>
        <w:tc>
          <w:tcPr>
            <w:tcW w:w="26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(13,734)</w:t>
            </w:r>
          </w:p>
        </w:tc>
        <w:tc>
          <w:tcPr>
            <w:tcW w:w="100" w:type="dxa"/>
            <w:vAlign w:val="bottom"/>
            <w:tcBorders>
              <w:top w:val="single" w:sz="8" w:color="FEFEFE"/>
              <w:bottom w:val="single" w:sz="8" w:color="E7E7E3"/>
            </w:tcBorders>
            <w:shd w:val="clear" w:color="auto" w:fill="FEFEFE"/>
          </w:tcPr>
          <w:p>
            <w:pPr>
              <w:spacing w:after="0"/>
              <w:rPr>
                <w:sz w:val="20"/>
                <w:szCs w:val="20"/>
                <w:color w:val="auto"/>
              </w:rPr>
            </w:pPr>
          </w:p>
        </w:tc>
      </w:tr>
      <w:tr>
        <w:trPr>
          <w:trHeight w:val="234"/>
        </w:trPr>
        <w:tc>
          <w:tcPr>
            <w:tcW w:w="632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(15,689)</w:t>
            </w:r>
          </w:p>
        </w:tc>
        <w:tc>
          <w:tcPr>
            <w:tcW w:w="24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(24,484)</w:t>
            </w:r>
          </w:p>
        </w:tc>
        <w:tc>
          <w:tcPr>
            <w:tcW w:w="2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36,568</w:t>
            </w:r>
          </w:p>
        </w:tc>
        <w:tc>
          <w:tcPr>
            <w:tcW w:w="100" w:type="dxa"/>
            <w:vAlign w:val="bottom"/>
            <w:shd w:val="clear" w:color="auto" w:fill="E7E7E3"/>
          </w:tcPr>
          <w:p>
            <w:pPr>
              <w:spacing w:after="0"/>
              <w:rPr>
                <w:sz w:val="20"/>
                <w:szCs w:val="20"/>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r>
        <w:trPr>
          <w:trHeight w:val="244"/>
        </w:trPr>
        <w:tc>
          <w:tcPr>
            <w:tcW w:w="6320" w:type="dxa"/>
            <w:vAlign w:val="bottom"/>
            <w:tcBorders>
              <w:bottom w:val="single" w:sz="8" w:color="FEFEFE"/>
            </w:tcBorders>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Beginning of period</w:t>
            </w:r>
          </w:p>
        </w:tc>
        <w:tc>
          <w:tcPr>
            <w:tcW w:w="160" w:type="dxa"/>
            <w:vAlign w:val="bottom"/>
            <w:tcBorders>
              <w:bottom w:val="single" w:sz="8" w:color="FEFEFE"/>
            </w:tcBorders>
            <w:shd w:val="clear" w:color="auto" w:fill="E7E7E3"/>
          </w:tcPr>
          <w:p>
            <w:pPr>
              <w:spacing w:after="0"/>
              <w:rPr>
                <w:sz w:val="21"/>
                <w:szCs w:val="21"/>
                <w:color w:val="auto"/>
              </w:rPr>
            </w:pPr>
          </w:p>
        </w:tc>
        <w:tc>
          <w:tcPr>
            <w:tcW w:w="140" w:type="dxa"/>
            <w:vAlign w:val="bottom"/>
            <w:tcBorders>
              <w:bottom w:val="single" w:sz="8" w:color="auto"/>
            </w:tcBorders>
            <w:shd w:val="clear" w:color="auto" w:fill="E7E7E3"/>
          </w:tcPr>
          <w:p>
            <w:pPr>
              <w:spacing w:after="0"/>
              <w:rPr>
                <w:sz w:val="21"/>
                <w:szCs w:val="21"/>
                <w:color w:val="auto"/>
              </w:rPr>
            </w:pPr>
          </w:p>
        </w:tc>
        <w:tc>
          <w:tcPr>
            <w:tcW w:w="11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27,590</w:t>
            </w:r>
          </w:p>
        </w:tc>
        <w:tc>
          <w:tcPr>
            <w:tcW w:w="240" w:type="dxa"/>
            <w:vAlign w:val="bottom"/>
            <w:tcBorders>
              <w:bottom w:val="single" w:sz="8" w:color="FEFEFE"/>
            </w:tcBorders>
            <w:shd w:val="clear" w:color="auto" w:fill="E7E7E3"/>
          </w:tcPr>
          <w:p>
            <w:pPr>
              <w:spacing w:after="0"/>
              <w:rPr>
                <w:sz w:val="21"/>
                <w:szCs w:val="21"/>
                <w:color w:val="auto"/>
              </w:rPr>
            </w:pPr>
          </w:p>
        </w:tc>
        <w:tc>
          <w:tcPr>
            <w:tcW w:w="140" w:type="dxa"/>
            <w:vAlign w:val="bottom"/>
            <w:tcBorders>
              <w:bottom w:val="single" w:sz="8" w:color="auto"/>
            </w:tcBorders>
            <w:shd w:val="clear" w:color="auto" w:fill="E7E7E3"/>
          </w:tcPr>
          <w:p>
            <w:pPr>
              <w:spacing w:after="0"/>
              <w:rPr>
                <w:sz w:val="21"/>
                <w:szCs w:val="21"/>
                <w:color w:val="auto"/>
              </w:rPr>
            </w:pPr>
          </w:p>
        </w:tc>
        <w:tc>
          <w:tcPr>
            <w:tcW w:w="11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52,074</w:t>
            </w:r>
          </w:p>
        </w:tc>
        <w:tc>
          <w:tcPr>
            <w:tcW w:w="260" w:type="dxa"/>
            <w:vAlign w:val="bottom"/>
            <w:tcBorders>
              <w:bottom w:val="single" w:sz="8" w:color="FEFEFE"/>
            </w:tcBorders>
            <w:shd w:val="clear" w:color="auto" w:fill="E7E7E3"/>
          </w:tcPr>
          <w:p>
            <w:pPr>
              <w:spacing w:after="0"/>
              <w:rPr>
                <w:sz w:val="21"/>
                <w:szCs w:val="21"/>
                <w:color w:val="auto"/>
              </w:rPr>
            </w:pPr>
          </w:p>
        </w:tc>
        <w:tc>
          <w:tcPr>
            <w:tcW w:w="140" w:type="dxa"/>
            <w:vAlign w:val="bottom"/>
            <w:tcBorders>
              <w:bottom w:val="single" w:sz="8" w:color="auto"/>
            </w:tcBorders>
            <w:shd w:val="clear" w:color="auto" w:fill="E7E7E3"/>
          </w:tcPr>
          <w:p>
            <w:pPr>
              <w:spacing w:after="0"/>
              <w:rPr>
                <w:sz w:val="21"/>
                <w:szCs w:val="21"/>
                <w:color w:val="auto"/>
              </w:rPr>
            </w:pPr>
          </w:p>
        </w:tc>
        <w:tc>
          <w:tcPr>
            <w:tcW w:w="11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15,506</w:t>
            </w:r>
          </w:p>
        </w:tc>
        <w:tc>
          <w:tcPr>
            <w:tcW w:w="100" w:type="dxa"/>
            <w:vAlign w:val="bottom"/>
            <w:tcBorders>
              <w:bottom w:val="single" w:sz="8" w:color="FEFEFE"/>
            </w:tcBorders>
            <w:shd w:val="clear" w:color="auto" w:fill="E7E7E3"/>
          </w:tcPr>
          <w:p>
            <w:pPr>
              <w:spacing w:after="0"/>
              <w:rPr>
                <w:sz w:val="21"/>
                <w:szCs w:val="21"/>
                <w:color w:val="auto"/>
              </w:rPr>
            </w:pPr>
          </w:p>
        </w:tc>
      </w:tr>
      <w:tr>
        <w:trPr>
          <w:trHeight w:val="234"/>
        </w:trPr>
        <w:tc>
          <w:tcPr>
            <w:tcW w:w="63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End of period</w:t>
            </w:r>
          </w:p>
        </w:tc>
        <w:tc>
          <w:tcPr>
            <w:tcW w:w="16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11,901</w:t>
            </w:r>
          </w:p>
        </w:tc>
        <w:tc>
          <w:tcPr>
            <w:tcW w:w="24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27,590</w:t>
            </w:r>
          </w:p>
        </w:tc>
        <w:tc>
          <w:tcPr>
            <w:tcW w:w="26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52,074</w:t>
            </w:r>
          </w:p>
        </w:tc>
        <w:tc>
          <w:tcPr>
            <w:tcW w:w="100" w:type="dxa"/>
            <w:vAlign w:val="bottom"/>
            <w:shd w:val="clear" w:color="auto" w:fill="FEFEFE"/>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653" w:right="540"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FEBRUARY 1, 2025</w:t>
      </w:r>
    </w:p>
    <w:p>
      <w:pPr>
        <w:spacing w:after="0" w:line="310" w:lineRule="exact"/>
        <w:rPr>
          <w:sz w:val="20"/>
          <w:szCs w:val="20"/>
          <w:color w:val="auto"/>
        </w:rPr>
      </w:pPr>
    </w:p>
    <w:p>
      <w:pPr>
        <w:ind w:right="5340"/>
        <w:spacing w:after="0" w:line="429" w:lineRule="auto"/>
        <w:rPr>
          <w:sz w:val="20"/>
          <w:szCs w:val="20"/>
          <w:color w:val="auto"/>
        </w:rPr>
      </w:pPr>
      <w:r>
        <w:rPr>
          <w:rFonts w:ascii="Times New Roman" w:cs="Times New Roman" w:eastAsia="Times New Roman" w:hAnsi="Times New Roman"/>
          <w:sz w:val="20"/>
          <w:szCs w:val="20"/>
          <w:b w:val="1"/>
          <w:bCs w:val="1"/>
          <w:color w:val="auto"/>
        </w:rPr>
        <w:t xml:space="preserve">A. SUMMARY OF SIGNIFICANT ACCOUNTING POLICIES </w:t>
      </w:r>
      <w:r>
        <w:rPr>
          <w:rFonts w:ascii="Times New Roman" w:cs="Times New Roman" w:eastAsia="Times New Roman" w:hAnsi="Times New Roman"/>
          <w:sz w:val="20"/>
          <w:szCs w:val="20"/>
          <w:b w:val="1"/>
          <w:bCs w:val="1"/>
          <w:i w:val="1"/>
          <w:iCs w:val="1"/>
          <w:color w:val="auto"/>
        </w:rPr>
        <w:t>Nature of Business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Destination XL Group, Inc. (collectively with its subsidiaries referred to as the “Company”) is the largest specialty retailer in the United States of big + tall men’s clothing and footwear. The Company operates under the trade names of Destination 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DXL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DXL</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Big</w:t>
      </w:r>
    </w:p>
    <w:p>
      <w:pPr>
        <w:spacing w:after="0" w:line="1" w:lineRule="exact"/>
        <w:rPr>
          <w:sz w:val="20"/>
          <w:szCs w:val="20"/>
          <w:color w:val="auto"/>
        </w:rPr>
      </w:pPr>
    </w:p>
    <w:p>
      <w:pPr>
        <w:jc w:val="both"/>
        <w:spacing w:after="0" w:line="259" w:lineRule="auto"/>
        <w:tabs>
          <w:tab w:leader="none" w:pos="15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Tall, DXL Men’s Apparel, DXL Outlets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Casual Male XL</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and Casual Male XL Outlets. At February 1, 2025, the Company operated 247 DXL stores, 7 Casual Male XL stores, 19 Casual Male XL outlets and 15 DXL outlets located throughout the United States, including an e-commerce site, www.dxl.com, and a mobile app.</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subsidiaries. All significant intercompany accounts, transactions and profits are eliminated.</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 xml:space="preserve">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consistent with its integrated commerce business approach. See Note M, </w:t>
      </w:r>
      <w:r>
        <w:rPr>
          <w:rFonts w:ascii="Times New Roman" w:cs="Times New Roman" w:eastAsia="Times New Roman" w:hAnsi="Times New Roman"/>
          <w:sz w:val="19"/>
          <w:szCs w:val="19"/>
          <w:i w:val="1"/>
          <w:iCs w:val="1"/>
          <w:color w:val="auto"/>
        </w:rPr>
        <w:t>Segment Disclosures</w:t>
      </w:r>
      <w:r>
        <w:rPr>
          <w:rFonts w:ascii="Times New Roman" w:cs="Times New Roman" w:eastAsia="Times New Roman" w:hAnsi="Times New Roman"/>
          <w:sz w:val="19"/>
          <w:szCs w:val="19"/>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fiscal year is a 52-week or 53-week period ending on the Saturday closest to January 31. Fiscal 2024 and fiscal 2022 were each 52-week periods, which ended on February 1, 2025 and January 28, 2023, respectively. Fiscal 2023 was a 53-week period, which ended on February 3, 2024.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Investments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Short-term investments consist of those investments that have a maturity date, when acquired, that is greater than three months and twelve months or less. These investments are classified as held-to-maturity and are carried at amortized cost, which approximates fair value due to the short period between purchase and maturity.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our cash and cash equivalents balances. In addition, its cash and cash equivalents and short-term investments include money market accounts with Citizens Bank, N.A. and investments in U.S. government-backed securities.</w:t>
      </w:r>
    </w:p>
    <w:p>
      <w:pPr>
        <w:sectPr>
          <w:pgSz w:w="11880" w:h="15480" w:orient="portrait"/>
          <w:cols w:equalWidth="0" w:num="1">
            <w:col w:w="10800"/>
          </w:cols>
          <w:pgMar w:left="540" w:top="653" w:right="54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653"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Accounts receivable primarily include amounts due for rebates from certain vendors. For fiscal 2024, fiscal 2023 and fiscal 2022, the Company did not incur any losses on its accounts receivable.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Accounting Standards Codification (“ASC”) Topic 825,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xml:space="preserve"> requires disclosure of the fair value of certain financial instruments. The carrying amounts of cash and cash equivalents, short-term investments, accounts receivable, accounts payable and accrued expenses approximate fair value because of the short maturity of these instruments. See Note K,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for information regarding the fair value of certain financial assets.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 xml:space="preserve">ASC Topic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xml:space="preserve"> defines fair value, establishes a framework for measuring fair value and enhances disclosures about fair value measurements.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120" w:lineRule="exact"/>
        <w:rPr>
          <w:sz w:val="20"/>
          <w:szCs w:val="20"/>
          <w:color w:val="auto"/>
        </w:rPr>
      </w:pPr>
    </w:p>
    <w:p>
      <w:pPr>
        <w:jc w:val="both"/>
        <w:ind w:left="480"/>
        <w:spacing w:after="0" w:line="259" w:lineRule="auto"/>
        <w:rPr>
          <w:sz w:val="20"/>
          <w:szCs w:val="20"/>
          <w:color w:val="auto"/>
        </w:rPr>
      </w:pPr>
      <w:r>
        <w:rPr>
          <w:rFonts w:ascii="Times New Roman" w:cs="Times New Roman" w:eastAsia="Times New Roman" w:hAnsi="Times New Roman"/>
          <w:sz w:val="20"/>
          <w:szCs w:val="20"/>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65" w:lineRule="exact"/>
        <w:rPr>
          <w:sz w:val="20"/>
          <w:szCs w:val="20"/>
          <w:color w:val="auto"/>
        </w:rPr>
      </w:pPr>
    </w:p>
    <w:p>
      <w:pPr>
        <w:jc w:val="both"/>
        <w:ind w:left="480"/>
        <w:spacing w:after="0" w:line="279"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assets or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utilizes observable market inputs (quoted market prices) when measuring fair value whenever possible.</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fair value hierarchy. See </w:t>
      </w:r>
      <w:r>
        <w:rPr>
          <w:rFonts w:ascii="Times New Roman" w:cs="Times New Roman" w:eastAsia="Times New Roman" w:hAnsi="Times New Roman"/>
          <w:sz w:val="20"/>
          <w:szCs w:val="20"/>
          <w:i w:val="1"/>
          <w:iCs w:val="1"/>
          <w:color w:val="auto"/>
        </w:rPr>
        <w:t>Impairment of Long-Lived Assets</w:t>
      </w:r>
      <w:r>
        <w:rPr>
          <w:rFonts w:ascii="Times New Roman" w:cs="Times New Roman" w:eastAsia="Times New Roman" w:hAnsi="Times New Roman"/>
          <w:sz w:val="20"/>
          <w:szCs w:val="20"/>
          <w:color w:val="auto"/>
        </w:rPr>
        <w:t xml:space="preserve"> below.</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inventories are valued at the lower of cost or market, using a weighted-average cost method.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pacing w:after="0" w:line="180" w:lineRule="exact"/>
        <w:rPr>
          <w:sz w:val="20"/>
          <w:szCs w:val="20"/>
          <w:color w:val="auto"/>
        </w:rPr>
      </w:pPr>
    </w:p>
    <w:p>
      <w:pPr>
        <w:ind w:left="640"/>
        <w:spacing w:after="0"/>
        <w:tabs>
          <w:tab w:leader="none" w:pos="5820" w:val="left"/>
        </w:tabs>
        <w:rPr>
          <w:sz w:val="20"/>
          <w:szCs w:val="20"/>
          <w:color w:val="auto"/>
        </w:rPr>
      </w:pPr>
      <w:r>
        <w:rPr>
          <w:rFonts w:ascii="Times New Roman" w:cs="Times New Roman" w:eastAsia="Times New Roman" w:hAnsi="Times New Roman"/>
          <w:sz w:val="20"/>
          <w:szCs w:val="20"/>
          <w:color w:val="auto"/>
        </w:rPr>
        <w:t>Furniture and fixtures</w:t>
      </w:r>
      <w:r>
        <w:rPr>
          <w:sz w:val="20"/>
          <w:szCs w:val="20"/>
          <w:color w:val="auto"/>
        </w:rPr>
        <w:tab/>
      </w:r>
      <w:r>
        <w:rPr>
          <w:rFonts w:ascii="Times New Roman" w:cs="Times New Roman" w:eastAsia="Times New Roman" w:hAnsi="Times New Roman"/>
          <w:sz w:val="19"/>
          <w:szCs w:val="19"/>
          <w:color w:val="auto"/>
        </w:rPr>
        <w:t>Five to ten years</w:t>
      </w:r>
    </w:p>
    <w:p>
      <w:pPr>
        <w:ind w:left="640"/>
        <w:spacing w:after="0"/>
        <w:tabs>
          <w:tab w:leader="none" w:pos="5820" w:val="left"/>
        </w:tabs>
        <w:rPr>
          <w:sz w:val="20"/>
          <w:szCs w:val="20"/>
          <w:color w:val="auto"/>
        </w:rPr>
      </w:pPr>
      <w:r>
        <w:rPr>
          <w:rFonts w:ascii="Times New Roman" w:cs="Times New Roman" w:eastAsia="Times New Roman" w:hAnsi="Times New Roman"/>
          <w:sz w:val="20"/>
          <w:szCs w:val="20"/>
          <w:color w:val="auto"/>
        </w:rPr>
        <w:t>Equipment</w:t>
      </w:r>
      <w:r>
        <w:rPr>
          <w:sz w:val="20"/>
          <w:szCs w:val="20"/>
          <w:color w:val="auto"/>
        </w:rPr>
        <w:tab/>
      </w:r>
      <w:r>
        <w:rPr>
          <w:rFonts w:ascii="Times New Roman" w:cs="Times New Roman" w:eastAsia="Times New Roman" w:hAnsi="Times New Roman"/>
          <w:sz w:val="20"/>
          <w:szCs w:val="20"/>
          <w:color w:val="auto"/>
        </w:rPr>
        <w:t>Five to ten years</w:t>
      </w:r>
    </w:p>
    <w:p>
      <w:pPr>
        <w:ind w:left="640"/>
        <w:spacing w:after="0"/>
        <w:tabs>
          <w:tab w:leader="none" w:pos="5820" w:val="left"/>
        </w:tabs>
        <w:rPr>
          <w:sz w:val="20"/>
          <w:szCs w:val="20"/>
          <w:color w:val="auto"/>
        </w:rPr>
      </w:pPr>
      <w:r>
        <w:rPr>
          <w:rFonts w:ascii="Times New Roman" w:cs="Times New Roman" w:eastAsia="Times New Roman" w:hAnsi="Times New Roman"/>
          <w:sz w:val="20"/>
          <w:szCs w:val="20"/>
          <w:color w:val="auto"/>
        </w:rPr>
        <w:t>Leasehold improvements</w:t>
      </w:r>
      <w:r>
        <w:rPr>
          <w:sz w:val="20"/>
          <w:szCs w:val="20"/>
          <w:color w:val="auto"/>
        </w:rPr>
        <w:tab/>
      </w:r>
      <w:r>
        <w:rPr>
          <w:rFonts w:ascii="Times New Roman" w:cs="Times New Roman" w:eastAsia="Times New Roman" w:hAnsi="Times New Roman"/>
          <w:sz w:val="19"/>
          <w:szCs w:val="19"/>
          <w:color w:val="auto"/>
        </w:rPr>
        <w:t>Lesser of useful lives or related lease term</w:t>
      </w:r>
    </w:p>
    <w:p>
      <w:pPr>
        <w:ind w:left="640"/>
        <w:spacing w:after="0"/>
        <w:tabs>
          <w:tab w:leader="none" w:pos="5820" w:val="left"/>
        </w:tabs>
        <w:rPr>
          <w:sz w:val="20"/>
          <w:szCs w:val="20"/>
          <w:color w:val="auto"/>
        </w:rPr>
      </w:pPr>
      <w:r>
        <w:rPr>
          <w:rFonts w:ascii="Times New Roman" w:cs="Times New Roman" w:eastAsia="Times New Roman" w:hAnsi="Times New Roman"/>
          <w:sz w:val="20"/>
          <w:szCs w:val="20"/>
          <w:color w:val="auto"/>
        </w:rPr>
        <w:t>Hardware and software</w:t>
      </w:r>
      <w:r>
        <w:rPr>
          <w:sz w:val="20"/>
          <w:szCs w:val="20"/>
          <w:color w:val="auto"/>
        </w:rPr>
        <w:tab/>
      </w:r>
      <w:r>
        <w:rPr>
          <w:rFonts w:ascii="Times New Roman" w:cs="Times New Roman" w:eastAsia="Times New Roman" w:hAnsi="Times New Roman"/>
          <w:sz w:val="19"/>
          <w:szCs w:val="19"/>
          <w:color w:val="auto"/>
        </w:rPr>
        <w:t>Three to seven years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Domain Name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w:t>
      </w:r>
    </w:p>
    <w:p>
      <w:pPr>
        <w:sectPr>
          <w:pgSz w:w="11880" w:h="15480" w:orient="portrait"/>
          <w:cols w:equalWidth="0" w:num="1">
            <w:col w:w="10800"/>
          </w:cols>
          <w:pgMar w:left="540" w:top="65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658" w:right="5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There were no deferred direct response costs at February 1, 2025 and February 3, 2024. Advertising expense, which is included in selling, general and administrative expenses, was $31.8 million, $30.9 million and $32.5 million for fiscal 2024, fiscal 2023 and fiscal 2022, respectively.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Company’s accounting policies with respect to revenue recognition are discussed in Note B, </w:t>
      </w:r>
      <w:r>
        <w:rPr>
          <w:rFonts w:ascii="Times New Roman" w:cs="Times New Roman" w:eastAsia="Times New Roman" w:hAnsi="Times New Roman"/>
          <w:sz w:val="20"/>
          <w:szCs w:val="20"/>
          <w:i w:val="1"/>
          <w:iCs w:val="1"/>
          <w:color w:val="auto"/>
        </w:rPr>
        <w:t>Revenue Recognition.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fiscal 2022, the Company closed its store located in Toronto, Canada. Assets and liabilities for this store were translated into U.S. dollars at the exchange rates in effect at each balance sheet date. Stockholders’ equity was translated at applicable historical exchange rates. Income, expense and cash flow items were translated at average exchange rates during the period. Resulting translation adjustments were reported as a separate component of stockholders’ equity. Accordingly, in the fourth quarter of fiscal 2022, the Company recognized $66,000 related to the accumulated foreign currency transaction adjustment. See “</w:t>
      </w:r>
      <w:r>
        <w:rPr>
          <w:rFonts w:ascii="Times New Roman" w:cs="Times New Roman" w:eastAsia="Times New Roman" w:hAnsi="Times New Roman"/>
          <w:sz w:val="20"/>
          <w:szCs w:val="20"/>
          <w:i w:val="1"/>
          <w:iCs w:val="1"/>
          <w:color w:val="auto"/>
        </w:rPr>
        <w:t>Accumulated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Comprehensive Income (Loss) – (“AOCI”)</w:t>
      </w:r>
      <w:r>
        <w:rPr>
          <w:rFonts w:ascii="Times New Roman" w:cs="Times New Roman" w:eastAsia="Times New Roman" w:hAnsi="Times New Roman"/>
          <w:sz w:val="20"/>
          <w:szCs w:val="20"/>
          <w:color w:val="auto"/>
        </w:rPr>
        <w:t>” below.</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Accumulated Other Comprehensive Income (Loss) – (“AOCI”)</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Other comprehensive income (loss) includes amounts related to foreign currency and pension plans and is reported in the Consolidated Statements of Comprehensive Income (Loss). In the fourth quarter of fiscal 2023, the Company terminated its frozen retirement plans, which was the only AOCI activity. As a result, there was no remaining AOCI as of February 3,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comprehensive income (loss) and reclassifications from AOCI for fiscal 2023 and fiscal 2022 were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4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shd w:val="clear" w:color="auto" w:fill="FEFEFE"/>
          </w:tcPr>
          <w:p>
            <w:pPr>
              <w:spacing w:after="0"/>
              <w:rPr>
                <w:sz w:val="17"/>
                <w:szCs w:val="17"/>
                <w:color w:val="auto"/>
              </w:rPr>
            </w:pPr>
          </w:p>
        </w:tc>
        <w:tc>
          <w:tcPr>
            <w:tcW w:w="1120" w:type="dxa"/>
            <w:vAlign w:val="bottom"/>
            <w:gridSpan w:val="3"/>
            <w:shd w:val="clear" w:color="auto" w:fill="FEFEFE"/>
          </w:tcPr>
          <w:p>
            <w:pPr>
              <w:jc w:val="center"/>
              <w:ind w:right="340"/>
              <w:spacing w:after="0"/>
              <w:rPr>
                <w:sz w:val="20"/>
                <w:szCs w:val="20"/>
                <w:color w:val="auto"/>
              </w:rPr>
            </w:pPr>
            <w:r>
              <w:rPr>
                <w:rFonts w:ascii="Times New Roman" w:cs="Times New Roman" w:eastAsia="Times New Roman" w:hAnsi="Times New Roman"/>
                <w:sz w:val="16"/>
                <w:szCs w:val="16"/>
                <w:color w:val="auto"/>
                <w:w w:val="99"/>
              </w:rPr>
              <w:t>Fiscal 2023</w:t>
            </w:r>
          </w:p>
        </w:tc>
        <w:tc>
          <w:tcPr>
            <w:tcW w:w="360" w:type="dxa"/>
            <w:vAlign w:val="bottom"/>
            <w:shd w:val="clear" w:color="auto" w:fill="FEFEFE"/>
          </w:tcPr>
          <w:p>
            <w:pPr>
              <w:spacing w:after="0"/>
              <w:rPr>
                <w:sz w:val="17"/>
                <w:szCs w:val="17"/>
                <w:color w:val="auto"/>
              </w:rPr>
            </w:pPr>
          </w:p>
        </w:tc>
        <w:tc>
          <w:tcPr>
            <w:tcW w:w="760" w:type="dxa"/>
            <w:vAlign w:val="bottom"/>
            <w:shd w:val="clear" w:color="auto" w:fill="FEFEFE"/>
          </w:tcPr>
          <w:p>
            <w:pPr>
              <w:spacing w:after="0"/>
              <w:rPr>
                <w:sz w:val="17"/>
                <w:szCs w:val="17"/>
                <w:color w:val="auto"/>
              </w:rPr>
            </w:pPr>
          </w:p>
        </w:tc>
        <w:tc>
          <w:tcPr>
            <w:tcW w:w="3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340" w:type="dxa"/>
            <w:vAlign w:val="bottom"/>
            <w:gridSpan w:val="2"/>
            <w:shd w:val="clear" w:color="auto" w:fill="FEFEFE"/>
          </w:tcPr>
          <w:p>
            <w:pPr>
              <w:jc w:val="right"/>
              <w:ind w:right="580"/>
              <w:spacing w:after="0"/>
              <w:rPr>
                <w:sz w:val="20"/>
                <w:szCs w:val="20"/>
                <w:color w:val="auto"/>
              </w:rPr>
            </w:pPr>
            <w:r>
              <w:rPr>
                <w:rFonts w:ascii="Times New Roman" w:cs="Times New Roman" w:eastAsia="Times New Roman" w:hAnsi="Times New Roman"/>
                <w:sz w:val="16"/>
                <w:szCs w:val="16"/>
                <w:color w:val="auto"/>
                <w:w w:val="99"/>
              </w:rPr>
              <w:t>Fiscal 2022</w:t>
            </w:r>
          </w:p>
        </w:tc>
        <w:tc>
          <w:tcPr>
            <w:tcW w:w="200" w:type="dxa"/>
            <w:vAlign w:val="bottom"/>
            <w:shd w:val="clear" w:color="auto" w:fill="FEFEFE"/>
          </w:tcPr>
          <w:p>
            <w:pPr>
              <w:spacing w:after="0"/>
              <w:rPr>
                <w:sz w:val="17"/>
                <w:szCs w:val="17"/>
                <w:color w:val="auto"/>
              </w:rPr>
            </w:pPr>
          </w:p>
        </w:tc>
        <w:tc>
          <w:tcPr>
            <w:tcW w:w="76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40" w:type="dxa"/>
            <w:vAlign w:val="bottom"/>
            <w:tcBorders>
              <w:top w:val="single" w:sz="8" w:color="FEFEFE"/>
            </w:tcBorders>
            <w:vMerge w:val="continue"/>
            <w:shd w:val="clear" w:color="auto" w:fill="FEFEFE"/>
          </w:tcPr>
          <w:p>
            <w:pPr>
              <w:spacing w:after="0"/>
              <w:rPr>
                <w:sz w:val="16"/>
                <w:szCs w:val="16"/>
                <w:color w:val="auto"/>
              </w:rPr>
            </w:pPr>
          </w:p>
        </w:tc>
        <w:tc>
          <w:tcPr>
            <w:tcW w:w="120" w:type="dxa"/>
            <w:vAlign w:val="bottom"/>
            <w:tcBorders>
              <w:top w:val="single" w:sz="8" w:color="auto"/>
            </w:tcBorders>
            <w:shd w:val="clear" w:color="auto" w:fill="FEFEFE"/>
          </w:tcPr>
          <w:p>
            <w:pPr>
              <w:spacing w:after="0"/>
              <w:rPr>
                <w:sz w:val="16"/>
                <w:szCs w:val="16"/>
                <w:color w:val="auto"/>
              </w:rPr>
            </w:pPr>
          </w:p>
        </w:tc>
        <w:tc>
          <w:tcPr>
            <w:tcW w:w="900" w:type="dxa"/>
            <w:vAlign w:val="bottom"/>
            <w:tcBorders>
              <w:top w:val="single" w:sz="8" w:color="auto"/>
            </w:tcBorders>
            <w:vMerge w:val="restart"/>
            <w:shd w:val="clear" w:color="auto" w:fill="FEFEFE"/>
          </w:tcPr>
          <w:p>
            <w:pPr>
              <w:jc w:val="center"/>
              <w:ind w:right="33"/>
              <w:spacing w:after="0"/>
              <w:rPr>
                <w:sz w:val="20"/>
                <w:szCs w:val="20"/>
                <w:color w:val="auto"/>
              </w:rPr>
            </w:pPr>
            <w:r>
              <w:rPr>
                <w:rFonts w:ascii="Times New Roman" w:cs="Times New Roman" w:eastAsia="Times New Roman" w:hAnsi="Times New Roman"/>
                <w:sz w:val="16"/>
                <w:szCs w:val="16"/>
                <w:color w:val="auto"/>
                <w:w w:val="98"/>
              </w:rPr>
              <w:t>Retirement</w:t>
            </w:r>
          </w:p>
        </w:tc>
        <w:tc>
          <w:tcPr>
            <w:tcW w:w="120" w:type="dxa"/>
            <w:vAlign w:val="bottom"/>
            <w:tcBorders>
              <w:top w:val="single" w:sz="8" w:color="FEFEFE"/>
            </w:tcBorders>
            <w:shd w:val="clear" w:color="auto" w:fill="FEFEFE"/>
          </w:tcPr>
          <w:p>
            <w:pPr>
              <w:spacing w:after="0"/>
              <w:rPr>
                <w:sz w:val="16"/>
                <w:szCs w:val="16"/>
                <w:color w:val="auto"/>
              </w:rPr>
            </w:pPr>
          </w:p>
        </w:tc>
        <w:tc>
          <w:tcPr>
            <w:tcW w:w="100" w:type="dxa"/>
            <w:vAlign w:val="bottom"/>
            <w:tcBorders>
              <w:top w:val="single" w:sz="8" w:color="FEFEFE"/>
            </w:tcBorders>
            <w:shd w:val="clear" w:color="auto" w:fill="FEFEFE"/>
          </w:tcPr>
          <w:p>
            <w:pPr>
              <w:spacing w:after="0"/>
              <w:rPr>
                <w:sz w:val="16"/>
                <w:szCs w:val="16"/>
                <w:color w:val="auto"/>
              </w:rPr>
            </w:pPr>
          </w:p>
        </w:tc>
        <w:tc>
          <w:tcPr>
            <w:tcW w:w="360" w:type="dxa"/>
            <w:vAlign w:val="bottom"/>
            <w:shd w:val="clear" w:color="auto" w:fill="FEFEFE"/>
          </w:tcPr>
          <w:p>
            <w:pPr>
              <w:spacing w:after="0"/>
              <w:rPr>
                <w:sz w:val="16"/>
                <w:szCs w:val="16"/>
                <w:color w:val="auto"/>
              </w:rPr>
            </w:pPr>
          </w:p>
        </w:tc>
        <w:tc>
          <w:tcPr>
            <w:tcW w:w="760" w:type="dxa"/>
            <w:vAlign w:val="bottom"/>
            <w:shd w:val="clear" w:color="auto" w:fill="FEFEFE"/>
          </w:tcPr>
          <w:p>
            <w:pPr>
              <w:spacing w:after="0"/>
              <w:rPr>
                <w:sz w:val="16"/>
                <w:szCs w:val="16"/>
                <w:color w:val="auto"/>
              </w:rPr>
            </w:pPr>
          </w:p>
        </w:tc>
        <w:tc>
          <w:tcPr>
            <w:tcW w:w="3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340" w:type="dxa"/>
            <w:vAlign w:val="bottom"/>
            <w:gridSpan w:val="2"/>
            <w:vMerge w:val="restart"/>
            <w:shd w:val="clear" w:color="auto" w:fill="FEFEFE"/>
          </w:tcPr>
          <w:p>
            <w:pPr>
              <w:jc w:val="right"/>
              <w:ind w:right="64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shd w:val="clear" w:color="auto" w:fill="FEFEFE"/>
          </w:tcPr>
          <w:p>
            <w:pPr>
              <w:spacing w:after="0"/>
              <w:rPr>
                <w:sz w:val="16"/>
                <w:szCs w:val="16"/>
                <w:color w:val="auto"/>
              </w:rPr>
            </w:pPr>
          </w:p>
        </w:tc>
        <w:tc>
          <w:tcPr>
            <w:tcW w:w="760" w:type="dxa"/>
            <w:vAlign w:val="bottom"/>
            <w:shd w:val="clear" w:color="auto" w:fill="FEFEFE"/>
          </w:tcPr>
          <w:p>
            <w:pPr>
              <w:spacing w:after="0"/>
              <w:rPr>
                <w:sz w:val="16"/>
                <w:szCs w:val="16"/>
                <w:color w:val="auto"/>
              </w:rPr>
            </w:pPr>
          </w:p>
        </w:tc>
        <w:tc>
          <w:tcPr>
            <w:tcW w:w="100" w:type="dxa"/>
            <w:vAlign w:val="bottom"/>
            <w:tcBorders>
              <w:top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4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00" w:type="dxa"/>
            <w:vAlign w:val="bottom"/>
            <w:vMerge w:val="continue"/>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36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3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340" w:type="dxa"/>
            <w:vAlign w:val="bottom"/>
            <w:gridSpan w:val="2"/>
            <w:vMerge w:val="continue"/>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900" w:type="dxa"/>
            <w:vAlign w:val="bottom"/>
            <w:shd w:val="clear" w:color="auto" w:fill="FEFEFE"/>
          </w:tcPr>
          <w:p>
            <w:pPr>
              <w:jc w:val="center"/>
              <w:ind w:right="33"/>
              <w:spacing w:after="0"/>
              <w:rPr>
                <w:sz w:val="20"/>
                <w:szCs w:val="20"/>
                <w:color w:val="auto"/>
              </w:rPr>
            </w:pPr>
            <w:r>
              <w:rPr>
                <w:rFonts w:ascii="Times New Roman" w:cs="Times New Roman" w:eastAsia="Times New Roman" w:hAnsi="Times New Roman"/>
                <w:sz w:val="16"/>
                <w:szCs w:val="16"/>
                <w:color w:val="auto"/>
                <w:w w:val="97"/>
              </w:rPr>
              <w:t>Plans</w:t>
            </w:r>
          </w:p>
        </w:tc>
        <w:tc>
          <w:tcPr>
            <w:tcW w:w="1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1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6"/>
                <w:szCs w:val="16"/>
                <w:color w:val="auto"/>
              </w:rPr>
              <w:t>Retirement Plans</w:t>
            </w:r>
          </w:p>
        </w:tc>
        <w:tc>
          <w:tcPr>
            <w:tcW w:w="3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340" w:type="dxa"/>
            <w:vAlign w:val="bottom"/>
            <w:gridSpan w:val="2"/>
            <w:shd w:val="clear" w:color="auto" w:fill="FEFEFE"/>
          </w:tcPr>
          <w:p>
            <w:pPr>
              <w:jc w:val="right"/>
              <w:ind w:right="580"/>
              <w:spacing w:after="0"/>
              <w:rPr>
                <w:sz w:val="20"/>
                <w:szCs w:val="20"/>
                <w:color w:val="auto"/>
              </w:rPr>
            </w:pPr>
            <w:r>
              <w:rPr>
                <w:rFonts w:ascii="Times New Roman" w:cs="Times New Roman" w:eastAsia="Times New Roman" w:hAnsi="Times New Roman"/>
                <w:sz w:val="16"/>
                <w:szCs w:val="16"/>
                <w:color w:val="auto"/>
              </w:rPr>
              <w:t>Currency</w:t>
            </w:r>
          </w:p>
        </w:tc>
        <w:tc>
          <w:tcPr>
            <w:tcW w:w="200" w:type="dxa"/>
            <w:vAlign w:val="bottom"/>
            <w:shd w:val="clear" w:color="auto" w:fill="FEFEFE"/>
          </w:tcPr>
          <w:p>
            <w:pPr>
              <w:spacing w:after="0"/>
              <w:rPr>
                <w:sz w:val="17"/>
                <w:szCs w:val="17"/>
                <w:color w:val="auto"/>
              </w:rPr>
            </w:pPr>
          </w:p>
        </w:tc>
        <w:tc>
          <w:tcPr>
            <w:tcW w:w="760" w:type="dxa"/>
            <w:vAlign w:val="bottom"/>
            <w:shd w:val="clear" w:color="auto" w:fill="FEFEFE"/>
          </w:tcPr>
          <w:p>
            <w:pPr>
              <w:jc w:val="right"/>
              <w:ind w:right="231"/>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12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tcBorders>
              <w:top w:val="single" w:sz="8" w:color="E7E7E3"/>
            </w:tcBorders>
            <w:shd w:val="clear" w:color="auto" w:fill="E7E7E3"/>
          </w:tcPr>
          <w:p>
            <w:pPr>
              <w:spacing w:after="0"/>
              <w:rPr>
                <w:sz w:val="18"/>
                <w:szCs w:val="18"/>
                <w:color w:val="auto"/>
              </w:rPr>
            </w:pPr>
          </w:p>
        </w:tc>
        <w:tc>
          <w:tcPr>
            <w:tcW w:w="100" w:type="dxa"/>
            <w:vAlign w:val="bottom"/>
            <w:tcBorders>
              <w:top w:val="single" w:sz="8" w:color="E7E7E3"/>
            </w:tcBorders>
            <w:shd w:val="clear" w:color="auto" w:fill="E7E7E3"/>
          </w:tcPr>
          <w:p>
            <w:pPr>
              <w:spacing w:after="0"/>
              <w:rPr>
                <w:sz w:val="18"/>
                <w:szCs w:val="18"/>
                <w:color w:val="auto"/>
              </w:rPr>
            </w:pPr>
          </w:p>
        </w:tc>
        <w:tc>
          <w:tcPr>
            <w:tcW w:w="360" w:type="dxa"/>
            <w:vAlign w:val="bottom"/>
            <w:tcBorders>
              <w:top w:val="single" w:sz="8" w:color="auto"/>
            </w:tcBorders>
            <w:shd w:val="clear" w:color="auto" w:fill="E7E7E3"/>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300" w:type="dxa"/>
            <w:vAlign w:val="bottom"/>
            <w:tcBorders>
              <w:top w:val="single" w:sz="8" w:color="E7E7E3"/>
            </w:tcBorders>
            <w:shd w:val="clear" w:color="auto" w:fill="E7E7E3"/>
          </w:tcPr>
          <w:p>
            <w:pPr>
              <w:spacing w:after="0"/>
              <w:rPr>
                <w:sz w:val="18"/>
                <w:szCs w:val="18"/>
                <w:color w:val="auto"/>
              </w:rPr>
            </w:pPr>
          </w:p>
        </w:tc>
        <w:tc>
          <w:tcPr>
            <w:tcW w:w="1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top w:val="single" w:sz="8" w:color="E7E7E3"/>
            </w:tcBorders>
            <w:shd w:val="clear" w:color="auto" w:fill="E7E7E3"/>
          </w:tcPr>
          <w:p>
            <w:pPr>
              <w:spacing w:after="0"/>
              <w:rPr>
                <w:sz w:val="18"/>
                <w:szCs w:val="18"/>
                <w:color w:val="auto"/>
              </w:rPr>
            </w:pPr>
          </w:p>
        </w:tc>
        <w:tc>
          <w:tcPr>
            <w:tcW w:w="200" w:type="dxa"/>
            <w:vAlign w:val="bottom"/>
            <w:tcBorders>
              <w:top w:val="single" w:sz="8" w:color="auto"/>
            </w:tcBorders>
            <w:shd w:val="clear" w:color="auto" w:fill="E7E7E3"/>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top w:val="single" w:sz="8" w:color="E7E7E3"/>
            </w:tcBorders>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9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E7E7E3"/>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E7E7E3"/>
          </w:tcPr>
          <w:p>
            <w:pPr>
              <w:spacing w:after="0"/>
              <w:rPr>
                <w:sz w:val="17"/>
                <w:szCs w:val="17"/>
                <w:color w:val="auto"/>
              </w:rPr>
            </w:pPr>
          </w:p>
        </w:tc>
        <w:tc>
          <w:tcPr>
            <w:tcW w:w="9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36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04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E7E7E3"/>
          </w:tcPr>
          <w:p>
            <w:pPr>
              <w:ind w:left="140"/>
              <w:spacing w:after="0"/>
              <w:rPr>
                <w:sz w:val="20"/>
                <w:szCs w:val="20"/>
                <w:color w:val="auto"/>
              </w:rPr>
            </w:pPr>
            <w:r>
              <w:rPr>
                <w:rFonts w:ascii="Times New Roman" w:cs="Times New Roman" w:eastAsia="Times New Roman" w:hAnsi="Times New Roman"/>
                <w:sz w:val="18"/>
                <w:szCs w:val="18"/>
                <w:color w:val="auto"/>
              </w:rPr>
              <w:t>before reclassifications, net of taxes</w:t>
            </w:r>
          </w:p>
        </w:tc>
        <w:tc>
          <w:tcPr>
            <w:tcW w:w="120" w:type="dxa"/>
            <w:vAlign w:val="bottom"/>
            <w:shd w:val="clear" w:color="auto" w:fill="E7E7E3"/>
          </w:tcPr>
          <w:p>
            <w:pPr>
              <w:spacing w:after="0"/>
              <w:rPr>
                <w:sz w:val="19"/>
                <w:szCs w:val="19"/>
                <w:color w:val="auto"/>
              </w:rPr>
            </w:pPr>
          </w:p>
        </w:tc>
        <w:tc>
          <w:tcPr>
            <w:tcW w:w="102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E7E7E3"/>
          </w:tcPr>
          <w:p>
            <w:pPr>
              <w:spacing w:after="0"/>
              <w:rPr>
                <w:sz w:val="19"/>
                <w:szCs w:val="19"/>
                <w:color w:val="auto"/>
              </w:rPr>
            </w:pPr>
          </w:p>
        </w:tc>
        <w:tc>
          <w:tcPr>
            <w:tcW w:w="360" w:type="dxa"/>
            <w:vAlign w:val="bottom"/>
            <w:shd w:val="clear" w:color="auto" w:fill="E7E7E3"/>
          </w:tcPr>
          <w:p>
            <w:pPr>
              <w:spacing w:after="0"/>
              <w:rPr>
                <w:sz w:val="19"/>
                <w:szCs w:val="19"/>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340" w:type="dxa"/>
            <w:vAlign w:val="bottom"/>
            <w:gridSpan w:val="2"/>
            <w:shd w:val="clear" w:color="auto" w:fill="E7E7E3"/>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E7E7E3"/>
          </w:tcPr>
          <w:p>
            <w:pPr>
              <w:spacing w:after="0"/>
              <w:rPr>
                <w:sz w:val="19"/>
                <w:szCs w:val="19"/>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9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1060" w:type="dxa"/>
            <w:vAlign w:val="bottom"/>
            <w:gridSpan w:val="2"/>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340" w:type="dxa"/>
            <w:vAlign w:val="bottom"/>
            <w:gridSpan w:val="2"/>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860" w:type="dxa"/>
            <w:vAlign w:val="bottom"/>
            <w:gridSpan w:val="2"/>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E7E7E3"/>
          </w:tcPr>
          <w:p>
            <w:pPr>
              <w:spacing w:after="0"/>
              <w:rPr>
                <w:sz w:val="20"/>
                <w:szCs w:val="20"/>
                <w:color w:val="auto"/>
              </w:rPr>
            </w:pPr>
            <w:r>
              <w:rPr>
                <w:rFonts w:ascii="Times New Roman" w:cs="Times New Roman" w:eastAsia="Times New Roman" w:hAnsi="Times New Roman"/>
                <w:sz w:val="18"/>
                <w:szCs w:val="18"/>
                <w:color w:val="auto"/>
              </w:rPr>
              <w:t xml:space="preserve">Recognition of loss on retirement plan terminations, net of taxes </w:t>
            </w:r>
            <w:r>
              <w:rPr>
                <w:rFonts w:ascii="Times New Roman" w:cs="Times New Roman" w:eastAsia="Times New Roman" w:hAnsi="Times New Roman"/>
                <w:sz w:val="12"/>
                <w:szCs w:val="12"/>
                <w:color w:val="auto"/>
              </w:rPr>
              <w:t>(1)</w:t>
            </w:r>
          </w:p>
        </w:tc>
        <w:tc>
          <w:tcPr>
            <w:tcW w:w="120" w:type="dxa"/>
            <w:vAlign w:val="bottom"/>
            <w:shd w:val="clear" w:color="auto" w:fill="E7E7E3"/>
          </w:tcPr>
          <w:p>
            <w:pPr>
              <w:spacing w:after="0"/>
              <w:rPr>
                <w:sz w:val="19"/>
                <w:szCs w:val="19"/>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360" w:type="dxa"/>
            <w:vAlign w:val="bottom"/>
            <w:shd w:val="clear" w:color="auto" w:fill="E7E7E3"/>
          </w:tcPr>
          <w:p>
            <w:pPr>
              <w:spacing w:after="0"/>
              <w:rPr>
                <w:sz w:val="19"/>
                <w:szCs w:val="19"/>
                <w:color w:val="auto"/>
              </w:rPr>
            </w:pPr>
          </w:p>
        </w:tc>
        <w:tc>
          <w:tcPr>
            <w:tcW w:w="1060" w:type="dxa"/>
            <w:vAlign w:val="bottom"/>
            <w:gridSpan w:val="2"/>
            <w:shd w:val="clear" w:color="auto" w:fill="E7E7E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7E7E3"/>
          </w:tcPr>
          <w:p>
            <w:pPr>
              <w:spacing w:after="0"/>
              <w:rPr>
                <w:sz w:val="19"/>
                <w:szCs w:val="19"/>
                <w:color w:val="auto"/>
              </w:rPr>
            </w:pPr>
          </w:p>
        </w:tc>
        <w:tc>
          <w:tcPr>
            <w:tcW w:w="1340" w:type="dxa"/>
            <w:vAlign w:val="bottom"/>
            <w:gridSpan w:val="2"/>
            <w:shd w:val="clear" w:color="auto" w:fill="E7E7E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7E7E3"/>
          </w:tcPr>
          <w:p>
            <w:pPr>
              <w:spacing w:after="0"/>
              <w:rPr>
                <w:sz w:val="19"/>
                <w:szCs w:val="19"/>
                <w:color w:val="auto"/>
              </w:rPr>
            </w:pPr>
          </w:p>
        </w:tc>
        <w:tc>
          <w:tcPr>
            <w:tcW w:w="86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20" w:type="dxa"/>
            <w:vAlign w:val="bottom"/>
            <w:gridSpan w:val="3"/>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1060" w:type="dxa"/>
            <w:vAlign w:val="bottom"/>
            <w:gridSpan w:val="2"/>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E7E7E3"/>
          </w:tcPr>
          <w:p>
            <w:pPr>
              <w:spacing w:after="0"/>
              <w:rPr>
                <w:sz w:val="20"/>
                <w:szCs w:val="20"/>
                <w:color w:val="auto"/>
              </w:rPr>
            </w:pPr>
            <w:r>
              <w:rPr>
                <w:rFonts w:ascii="Times New Roman" w:cs="Times New Roman" w:eastAsia="Times New Roman" w:hAnsi="Times New Roman"/>
                <w:sz w:val="18"/>
                <w:szCs w:val="18"/>
                <w:color w:val="auto"/>
              </w:rPr>
              <w:t xml:space="preserve">Recognition of accumulated foreign currency translation adjustment </w:t>
            </w:r>
            <w:r>
              <w:rPr>
                <w:rFonts w:ascii="Times New Roman" w:cs="Times New Roman" w:eastAsia="Times New Roman" w:hAnsi="Times New Roman"/>
                <w:sz w:val="12"/>
                <w:szCs w:val="12"/>
                <w:color w:val="auto"/>
              </w:rPr>
              <w:t>(2)</w:t>
            </w:r>
          </w:p>
        </w:tc>
        <w:tc>
          <w:tcPr>
            <w:tcW w:w="120" w:type="dxa"/>
            <w:vAlign w:val="bottom"/>
            <w:shd w:val="clear" w:color="auto" w:fill="E7E7E3"/>
          </w:tcPr>
          <w:p>
            <w:pPr>
              <w:spacing w:after="0"/>
              <w:rPr>
                <w:sz w:val="19"/>
                <w:szCs w:val="19"/>
                <w:color w:val="auto"/>
              </w:rPr>
            </w:pPr>
          </w:p>
        </w:tc>
        <w:tc>
          <w:tcPr>
            <w:tcW w:w="1120" w:type="dxa"/>
            <w:vAlign w:val="bottom"/>
            <w:gridSpan w:val="3"/>
            <w:shd w:val="clear" w:color="auto" w:fill="E7E7E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7E7E3"/>
          </w:tcPr>
          <w:p>
            <w:pPr>
              <w:spacing w:after="0"/>
              <w:rPr>
                <w:sz w:val="19"/>
                <w:szCs w:val="19"/>
                <w:color w:val="auto"/>
              </w:rPr>
            </w:pPr>
          </w:p>
        </w:tc>
        <w:tc>
          <w:tcPr>
            <w:tcW w:w="1060" w:type="dxa"/>
            <w:vAlign w:val="bottom"/>
            <w:gridSpan w:val="2"/>
            <w:shd w:val="clear" w:color="auto" w:fill="E7E7E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7E7E3"/>
          </w:tcPr>
          <w:p>
            <w:pPr>
              <w:spacing w:after="0"/>
              <w:rPr>
                <w:sz w:val="19"/>
                <w:szCs w:val="19"/>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9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0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E7E7E3"/>
          </w:tcPr>
          <w:p>
            <w:pPr>
              <w:spacing w:after="0" w:line="202"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120" w:type="dxa"/>
            <w:vAlign w:val="bottom"/>
            <w:shd w:val="clear" w:color="auto" w:fill="E7E7E3"/>
          </w:tcPr>
          <w:p>
            <w:pPr>
              <w:spacing w:after="0"/>
              <w:rPr>
                <w:sz w:val="17"/>
                <w:szCs w:val="17"/>
                <w:color w:val="auto"/>
              </w:rPr>
            </w:pPr>
          </w:p>
        </w:tc>
        <w:tc>
          <w:tcPr>
            <w:tcW w:w="9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36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04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E7E7E3"/>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E7E7E3"/>
          </w:tcPr>
          <w:p>
            <w:pPr>
              <w:spacing w:after="0"/>
              <w:rPr>
                <w:sz w:val="17"/>
                <w:szCs w:val="17"/>
                <w:color w:val="auto"/>
              </w:rPr>
            </w:pPr>
          </w:p>
        </w:tc>
        <w:tc>
          <w:tcPr>
            <w:tcW w:w="9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36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04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E7E7E3"/>
          </w:tcPr>
          <w:p>
            <w:pPr>
              <w:ind w:left="140"/>
              <w:spacing w:after="0"/>
              <w:rPr>
                <w:sz w:val="20"/>
                <w:szCs w:val="20"/>
                <w:color w:val="auto"/>
              </w:rPr>
            </w:pPr>
            <w:r>
              <w:rPr>
                <w:rFonts w:ascii="Times New Roman" w:cs="Times New Roman" w:eastAsia="Times New Roman" w:hAnsi="Times New Roman"/>
                <w:sz w:val="18"/>
                <w:szCs w:val="18"/>
                <w:color w:val="auto"/>
              </w:rPr>
              <w:t xml:space="preserve">net of taxes </w:t>
            </w:r>
            <w:r>
              <w:rPr>
                <w:rFonts w:ascii="Times New Roman" w:cs="Times New Roman" w:eastAsia="Times New Roman" w:hAnsi="Times New Roman"/>
                <w:sz w:val="12"/>
                <w:szCs w:val="12"/>
                <w:color w:val="auto"/>
              </w:rPr>
              <w:t>(3)</w:t>
            </w:r>
          </w:p>
        </w:tc>
        <w:tc>
          <w:tcPr>
            <w:tcW w:w="120" w:type="dxa"/>
            <w:vAlign w:val="bottom"/>
            <w:shd w:val="clear" w:color="auto" w:fill="E7E7E3"/>
          </w:tcPr>
          <w:p>
            <w:pPr>
              <w:spacing w:after="0"/>
              <w:rPr>
                <w:sz w:val="19"/>
                <w:szCs w:val="19"/>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360" w:type="dxa"/>
            <w:vAlign w:val="bottom"/>
            <w:shd w:val="clear" w:color="auto" w:fill="E7E7E3"/>
          </w:tcPr>
          <w:p>
            <w:pPr>
              <w:spacing w:after="0"/>
              <w:rPr>
                <w:sz w:val="19"/>
                <w:szCs w:val="19"/>
                <w:color w:val="auto"/>
              </w:rPr>
            </w:pPr>
          </w:p>
        </w:tc>
        <w:tc>
          <w:tcPr>
            <w:tcW w:w="1060" w:type="dxa"/>
            <w:vAlign w:val="bottom"/>
            <w:gridSpan w:val="2"/>
            <w:shd w:val="clear" w:color="auto" w:fill="E7E7E3"/>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E7E7E3"/>
          </w:tcPr>
          <w:p>
            <w:pPr>
              <w:spacing w:after="0"/>
              <w:rPr>
                <w:sz w:val="19"/>
                <w:szCs w:val="19"/>
                <w:color w:val="auto"/>
              </w:rPr>
            </w:pPr>
          </w:p>
        </w:tc>
        <w:tc>
          <w:tcPr>
            <w:tcW w:w="1340" w:type="dxa"/>
            <w:vAlign w:val="bottom"/>
            <w:gridSpan w:val="2"/>
            <w:shd w:val="clear" w:color="auto" w:fill="E7E7E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7E7E3"/>
          </w:tcPr>
          <w:p>
            <w:pPr>
              <w:spacing w:after="0"/>
              <w:rPr>
                <w:sz w:val="19"/>
                <w:szCs w:val="19"/>
                <w:color w:val="auto"/>
              </w:rPr>
            </w:pPr>
          </w:p>
        </w:tc>
        <w:tc>
          <w:tcPr>
            <w:tcW w:w="8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1"/>
        </w:trPr>
        <w:tc>
          <w:tcPr>
            <w:tcW w:w="5640" w:type="dxa"/>
            <w:vAlign w:val="bottom"/>
            <w:tcBorders>
              <w:top w:val="single" w:sz="8" w:color="FEFEFE"/>
            </w:tcBorders>
            <w:shd w:val="clear" w:color="auto" w:fill="FEFEFE"/>
          </w:tcPr>
          <w:p>
            <w:pPr>
              <w:spacing w:after="0"/>
              <w:rPr>
                <w:sz w:val="18"/>
                <w:szCs w:val="18"/>
                <w:color w:val="auto"/>
              </w:rPr>
            </w:pPr>
          </w:p>
        </w:tc>
        <w:tc>
          <w:tcPr>
            <w:tcW w:w="120" w:type="dxa"/>
            <w:vAlign w:val="bottom"/>
            <w:tcBorders>
              <w:top w:val="single" w:sz="8" w:color="auto"/>
            </w:tcBorders>
            <w:shd w:val="clear" w:color="auto" w:fill="FEFEFE"/>
          </w:tcPr>
          <w:p>
            <w:pPr>
              <w:spacing w:after="0"/>
              <w:rPr>
                <w:sz w:val="18"/>
                <w:szCs w:val="18"/>
                <w:color w:val="auto"/>
              </w:rPr>
            </w:pPr>
          </w:p>
        </w:tc>
        <w:tc>
          <w:tcPr>
            <w:tcW w:w="900" w:type="dxa"/>
            <w:vAlign w:val="bottom"/>
            <w:tcBorders>
              <w:top w:val="single" w:sz="8" w:color="auto"/>
            </w:tcBorders>
            <w:shd w:val="clear" w:color="auto" w:fill="FEFEFE"/>
          </w:tcPr>
          <w:p>
            <w:pPr>
              <w:spacing w:after="0"/>
              <w:rPr>
                <w:sz w:val="18"/>
                <w:szCs w:val="18"/>
                <w:color w:val="auto"/>
              </w:rPr>
            </w:pPr>
          </w:p>
        </w:tc>
        <w:tc>
          <w:tcPr>
            <w:tcW w:w="120" w:type="dxa"/>
            <w:vAlign w:val="bottom"/>
            <w:tcBorders>
              <w:top w:val="single" w:sz="8" w:color="FEFEFE"/>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360" w:type="dxa"/>
            <w:vAlign w:val="bottom"/>
            <w:tcBorders>
              <w:top w:val="single" w:sz="8" w:color="auto"/>
            </w:tcBorders>
            <w:shd w:val="clear" w:color="auto" w:fill="FEFEFE"/>
          </w:tcPr>
          <w:p>
            <w:pPr>
              <w:spacing w:after="0"/>
              <w:rPr>
                <w:sz w:val="18"/>
                <w:szCs w:val="18"/>
                <w:color w:val="auto"/>
              </w:rPr>
            </w:pPr>
          </w:p>
        </w:tc>
        <w:tc>
          <w:tcPr>
            <w:tcW w:w="760" w:type="dxa"/>
            <w:vAlign w:val="bottom"/>
            <w:tcBorders>
              <w:top w:val="single" w:sz="8" w:color="auto"/>
            </w:tcBorders>
            <w:shd w:val="clear" w:color="auto" w:fill="FEFEFE"/>
          </w:tcPr>
          <w:p>
            <w:pPr>
              <w:spacing w:after="0"/>
              <w:rPr>
                <w:sz w:val="18"/>
                <w:szCs w:val="18"/>
                <w:color w:val="auto"/>
              </w:rPr>
            </w:pPr>
          </w:p>
        </w:tc>
        <w:tc>
          <w:tcPr>
            <w:tcW w:w="300" w:type="dxa"/>
            <w:vAlign w:val="bottom"/>
            <w:tcBorders>
              <w:top w:val="single" w:sz="8" w:color="FEFEFE"/>
            </w:tcBorders>
            <w:shd w:val="clear" w:color="auto" w:fill="FEFEFE"/>
          </w:tcPr>
          <w:p>
            <w:pPr>
              <w:spacing w:after="0"/>
              <w:rPr>
                <w:sz w:val="18"/>
                <w:szCs w:val="18"/>
                <w:color w:val="auto"/>
              </w:rPr>
            </w:pPr>
          </w:p>
        </w:tc>
        <w:tc>
          <w:tcPr>
            <w:tcW w:w="100" w:type="dxa"/>
            <w:vAlign w:val="bottom"/>
            <w:tcBorders>
              <w:top w:val="single" w:sz="8" w:color="auto"/>
            </w:tcBorders>
            <w:shd w:val="clear" w:color="auto" w:fill="FEFEFE"/>
          </w:tcPr>
          <w:p>
            <w:pPr>
              <w:spacing w:after="0"/>
              <w:rPr>
                <w:sz w:val="18"/>
                <w:szCs w:val="18"/>
                <w:color w:val="auto"/>
              </w:rPr>
            </w:pPr>
          </w:p>
        </w:tc>
        <w:tc>
          <w:tcPr>
            <w:tcW w:w="1040" w:type="dxa"/>
            <w:vAlign w:val="bottom"/>
            <w:tcBorders>
              <w:top w:val="single" w:sz="8" w:color="auto"/>
            </w:tcBorders>
            <w:shd w:val="clear" w:color="auto" w:fill="FEFEFE"/>
          </w:tcPr>
          <w:p>
            <w:pPr>
              <w:spacing w:after="0"/>
              <w:rPr>
                <w:sz w:val="18"/>
                <w:szCs w:val="18"/>
                <w:color w:val="auto"/>
              </w:rPr>
            </w:pPr>
          </w:p>
        </w:tc>
        <w:tc>
          <w:tcPr>
            <w:tcW w:w="300" w:type="dxa"/>
            <w:vAlign w:val="bottom"/>
            <w:tcBorders>
              <w:top w:val="single" w:sz="8" w:color="FEFEFE"/>
            </w:tcBorders>
            <w:shd w:val="clear" w:color="auto" w:fill="FEFEFE"/>
          </w:tcPr>
          <w:p>
            <w:pPr>
              <w:spacing w:after="0"/>
              <w:rPr>
                <w:sz w:val="18"/>
                <w:szCs w:val="18"/>
                <w:color w:val="auto"/>
              </w:rPr>
            </w:pPr>
          </w:p>
        </w:tc>
        <w:tc>
          <w:tcPr>
            <w:tcW w:w="200" w:type="dxa"/>
            <w:vAlign w:val="bottom"/>
            <w:tcBorders>
              <w:top w:val="single" w:sz="8" w:color="auto"/>
            </w:tcBorders>
            <w:shd w:val="clear" w:color="auto" w:fill="FEFEFE"/>
          </w:tcPr>
          <w:p>
            <w:pPr>
              <w:spacing w:after="0"/>
              <w:rPr>
                <w:sz w:val="18"/>
                <w:szCs w:val="18"/>
                <w:color w:val="auto"/>
              </w:rPr>
            </w:pPr>
          </w:p>
        </w:tc>
        <w:tc>
          <w:tcPr>
            <w:tcW w:w="76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E7E7E3"/>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E7E7E3"/>
          </w:tcPr>
          <w:p>
            <w:pPr>
              <w:spacing w:after="0"/>
              <w:rPr>
                <w:sz w:val="17"/>
                <w:szCs w:val="17"/>
                <w:color w:val="auto"/>
              </w:rPr>
            </w:pPr>
          </w:p>
        </w:tc>
        <w:tc>
          <w:tcPr>
            <w:tcW w:w="90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36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1040" w:type="dxa"/>
            <w:vAlign w:val="bottom"/>
            <w:shd w:val="clear" w:color="auto" w:fill="E7E7E3"/>
          </w:tcPr>
          <w:p>
            <w:pPr>
              <w:spacing w:after="0"/>
              <w:rPr>
                <w:sz w:val="17"/>
                <w:szCs w:val="17"/>
                <w:color w:val="auto"/>
              </w:rPr>
            </w:pPr>
          </w:p>
        </w:tc>
        <w:tc>
          <w:tcPr>
            <w:tcW w:w="300" w:type="dxa"/>
            <w:vAlign w:val="bottom"/>
            <w:shd w:val="clear" w:color="auto" w:fill="E7E7E3"/>
          </w:tcPr>
          <w:p>
            <w:pPr>
              <w:spacing w:after="0"/>
              <w:rPr>
                <w:sz w:val="17"/>
                <w:szCs w:val="17"/>
                <w:color w:val="auto"/>
              </w:rPr>
            </w:pPr>
          </w:p>
        </w:tc>
        <w:tc>
          <w:tcPr>
            <w:tcW w:w="200" w:type="dxa"/>
            <w:vAlign w:val="bottom"/>
            <w:shd w:val="clear" w:color="auto" w:fill="E7E7E3"/>
          </w:tcPr>
          <w:p>
            <w:pPr>
              <w:spacing w:after="0"/>
              <w:rPr>
                <w:sz w:val="17"/>
                <w:szCs w:val="17"/>
                <w:color w:val="auto"/>
              </w:rPr>
            </w:pPr>
          </w:p>
        </w:tc>
        <w:tc>
          <w:tcPr>
            <w:tcW w:w="76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E7E7E3"/>
          </w:tcPr>
          <w:p>
            <w:pPr>
              <w:ind w:left="140"/>
              <w:spacing w:after="0"/>
              <w:rPr>
                <w:sz w:val="20"/>
                <w:szCs w:val="20"/>
                <w:color w:val="auto"/>
              </w:rPr>
            </w:pPr>
            <w:r>
              <w:rPr>
                <w:rFonts w:ascii="Times New Roman" w:cs="Times New Roman" w:eastAsia="Times New Roman" w:hAnsi="Times New Roman"/>
                <w:sz w:val="18"/>
                <w:szCs w:val="18"/>
                <w:color w:val="auto"/>
              </w:rPr>
              <w:t>(loss) for the period</w:t>
            </w:r>
          </w:p>
        </w:tc>
        <w:tc>
          <w:tcPr>
            <w:tcW w:w="120" w:type="dxa"/>
            <w:vAlign w:val="bottom"/>
            <w:shd w:val="clear" w:color="auto" w:fill="E7E7E3"/>
          </w:tcPr>
          <w:p>
            <w:pPr>
              <w:spacing w:after="0"/>
              <w:rPr>
                <w:sz w:val="19"/>
                <w:szCs w:val="19"/>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360" w:type="dxa"/>
            <w:vAlign w:val="bottom"/>
            <w:shd w:val="clear" w:color="auto" w:fill="E7E7E3"/>
          </w:tcPr>
          <w:p>
            <w:pPr>
              <w:spacing w:after="0"/>
              <w:rPr>
                <w:sz w:val="19"/>
                <w:szCs w:val="19"/>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20" w:type="dxa"/>
            <w:vAlign w:val="bottom"/>
            <w:gridSpan w:val="3"/>
            <w:shd w:val="clear" w:color="auto" w:fill="FEFEFE"/>
          </w:tcPr>
          <w:p>
            <w:pPr>
              <w:spacing w:after="0"/>
              <w:rPr>
                <w:sz w:val="19"/>
                <w:szCs w:val="19"/>
                <w:color w:val="auto"/>
              </w:rPr>
            </w:pPr>
          </w:p>
        </w:tc>
        <w:tc>
          <w:tcPr>
            <w:tcW w:w="360" w:type="dxa"/>
            <w:vAlign w:val="bottom"/>
            <w:shd w:val="clear" w:color="auto" w:fill="FEFEFE"/>
          </w:tcPr>
          <w:p>
            <w:pPr>
              <w:spacing w:after="0"/>
              <w:rPr>
                <w:sz w:val="19"/>
                <w:szCs w:val="19"/>
                <w:color w:val="auto"/>
              </w:rPr>
            </w:pPr>
          </w:p>
        </w:tc>
        <w:tc>
          <w:tcPr>
            <w:tcW w:w="1060" w:type="dxa"/>
            <w:vAlign w:val="bottom"/>
            <w:gridSpan w:val="2"/>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340" w:type="dxa"/>
            <w:vAlign w:val="bottom"/>
            <w:gridSpan w:val="2"/>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860" w:type="dxa"/>
            <w:vAlign w:val="bottom"/>
            <w:gridSpan w:val="2"/>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1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7E7E3"/>
            </w:tcBorders>
            <w:gridSpan w:val="2"/>
            <w:shd w:val="clear" w:color="auto" w:fill="E7E7E3"/>
          </w:tcPr>
          <w:p>
            <w:pPr>
              <w:spacing w:after="0"/>
              <w:rPr>
                <w:sz w:val="18"/>
                <w:szCs w:val="18"/>
                <w:color w:val="auto"/>
              </w:rPr>
            </w:pPr>
          </w:p>
        </w:tc>
        <w:tc>
          <w:tcPr>
            <w:tcW w:w="36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300" w:type="dxa"/>
            <w:vAlign w:val="bottom"/>
            <w:tcBorders>
              <w:top w:val="single" w:sz="8" w:color="E7E7E3"/>
            </w:tcBorders>
            <w:shd w:val="clear" w:color="auto" w:fill="E7E7E3"/>
          </w:tcPr>
          <w:p>
            <w:pPr>
              <w:spacing w:after="0"/>
              <w:rPr>
                <w:sz w:val="18"/>
                <w:szCs w:val="18"/>
                <w:color w:val="auto"/>
              </w:rPr>
            </w:pPr>
          </w:p>
        </w:tc>
        <w:tc>
          <w:tcPr>
            <w:tcW w:w="1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7E7E3"/>
            </w:tcBorders>
            <w:shd w:val="clear" w:color="auto" w:fill="E7E7E3"/>
          </w:tcPr>
          <w:p>
            <w:pPr>
              <w:spacing w:after="0"/>
              <w:rPr>
                <w:sz w:val="18"/>
                <w:szCs w:val="18"/>
                <w:color w:val="auto"/>
              </w:rPr>
            </w:pPr>
          </w:p>
        </w:tc>
        <w:tc>
          <w:tcPr>
            <w:tcW w:w="200" w:type="dxa"/>
            <w:vAlign w:val="bottom"/>
            <w:tcBorders>
              <w:top w:val="single" w:sz="8" w:color="auto"/>
              <w:bottom w:val="single" w:sz="8" w:color="auto"/>
            </w:tcBorders>
            <w:shd w:val="clear" w:color="auto" w:fill="E7E7E3"/>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top w:val="single" w:sz="8" w:color="E7E7E3"/>
            </w:tcBorders>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-2784475</wp:posOffset>
            </wp:positionV>
            <wp:extent cx="244538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45385" cy="31750"/>
                    </a:xfrm>
                    <a:prstGeom prst="rect">
                      <a:avLst/>
                    </a:prstGeom>
                    <a:noFill/>
                  </pic:spPr>
                </pic:pic>
              </a:graphicData>
            </a:graphic>
          </wp:anchor>
        </w:drawing>
      </w:r>
    </w:p>
    <w:p>
      <w:pPr>
        <w:spacing w:after="0" w:line="79" w:lineRule="exact"/>
        <w:rPr>
          <w:sz w:val="20"/>
          <w:szCs w:val="20"/>
          <w:color w:val="auto"/>
        </w:rPr>
      </w:pPr>
    </w:p>
    <w:p>
      <w:pPr>
        <w:jc w:val="both"/>
        <w:ind w:left="500" w:hanging="500"/>
        <w:spacing w:after="0" w:line="253" w:lineRule="auto"/>
        <w:tabs>
          <w:tab w:leader="none" w:pos="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fiscal 2023, the Company terminated its pension plan and SERP and all obligations were settled through the purchase of nonparticipating annuities. Accordingly, the Company recognized the unrealized loss of its pension plans of $5.7 million, which is reflected in the "Loss from Termination of Retirement Plans" on the Consolidated Statement of Operations. The corresponding tax effect of $0.6 million was recognized and is reflected as part of the income tax provision.</w:t>
      </w:r>
    </w:p>
    <w:p>
      <w:pPr>
        <w:spacing w:after="0" w:line="70" w:lineRule="exact"/>
        <w:rPr>
          <w:rFonts w:ascii="Times New Roman" w:cs="Times New Roman" w:eastAsia="Times New Roman" w:hAnsi="Times New Roman"/>
          <w:sz w:val="20"/>
          <w:szCs w:val="20"/>
          <w:color w:val="auto"/>
        </w:rPr>
      </w:pPr>
    </w:p>
    <w:p>
      <w:pPr>
        <w:ind w:left="500" w:hanging="500"/>
        <w:spacing w:after="0" w:line="279" w:lineRule="auto"/>
        <w:tabs>
          <w:tab w:leader="none" w:pos="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Company’s closing of its remaining store in Toronto, Canada, in fiscal 2022, the Company recognized the accumulated foreign currency translation adjustment as an expense.</w:t>
      </w:r>
    </w:p>
    <w:p>
      <w:pPr>
        <w:spacing w:after="0" w:line="45" w:lineRule="exact"/>
        <w:rPr>
          <w:rFonts w:ascii="Times New Roman" w:cs="Times New Roman" w:eastAsia="Times New Roman" w:hAnsi="Times New Roman"/>
          <w:sz w:val="20"/>
          <w:szCs w:val="20"/>
          <w:color w:val="auto"/>
        </w:rPr>
      </w:pPr>
    </w:p>
    <w:p>
      <w:pPr>
        <w:jc w:val="both"/>
        <w:ind w:left="500" w:hanging="500"/>
        <w:spacing w:after="0" w:line="279" w:lineRule="auto"/>
        <w:tabs>
          <w:tab w:leader="none" w:pos="5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the amortization through the date of settlement of the unrecognized (gain)/loss on retirement plans, which was charged to selling, general and administrative expense on the Consolidated Statements of Operations for all periods presented. The amortization of the unrecognized loss was $102,000, with a corresponding tax benefit of $27,000 for fiscal 2023. For fiscal 2022,</w:t>
      </w:r>
    </w:p>
    <w:p>
      <w:pPr>
        <w:sectPr>
          <w:pgSz w:w="11880" w:h="15480" w:orient="portrait"/>
          <w:cols w:equalWidth="0" w:num="1">
            <w:col w:w="10800"/>
          </w:cols>
          <w:pgMar w:left="540" w:top="658" w:right="54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658" w:right="540" w:bottom="0" w:gutter="0" w:footer="0" w:header="0"/>
          <w:type w:val="continuous"/>
        </w:sectPr>
      </w:pPr>
    </w:p>
    <w:bookmarkStart w:id="48" w:name="page49"/>
    <w:bookmarkEnd w:id="48"/>
    <w:p>
      <w:pPr>
        <w:ind w:left="500"/>
        <w:spacing w:after="0" w:line="279" w:lineRule="auto"/>
        <w:rPr>
          <w:sz w:val="20"/>
          <w:szCs w:val="20"/>
          <w:color w:val="auto"/>
        </w:rPr>
      </w:pPr>
      <w:r>
        <w:rPr>
          <w:rFonts w:ascii="Times New Roman" w:cs="Times New Roman" w:eastAsia="Times New Roman" w:hAnsi="Times New Roman"/>
          <w:sz w:val="20"/>
          <w:szCs w:val="20"/>
          <w:color w:val="auto"/>
        </w:rPr>
        <w:t>the Company recognized income of $39,000, with a corresponding tax provision of $9,000, as a result of a change in amortization from average remaining future service to average remaining lifetime.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w:t>
      </w:r>
      <w:r>
        <w:rPr>
          <w:rFonts w:ascii="Times New Roman" w:cs="Times New Roman" w:eastAsia="Times New Roman" w:hAnsi="Times New Roman"/>
          <w:sz w:val="20"/>
          <w:szCs w:val="20"/>
          <w:i w:val="1"/>
          <w:iCs w:val="1"/>
          <w:color w:val="auto"/>
        </w:rPr>
        <w:t>Income Taxes.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ASC Topic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2024, fiscal 2023 and fiscal 2022.</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Per Share</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Basic earnings per share are computed by dividing net income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300" w:type="dxa"/>
            <w:vAlign w:val="bottom"/>
            <w:shd w:val="clear" w:color="auto" w:fill="FEFEFE"/>
          </w:tcPr>
          <w:p>
            <w:pPr>
              <w:spacing w:after="0"/>
              <w:rPr>
                <w:sz w:val="16"/>
                <w:szCs w:val="16"/>
                <w:color w:val="auto"/>
              </w:rPr>
            </w:pPr>
          </w:p>
        </w:tc>
        <w:tc>
          <w:tcPr>
            <w:tcW w:w="1760" w:type="dxa"/>
            <w:vAlign w:val="bottom"/>
            <w:gridSpan w:val="3"/>
            <w:shd w:val="clear" w:color="auto" w:fill="FEFEFE"/>
          </w:tcPr>
          <w:p>
            <w:pPr>
              <w:ind w:left="40"/>
              <w:spacing w:after="0"/>
              <w:rPr>
                <w:sz w:val="20"/>
                <w:szCs w:val="20"/>
                <w:color w:val="auto"/>
              </w:rPr>
            </w:pPr>
            <w:r>
              <w:rPr>
                <w:rFonts w:ascii="Times New Roman" w:cs="Times New Roman" w:eastAsia="Times New Roman" w:hAnsi="Times New Roman"/>
                <w:sz w:val="16"/>
                <w:szCs w:val="16"/>
                <w:color w:val="auto"/>
              </w:rPr>
              <w:t>FISCAL YEARS ENDED</w:t>
            </w:r>
          </w:p>
        </w:tc>
        <w:tc>
          <w:tcPr>
            <w:tcW w:w="13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00" w:type="dxa"/>
            <w:vAlign w:val="bottom"/>
            <w:tcBorders>
              <w:bottom w:val="single" w:sz="8" w:color="FEFEFE"/>
            </w:tcBorders>
            <w:vMerge w:val="restart"/>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FEFEFE"/>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jc w:val="right"/>
              <w:ind w:right="5"/>
              <w:spacing w:after="0"/>
              <w:rPr>
                <w:sz w:val="20"/>
                <w:szCs w:val="20"/>
                <w:color w:val="auto"/>
              </w:rPr>
            </w:pPr>
            <w:r>
              <w:rPr>
                <w:rFonts w:ascii="Times New Roman" w:cs="Times New Roman" w:eastAsia="Times New Roman" w:hAnsi="Times New Roman"/>
                <w:sz w:val="16"/>
                <w:szCs w:val="16"/>
                <w:color w:val="auto"/>
              </w:rPr>
              <w:t>February 1, 2025</w:t>
            </w:r>
          </w:p>
        </w:tc>
        <w:tc>
          <w:tcPr>
            <w:tcW w:w="220" w:type="dxa"/>
            <w:vAlign w:val="bottom"/>
            <w:tcBorders>
              <w:bottom w:val="single" w:sz="8" w:color="FEFEFE"/>
            </w:tcBorders>
            <w:shd w:val="clear" w:color="auto" w:fill="FEFEFE"/>
          </w:tcPr>
          <w:p>
            <w:pPr>
              <w:spacing w:after="0"/>
              <w:rPr>
                <w:sz w:val="17"/>
                <w:szCs w:val="17"/>
                <w:color w:val="auto"/>
              </w:rPr>
            </w:pPr>
          </w:p>
        </w:tc>
        <w:tc>
          <w:tcPr>
            <w:tcW w:w="1320" w:type="dxa"/>
            <w:vAlign w:val="bottom"/>
            <w:tcBorders>
              <w:bottom w:val="single" w:sz="8" w:color="auto"/>
            </w:tcBorders>
            <w:shd w:val="clear" w:color="auto" w:fill="FEFEFE"/>
          </w:tcPr>
          <w:p>
            <w:pPr>
              <w:jc w:val="right"/>
              <w:ind w:right="30"/>
              <w:spacing w:after="0"/>
              <w:rPr>
                <w:sz w:val="20"/>
                <w:szCs w:val="20"/>
                <w:color w:val="auto"/>
              </w:rPr>
            </w:pPr>
            <w:r>
              <w:rPr>
                <w:rFonts w:ascii="Times New Roman" w:cs="Times New Roman" w:eastAsia="Times New Roman" w:hAnsi="Times New Roman"/>
                <w:sz w:val="16"/>
                <w:szCs w:val="16"/>
                <w:color w:val="auto"/>
              </w:rPr>
              <w:t>February 3, 2024</w:t>
            </w:r>
          </w:p>
        </w:tc>
        <w:tc>
          <w:tcPr>
            <w:tcW w:w="220" w:type="dxa"/>
            <w:vAlign w:val="bottom"/>
            <w:tcBorders>
              <w:bottom w:val="single" w:sz="8" w:color="FEFEFE"/>
            </w:tcBorders>
            <w:shd w:val="clear" w:color="auto" w:fill="FEFEFE"/>
          </w:tcPr>
          <w:p>
            <w:pPr>
              <w:spacing w:after="0"/>
              <w:rPr>
                <w:sz w:val="17"/>
                <w:szCs w:val="17"/>
                <w:color w:val="auto"/>
              </w:rPr>
            </w:pPr>
          </w:p>
        </w:tc>
        <w:tc>
          <w:tcPr>
            <w:tcW w:w="1320" w:type="dxa"/>
            <w:vAlign w:val="bottom"/>
            <w:tcBorders>
              <w:bottom w:val="single" w:sz="8" w:color="auto"/>
            </w:tcBorders>
            <w:shd w:val="clear" w:color="auto" w:fill="FEFEFE"/>
          </w:tcPr>
          <w:p>
            <w:pPr>
              <w:jc w:val="right"/>
              <w:ind w:right="25"/>
              <w:spacing w:after="0"/>
              <w:rPr>
                <w:sz w:val="20"/>
                <w:szCs w:val="20"/>
                <w:color w:val="auto"/>
              </w:rPr>
            </w:pPr>
            <w:r>
              <w:rPr>
                <w:rFonts w:ascii="Times New Roman" w:cs="Times New Roman" w:eastAsia="Times New Roman" w:hAnsi="Times New Roman"/>
                <w:sz w:val="16"/>
                <w:szCs w:val="16"/>
                <w:color w:val="auto"/>
              </w:rPr>
              <w:t>January 28, 2023</w:t>
            </w:r>
          </w:p>
        </w:tc>
        <w:tc>
          <w:tcPr>
            <w:tcW w:w="10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00" w:type="dxa"/>
            <w:vAlign w:val="bottom"/>
            <w:vMerge w:val="continue"/>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Common stock outstanding:</w:t>
            </w:r>
          </w:p>
        </w:tc>
        <w:tc>
          <w:tcPr>
            <w:tcW w:w="120" w:type="dxa"/>
            <w:vAlign w:val="bottom"/>
            <w:shd w:val="clear" w:color="auto" w:fill="E7E7E3"/>
          </w:tcPr>
          <w:p>
            <w:pPr>
              <w:spacing w:after="0"/>
              <w:rPr>
                <w:sz w:val="19"/>
                <w:szCs w:val="19"/>
                <w:color w:val="auto"/>
              </w:rPr>
            </w:pPr>
          </w:p>
        </w:tc>
        <w:tc>
          <w:tcPr>
            <w:tcW w:w="130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32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3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FEFEFE"/>
          </w:tcPr>
          <w:p>
            <w:pPr>
              <w:spacing w:after="0" w:line="208" w:lineRule="exact"/>
              <w:rPr>
                <w:sz w:val="20"/>
                <w:szCs w:val="20"/>
                <w:color w:val="auto"/>
              </w:rPr>
            </w:pPr>
            <w:r>
              <w:rPr>
                <w:rFonts w:ascii="Times New Roman" w:cs="Times New Roman" w:eastAsia="Times New Roman" w:hAnsi="Times New Roman"/>
                <w:sz w:val="20"/>
                <w:szCs w:val="20"/>
                <w:color w:val="auto"/>
              </w:rPr>
              <w:t>Basic weighted average common shares</w:t>
            </w:r>
          </w:p>
        </w:tc>
        <w:tc>
          <w:tcPr>
            <w:tcW w:w="12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320" w:type="dxa"/>
            <w:vAlign w:val="bottom"/>
            <w:gridSpan w:val="2"/>
            <w:shd w:val="clear" w:color="auto" w:fill="FEFEFE"/>
          </w:tcPr>
          <w:p>
            <w:pPr>
              <w:ind w:left="160"/>
              <w:spacing w:after="0"/>
              <w:rPr>
                <w:sz w:val="20"/>
                <w:szCs w:val="20"/>
                <w:color w:val="auto"/>
              </w:rPr>
            </w:pPr>
            <w:r>
              <w:rPr>
                <w:rFonts w:ascii="Times New Roman" w:cs="Times New Roman" w:eastAsia="Times New Roman" w:hAnsi="Times New Roman"/>
                <w:sz w:val="20"/>
                <w:szCs w:val="20"/>
                <w:color w:val="auto"/>
              </w:rPr>
              <w:t>outstanding</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56,779</w:t>
            </w:r>
          </w:p>
        </w:tc>
        <w:tc>
          <w:tcPr>
            <w:tcW w:w="15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61,018</w:t>
            </w:r>
          </w:p>
        </w:tc>
        <w:tc>
          <w:tcPr>
            <w:tcW w:w="22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62,825</w:t>
            </w: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E7E7E3"/>
          </w:tcPr>
          <w:p>
            <w:pPr>
              <w:spacing w:after="0" w:line="208" w:lineRule="exact"/>
              <w:rPr>
                <w:sz w:val="20"/>
                <w:szCs w:val="20"/>
                <w:color w:val="auto"/>
              </w:rPr>
            </w:pPr>
            <w:r>
              <w:rPr>
                <w:rFonts w:ascii="Times New Roman" w:cs="Times New Roman" w:eastAsia="Times New Roman" w:hAnsi="Times New Roman"/>
                <w:sz w:val="20"/>
                <w:szCs w:val="20"/>
                <w:color w:val="auto"/>
              </w:rPr>
              <w:t>Common stock equivalents – stock options,</w:t>
            </w:r>
          </w:p>
        </w:tc>
        <w:tc>
          <w:tcPr>
            <w:tcW w:w="1300" w:type="dxa"/>
            <w:vAlign w:val="bottom"/>
            <w:shd w:val="clear" w:color="auto" w:fill="E7E7E3"/>
          </w:tcPr>
          <w:p>
            <w:pPr>
              <w:spacing w:after="0"/>
              <w:rPr>
                <w:sz w:val="18"/>
                <w:szCs w:val="18"/>
                <w:color w:val="auto"/>
              </w:rPr>
            </w:pPr>
          </w:p>
        </w:tc>
        <w:tc>
          <w:tcPr>
            <w:tcW w:w="220" w:type="dxa"/>
            <w:vAlign w:val="bottom"/>
            <w:shd w:val="clear" w:color="auto" w:fill="E7E7E3"/>
          </w:tcPr>
          <w:p>
            <w:pPr>
              <w:spacing w:after="0"/>
              <w:rPr>
                <w:sz w:val="18"/>
                <w:szCs w:val="18"/>
                <w:color w:val="auto"/>
              </w:rPr>
            </w:pPr>
          </w:p>
        </w:tc>
        <w:tc>
          <w:tcPr>
            <w:tcW w:w="1320" w:type="dxa"/>
            <w:vAlign w:val="bottom"/>
            <w:shd w:val="clear" w:color="auto" w:fill="E7E7E3"/>
          </w:tcPr>
          <w:p>
            <w:pPr>
              <w:spacing w:after="0"/>
              <w:rPr>
                <w:sz w:val="18"/>
                <w:szCs w:val="18"/>
                <w:color w:val="auto"/>
              </w:rPr>
            </w:pPr>
          </w:p>
        </w:tc>
        <w:tc>
          <w:tcPr>
            <w:tcW w:w="220" w:type="dxa"/>
            <w:vAlign w:val="bottom"/>
            <w:shd w:val="clear" w:color="auto" w:fill="E7E7E3"/>
          </w:tcPr>
          <w:p>
            <w:pPr>
              <w:spacing w:after="0"/>
              <w:rPr>
                <w:sz w:val="18"/>
                <w:szCs w:val="18"/>
                <w:color w:val="auto"/>
              </w:rPr>
            </w:pPr>
          </w:p>
        </w:tc>
        <w:tc>
          <w:tcPr>
            <w:tcW w:w="132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320" w:type="dxa"/>
            <w:vAlign w:val="bottom"/>
            <w:gridSpan w:val="2"/>
            <w:shd w:val="clear" w:color="auto" w:fill="E7E7E3"/>
          </w:tcPr>
          <w:p>
            <w:pPr>
              <w:ind w:left="160"/>
              <w:spacing w:after="0"/>
              <w:rPr>
                <w:sz w:val="20"/>
                <w:szCs w:val="20"/>
                <w:color w:val="auto"/>
              </w:rPr>
            </w:pPr>
            <w:r>
              <w:rPr>
                <w:rFonts w:ascii="Times New Roman" w:cs="Times New Roman" w:eastAsia="Times New Roman" w:hAnsi="Times New Roman"/>
                <w:sz w:val="20"/>
                <w:szCs w:val="20"/>
                <w:color w:val="auto"/>
              </w:rPr>
              <w:t>deferred stock and RSUs</w:t>
            </w: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2,811</w:t>
            </w:r>
          </w:p>
        </w:tc>
        <w:tc>
          <w:tcPr>
            <w:tcW w:w="15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3,287</w:t>
            </w:r>
          </w:p>
        </w:tc>
        <w:tc>
          <w:tcPr>
            <w:tcW w:w="220" w:type="dxa"/>
            <w:vAlign w:val="bottom"/>
            <w:shd w:val="clear" w:color="auto" w:fill="E7E7E3"/>
          </w:tcPr>
          <w:p>
            <w:pPr>
              <w:spacing w:after="0"/>
              <w:rPr>
                <w:sz w:val="21"/>
                <w:szCs w:val="21"/>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4,065</w:t>
            </w: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320" w:type="dxa"/>
            <w:vAlign w:val="bottom"/>
            <w:tcBorders>
              <w:top w:val="single" w:sz="8" w:color="FEFEFE"/>
            </w:tcBorders>
            <w:gridSpan w:val="2"/>
            <w:shd w:val="clear" w:color="auto" w:fill="FEFEFE"/>
          </w:tcPr>
          <w:p>
            <w:pPr>
              <w:spacing w:after="0" w:line="199" w:lineRule="exact"/>
              <w:rPr>
                <w:sz w:val="20"/>
                <w:szCs w:val="20"/>
                <w:color w:val="auto"/>
              </w:rPr>
            </w:pPr>
            <w:r>
              <w:rPr>
                <w:rFonts w:ascii="Times New Roman" w:cs="Times New Roman" w:eastAsia="Times New Roman" w:hAnsi="Times New Roman"/>
                <w:sz w:val="20"/>
                <w:szCs w:val="20"/>
                <w:color w:val="auto"/>
              </w:rPr>
              <w:t>Diluted weighted average common shares</w:t>
            </w:r>
          </w:p>
        </w:tc>
        <w:tc>
          <w:tcPr>
            <w:tcW w:w="1300" w:type="dxa"/>
            <w:vAlign w:val="bottom"/>
            <w:tcBorders>
              <w:top w:val="single" w:sz="8" w:color="auto"/>
            </w:tcBorders>
            <w:shd w:val="clear" w:color="auto" w:fill="FEFEFE"/>
          </w:tcPr>
          <w:p>
            <w:pPr>
              <w:spacing w:after="0"/>
              <w:rPr>
                <w:sz w:val="17"/>
                <w:szCs w:val="17"/>
                <w:color w:val="auto"/>
              </w:rPr>
            </w:pPr>
          </w:p>
        </w:tc>
        <w:tc>
          <w:tcPr>
            <w:tcW w:w="220" w:type="dxa"/>
            <w:vAlign w:val="bottom"/>
            <w:tcBorders>
              <w:top w:val="single" w:sz="8" w:color="FEFEFE"/>
            </w:tcBorders>
            <w:shd w:val="clear" w:color="auto" w:fill="FEFEFE"/>
          </w:tcPr>
          <w:p>
            <w:pPr>
              <w:spacing w:after="0"/>
              <w:rPr>
                <w:sz w:val="17"/>
                <w:szCs w:val="17"/>
                <w:color w:val="auto"/>
              </w:rPr>
            </w:pPr>
          </w:p>
        </w:tc>
        <w:tc>
          <w:tcPr>
            <w:tcW w:w="1320" w:type="dxa"/>
            <w:vAlign w:val="bottom"/>
            <w:tcBorders>
              <w:top w:val="single" w:sz="8" w:color="auto"/>
            </w:tcBorders>
            <w:shd w:val="clear" w:color="auto" w:fill="FEFEFE"/>
          </w:tcPr>
          <w:p>
            <w:pPr>
              <w:spacing w:after="0"/>
              <w:rPr>
                <w:sz w:val="17"/>
                <w:szCs w:val="17"/>
                <w:color w:val="auto"/>
              </w:rPr>
            </w:pPr>
          </w:p>
        </w:tc>
        <w:tc>
          <w:tcPr>
            <w:tcW w:w="220" w:type="dxa"/>
            <w:vAlign w:val="bottom"/>
            <w:tcBorders>
              <w:top w:val="single" w:sz="8" w:color="FEFEFE"/>
            </w:tcBorders>
            <w:shd w:val="clear" w:color="auto" w:fill="FEFEFE"/>
          </w:tcPr>
          <w:p>
            <w:pPr>
              <w:spacing w:after="0"/>
              <w:rPr>
                <w:sz w:val="17"/>
                <w:szCs w:val="17"/>
                <w:color w:val="auto"/>
              </w:rPr>
            </w:pPr>
          </w:p>
        </w:tc>
        <w:tc>
          <w:tcPr>
            <w:tcW w:w="1320" w:type="dxa"/>
            <w:vAlign w:val="bottom"/>
            <w:tcBorders>
              <w:top w:val="single" w:sz="8" w:color="auto"/>
            </w:tcBorders>
            <w:shd w:val="clear" w:color="auto" w:fill="FEFEFE"/>
          </w:tcPr>
          <w:p>
            <w:pPr>
              <w:spacing w:after="0"/>
              <w:rPr>
                <w:sz w:val="17"/>
                <w:szCs w:val="17"/>
                <w:color w:val="auto"/>
              </w:rPr>
            </w:pPr>
          </w:p>
        </w:tc>
        <w:tc>
          <w:tcPr>
            <w:tcW w:w="100" w:type="dxa"/>
            <w:vAlign w:val="bottom"/>
            <w:tcBorders>
              <w:top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320" w:type="dxa"/>
            <w:vAlign w:val="bottom"/>
            <w:gridSpan w:val="2"/>
            <w:shd w:val="clear" w:color="auto" w:fill="FEFEFE"/>
          </w:tcPr>
          <w:p>
            <w:pPr>
              <w:ind w:left="160"/>
              <w:spacing w:after="0"/>
              <w:rPr>
                <w:sz w:val="20"/>
                <w:szCs w:val="20"/>
                <w:color w:val="auto"/>
              </w:rPr>
            </w:pPr>
            <w:r>
              <w:rPr>
                <w:rFonts w:ascii="Times New Roman" w:cs="Times New Roman" w:eastAsia="Times New Roman" w:hAnsi="Times New Roman"/>
                <w:sz w:val="20"/>
                <w:szCs w:val="20"/>
                <w:color w:val="auto"/>
              </w:rPr>
              <w:t>outstanding</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59,590</w:t>
            </w:r>
          </w:p>
        </w:tc>
        <w:tc>
          <w:tcPr>
            <w:tcW w:w="22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64,305</w:t>
            </w:r>
          </w:p>
        </w:tc>
        <w:tc>
          <w:tcPr>
            <w:tcW w:w="22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66,890</w:t>
            </w: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stock options, RSUs, or deferred stock had an anti-dilutive effect.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0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300" w:type="dxa"/>
            <w:vAlign w:val="bottom"/>
            <w:shd w:val="clear" w:color="auto" w:fill="FEFEFE"/>
          </w:tcPr>
          <w:p>
            <w:pPr>
              <w:spacing w:after="0"/>
              <w:rPr>
                <w:sz w:val="17"/>
                <w:szCs w:val="17"/>
                <w:color w:val="auto"/>
              </w:rPr>
            </w:pPr>
          </w:p>
        </w:tc>
        <w:tc>
          <w:tcPr>
            <w:tcW w:w="1760" w:type="dxa"/>
            <w:vAlign w:val="bottom"/>
            <w:gridSpan w:val="3"/>
            <w:shd w:val="clear" w:color="auto" w:fill="FEFEFE"/>
          </w:tcPr>
          <w:p>
            <w:pPr>
              <w:jc w:val="center"/>
              <w:ind w:right="20"/>
              <w:spacing w:after="0"/>
              <w:rPr>
                <w:sz w:val="20"/>
                <w:szCs w:val="20"/>
                <w:color w:val="auto"/>
              </w:rPr>
            </w:pPr>
            <w:r>
              <w:rPr>
                <w:rFonts w:ascii="Times New Roman" w:cs="Times New Roman" w:eastAsia="Times New Roman" w:hAnsi="Times New Roman"/>
                <w:sz w:val="16"/>
                <w:szCs w:val="16"/>
                <w:color w:val="auto"/>
              </w:rPr>
              <w:t>FISCAL YEARS ENDED</w:t>
            </w:r>
          </w:p>
        </w:tc>
        <w:tc>
          <w:tcPr>
            <w:tcW w:w="13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 except exercise prices)</w:t>
            </w:r>
          </w:p>
        </w:tc>
        <w:tc>
          <w:tcPr>
            <w:tcW w:w="120" w:type="dxa"/>
            <w:vAlign w:val="bottom"/>
            <w:shd w:val="clear" w:color="auto" w:fill="FEFEFE"/>
          </w:tcPr>
          <w:p>
            <w:pPr>
              <w:spacing w:after="0"/>
              <w:rPr>
                <w:sz w:val="17"/>
                <w:szCs w:val="17"/>
                <w:color w:val="auto"/>
              </w:rPr>
            </w:pPr>
          </w:p>
        </w:tc>
        <w:tc>
          <w:tcPr>
            <w:tcW w:w="1300" w:type="dxa"/>
            <w:vAlign w:val="bottom"/>
            <w:shd w:val="clear" w:color="auto" w:fill="FEFEFE"/>
          </w:tcPr>
          <w:p>
            <w:pPr>
              <w:jc w:val="right"/>
              <w:ind w:right="10"/>
              <w:spacing w:after="0"/>
              <w:rPr>
                <w:sz w:val="20"/>
                <w:szCs w:val="20"/>
                <w:color w:val="auto"/>
              </w:rPr>
            </w:pPr>
            <w:r>
              <w:rPr>
                <w:rFonts w:ascii="Times New Roman" w:cs="Times New Roman" w:eastAsia="Times New Roman" w:hAnsi="Times New Roman"/>
                <w:sz w:val="16"/>
                <w:szCs w:val="16"/>
                <w:color w:val="auto"/>
              </w:rPr>
              <w:t>February 1, 2025</w:t>
            </w:r>
          </w:p>
        </w:tc>
        <w:tc>
          <w:tcPr>
            <w:tcW w:w="220" w:type="dxa"/>
            <w:vAlign w:val="bottom"/>
            <w:shd w:val="clear" w:color="auto" w:fill="FEFEFE"/>
          </w:tcPr>
          <w:p>
            <w:pPr>
              <w:spacing w:after="0"/>
              <w:rPr>
                <w:sz w:val="17"/>
                <w:szCs w:val="17"/>
                <w:color w:val="auto"/>
              </w:rPr>
            </w:pPr>
          </w:p>
        </w:tc>
        <w:tc>
          <w:tcPr>
            <w:tcW w:w="154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6"/>
                <w:szCs w:val="16"/>
                <w:color w:val="auto"/>
              </w:rPr>
              <w:t>February 3, 2024</w:t>
            </w:r>
          </w:p>
        </w:tc>
        <w:tc>
          <w:tcPr>
            <w:tcW w:w="142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16"/>
                <w:szCs w:val="16"/>
                <w:color w:val="auto"/>
              </w:rPr>
              <w:t>January 28, 2023</w:t>
            </w:r>
          </w:p>
        </w:tc>
        <w:tc>
          <w:tcPr>
            <w:tcW w:w="0" w:type="dxa"/>
            <w:vAlign w:val="bottom"/>
          </w:tcPr>
          <w:p>
            <w:pPr>
              <w:spacing w:after="0"/>
              <w:rPr>
                <w:sz w:val="1"/>
                <w:szCs w:val="1"/>
                <w:color w:val="auto"/>
              </w:rPr>
            </w:pPr>
          </w:p>
        </w:tc>
      </w:tr>
      <w:tr>
        <w:trPr>
          <w:trHeight w:val="188"/>
        </w:trPr>
        <w:tc>
          <w:tcPr>
            <w:tcW w:w="6200" w:type="dxa"/>
            <w:vAlign w:val="bottom"/>
            <w:tcBorders>
              <w:top w:val="single" w:sz="8" w:color="FEFEFE"/>
            </w:tcBorders>
            <w:vMerge w:val="continue"/>
            <w:shd w:val="clear" w:color="auto" w:fill="FEFEFE"/>
          </w:tcPr>
          <w:p>
            <w:pPr>
              <w:spacing w:after="0"/>
              <w:rPr>
                <w:sz w:val="16"/>
                <w:szCs w:val="16"/>
                <w:color w:val="auto"/>
              </w:rPr>
            </w:pPr>
          </w:p>
        </w:tc>
        <w:tc>
          <w:tcPr>
            <w:tcW w:w="120" w:type="dxa"/>
            <w:vAlign w:val="bottom"/>
            <w:tcBorders>
              <w:top w:val="single" w:sz="8" w:color="FEFEFE"/>
            </w:tcBorders>
            <w:shd w:val="clear" w:color="auto" w:fill="FEFEFE"/>
          </w:tcPr>
          <w:p>
            <w:pPr>
              <w:spacing w:after="0"/>
              <w:rPr>
                <w:sz w:val="16"/>
                <w:szCs w:val="16"/>
                <w:color w:val="auto"/>
              </w:rPr>
            </w:pPr>
          </w:p>
        </w:tc>
        <w:tc>
          <w:tcPr>
            <w:tcW w:w="1300" w:type="dxa"/>
            <w:vAlign w:val="bottom"/>
            <w:tcBorders>
              <w:top w:val="single" w:sz="8" w:color="auto"/>
            </w:tcBorders>
            <w:shd w:val="clear" w:color="auto" w:fill="FEFEFE"/>
          </w:tcPr>
          <w:p>
            <w:pPr>
              <w:spacing w:after="0"/>
              <w:rPr>
                <w:sz w:val="16"/>
                <w:szCs w:val="16"/>
                <w:color w:val="auto"/>
              </w:rPr>
            </w:pPr>
          </w:p>
        </w:tc>
        <w:tc>
          <w:tcPr>
            <w:tcW w:w="220" w:type="dxa"/>
            <w:vAlign w:val="bottom"/>
            <w:tcBorders>
              <w:top w:val="single" w:sz="8" w:color="FEFEFE"/>
            </w:tcBorders>
            <w:shd w:val="clear" w:color="auto" w:fill="FEFEFE"/>
          </w:tcPr>
          <w:p>
            <w:pPr>
              <w:spacing w:after="0"/>
              <w:rPr>
                <w:sz w:val="16"/>
                <w:szCs w:val="16"/>
                <w:color w:val="auto"/>
              </w:rPr>
            </w:pPr>
          </w:p>
        </w:tc>
        <w:tc>
          <w:tcPr>
            <w:tcW w:w="1320" w:type="dxa"/>
            <w:vAlign w:val="bottom"/>
            <w:tcBorders>
              <w:top w:val="single" w:sz="8" w:color="auto"/>
            </w:tcBorders>
            <w:shd w:val="clear" w:color="auto" w:fill="FEFEFE"/>
          </w:tcPr>
          <w:p>
            <w:pPr>
              <w:spacing w:after="0"/>
              <w:rPr>
                <w:sz w:val="16"/>
                <w:szCs w:val="16"/>
                <w:color w:val="auto"/>
              </w:rPr>
            </w:pPr>
          </w:p>
        </w:tc>
        <w:tc>
          <w:tcPr>
            <w:tcW w:w="220" w:type="dxa"/>
            <w:vAlign w:val="bottom"/>
            <w:tcBorders>
              <w:top w:val="single" w:sz="8" w:color="FEFEFE"/>
            </w:tcBorders>
            <w:shd w:val="clear" w:color="auto" w:fill="FEFEFE"/>
          </w:tcPr>
          <w:p>
            <w:pPr>
              <w:spacing w:after="0"/>
              <w:rPr>
                <w:sz w:val="16"/>
                <w:szCs w:val="16"/>
                <w:color w:val="auto"/>
              </w:rPr>
            </w:pPr>
          </w:p>
        </w:tc>
        <w:tc>
          <w:tcPr>
            <w:tcW w:w="1320" w:type="dxa"/>
            <w:vAlign w:val="bottom"/>
            <w:tcBorders>
              <w:top w:val="single" w:sz="8" w:color="auto"/>
            </w:tcBorders>
            <w:shd w:val="clear" w:color="auto" w:fill="FEFEFE"/>
          </w:tcPr>
          <w:p>
            <w:pPr>
              <w:spacing w:after="0"/>
              <w:rPr>
                <w:sz w:val="16"/>
                <w:szCs w:val="16"/>
                <w:color w:val="auto"/>
              </w:rPr>
            </w:pPr>
          </w:p>
        </w:tc>
        <w:tc>
          <w:tcPr>
            <w:tcW w:w="100" w:type="dxa"/>
            <w:vAlign w:val="bottom"/>
            <w:tcBorders>
              <w:top w:val="single" w:sz="8" w:color="FEFEFE"/>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Stock options (time-vested)</w:t>
            </w:r>
          </w:p>
        </w:tc>
        <w:tc>
          <w:tcPr>
            <w:tcW w:w="120" w:type="dxa"/>
            <w:vAlign w:val="bottom"/>
            <w:shd w:val="clear" w:color="auto" w:fill="E7E7E3"/>
          </w:tcPr>
          <w:p>
            <w:pPr>
              <w:spacing w:after="0"/>
              <w:rPr>
                <w:sz w:val="21"/>
                <w:szCs w:val="21"/>
                <w:color w:val="auto"/>
              </w:rPr>
            </w:pP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20" w:type="dxa"/>
            <w:vAlign w:val="bottom"/>
            <w:shd w:val="clear" w:color="auto" w:fill="E7E7E3"/>
          </w:tcPr>
          <w:p>
            <w:pPr>
              <w:spacing w:after="0"/>
              <w:rPr>
                <w:sz w:val="21"/>
                <w:szCs w:val="21"/>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shd w:val="clear" w:color="auto" w:fill="E7E7E3"/>
          </w:tcPr>
          <w:p>
            <w:pPr>
              <w:spacing w:after="0"/>
              <w:rPr>
                <w:sz w:val="21"/>
                <w:szCs w:val="21"/>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RSUs (time-vested)</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5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2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Range of exercise prices of such options</w:t>
            </w:r>
          </w:p>
        </w:tc>
        <w:tc>
          <w:tcPr>
            <w:tcW w:w="142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$4.48 - $6.59</w:t>
            </w:r>
          </w:p>
        </w:tc>
        <w:tc>
          <w:tcPr>
            <w:tcW w:w="15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$4.48 - $6.59</w:t>
            </w:r>
          </w:p>
        </w:tc>
        <w:tc>
          <w:tcPr>
            <w:tcW w:w="220" w:type="dxa"/>
            <w:vAlign w:val="bottom"/>
            <w:shd w:val="clear" w:color="auto" w:fill="E7E7E3"/>
          </w:tcPr>
          <w:p>
            <w:pPr>
              <w:spacing w:after="0"/>
              <w:rPr>
                <w:sz w:val="21"/>
                <w:szCs w:val="21"/>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$4.48 -$7.43</w:t>
            </w: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Excluded from the computation of basic and diluted earnings per share were 573,000 shares of unvested performance stock units for fiscal 2024 and fiscal 2023 and 240,000 shares in fiscal 2022. Performance-based awards are included in the computation of basic and diluted earnings per share if, and when, the respective performance targets are achieved. In addition, deferred stock of 479,700 shares in fiscal 2024 and 435,568 shares in fiscal 2023 and fiscal 2022 were excluded from basic earnings per share. Outstanding shares of</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800"/>
          </w:cols>
          <w:pgMar w:left="540" w:top="656" w:right="540" w:bottom="0" w:gutter="0" w:footer="0" w:header="0"/>
          <w:type w:val="continuous"/>
        </w:sectPr>
      </w:pPr>
    </w:p>
    <w:bookmarkStart w:id="49" w:name="page50"/>
    <w:bookmarkEnd w:id="49"/>
    <w:p>
      <w:pPr>
        <w:jc w:val="both"/>
        <w:spacing w:after="0" w:line="279" w:lineRule="auto"/>
        <w:rPr>
          <w:sz w:val="20"/>
          <w:szCs w:val="20"/>
          <w:color w:val="auto"/>
        </w:rPr>
      </w:pPr>
      <w:r>
        <w:rPr>
          <w:rFonts w:ascii="Times New Roman" w:cs="Times New Roman" w:eastAsia="Times New Roman" w:hAnsi="Times New Roman"/>
          <w:sz w:val="20"/>
          <w:szCs w:val="20"/>
          <w:color w:val="auto"/>
        </w:rPr>
        <w:t>deferred stock are not considered issued and outstanding until the vesting date of the deferral period and are excluded from basic earnings per share until such shares are issued.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ASC Topic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xml:space="preserve">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The Company has outstanding performance stock units. The fair value and derived service periods of the performance stock units were calculated using the Monte Carlo model. See Note I, </w:t>
      </w:r>
      <w:r>
        <w:rPr>
          <w:rFonts w:ascii="Times New Roman" w:cs="Times New Roman" w:eastAsia="Times New Roman" w:hAnsi="Times New Roman"/>
          <w:sz w:val="20"/>
          <w:szCs w:val="20"/>
          <w:i w:val="1"/>
          <w:iCs w:val="1"/>
          <w:color w:val="auto"/>
        </w:rPr>
        <w:t>Stock Compensation Plans</w:t>
      </w:r>
      <w:r>
        <w:rPr>
          <w:rFonts w:ascii="Times New Roman" w:cs="Times New Roman" w:eastAsia="Times New Roman" w:hAnsi="Times New Roman"/>
          <w:sz w:val="20"/>
          <w:szCs w:val="20"/>
          <w:color w:val="auto"/>
        </w:rPr>
        <w:t xml:space="preserve"> for more discussion regarding the performance metrics and the valuation assumptions used to calculate the fair value and derived service periods.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recognized total stock-based compensation expense of $2.6 million, $2.5 million and $1.4 million for fiscal 2024, fiscal 2023 and fiscal 2022, respectively. The increase in stock-based compensation in fiscal 2024 and fiscal 2023 was primarily due to the grant of performance stock units in August 2023 that were expensed over the derived service period, which was determined to be an average of 12.5 months.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total stock-based compensation cost related to time-vested awards not yet recognized as of February 1, 2025 was approximately $2.2 million and will be expensed over a weighted average remaining life of approximately 30 months.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total grant-date fair value of awards vested was $1.3 million, $1.2 million and $2.5 million for fiscal 2024, fiscal 2023 and fiscal 2022, respectively.</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Any excess tax benefits resulting from the exercise of stock options or the release of restricted shares were recognized as a component of income tax expense in the period in which they occurred.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Assumptions - Stock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each non-vested share is equal to the closing price of the Company’s stock on the date of grant.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were no grants of stock options in fiscal 2024. For fiscal 2023 and fiscal 2022, the fair value of each option grant was estimated on the date of grant using the Black-Scholes option-pricing model based on the assumptions in the table below. The weighted-average fair value of options granted and non-vested shares granted shown below does not include shares granted to directors in lieu of compensation.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00" w:type="dxa"/>
            <w:vAlign w:val="bottom"/>
            <w:tcBorders>
              <w:bottom w:val="single" w:sz="8" w:color="E7E7E3"/>
            </w:tcBorders>
            <w:shd w:val="clear" w:color="auto" w:fill="FEFEFE"/>
          </w:tcPr>
          <w:p>
            <w:pPr>
              <w:spacing w:after="0"/>
              <w:rPr>
                <w:sz w:val="21"/>
                <w:szCs w:val="21"/>
                <w:color w:val="auto"/>
              </w:rPr>
            </w:pPr>
          </w:p>
        </w:tc>
        <w:tc>
          <w:tcPr>
            <w:tcW w:w="1860" w:type="dxa"/>
            <w:vAlign w:val="bottom"/>
            <w:tcBorders>
              <w:bottom w:val="single" w:sz="8" w:color="auto"/>
            </w:tcBorders>
            <w:shd w:val="clear" w:color="auto" w:fill="FEFEFE"/>
          </w:tcPr>
          <w:p>
            <w:pPr>
              <w:ind w:left="560"/>
              <w:spacing w:after="0"/>
              <w:rPr>
                <w:sz w:val="20"/>
                <w:szCs w:val="20"/>
                <w:color w:val="auto"/>
              </w:rPr>
            </w:pPr>
            <w:r>
              <w:rPr>
                <w:rFonts w:ascii="Times New Roman" w:cs="Times New Roman" w:eastAsia="Times New Roman" w:hAnsi="Times New Roman"/>
                <w:sz w:val="16"/>
                <w:szCs w:val="16"/>
                <w:color w:val="auto"/>
              </w:rPr>
              <w:t>Fiscal 2024</w:t>
            </w:r>
          </w:p>
        </w:tc>
        <w:tc>
          <w:tcPr>
            <w:tcW w:w="160" w:type="dxa"/>
            <w:vAlign w:val="bottom"/>
            <w:tcBorders>
              <w:bottom w:val="single" w:sz="8" w:color="E7E7E3"/>
            </w:tcBorders>
            <w:shd w:val="clear" w:color="auto" w:fill="FEFEFE"/>
          </w:tcPr>
          <w:p>
            <w:pPr>
              <w:spacing w:after="0"/>
              <w:rPr>
                <w:sz w:val="21"/>
                <w:szCs w:val="21"/>
                <w:color w:val="auto"/>
              </w:rPr>
            </w:pPr>
          </w:p>
        </w:tc>
        <w:tc>
          <w:tcPr>
            <w:tcW w:w="1780" w:type="dxa"/>
            <w:vAlign w:val="bottom"/>
            <w:tcBorders>
              <w:bottom w:val="single" w:sz="8" w:color="auto"/>
            </w:tcBorders>
            <w:shd w:val="clear" w:color="auto" w:fill="FEFEFE"/>
          </w:tcPr>
          <w:p>
            <w:pPr>
              <w:ind w:left="500"/>
              <w:spacing w:after="0"/>
              <w:rPr>
                <w:sz w:val="20"/>
                <w:szCs w:val="20"/>
                <w:color w:val="auto"/>
              </w:rPr>
            </w:pPr>
            <w:r>
              <w:rPr>
                <w:rFonts w:ascii="Times New Roman" w:cs="Times New Roman" w:eastAsia="Times New Roman" w:hAnsi="Times New Roman"/>
                <w:sz w:val="16"/>
                <w:szCs w:val="16"/>
                <w:color w:val="auto"/>
              </w:rPr>
              <w:t>Fiscal 2023</w:t>
            </w:r>
          </w:p>
        </w:tc>
        <w:tc>
          <w:tcPr>
            <w:tcW w:w="140" w:type="dxa"/>
            <w:vAlign w:val="bottom"/>
            <w:tcBorders>
              <w:bottom w:val="single" w:sz="8" w:color="E7E7E3"/>
            </w:tcBorders>
            <w:shd w:val="clear" w:color="auto" w:fill="FEFEFE"/>
          </w:tcPr>
          <w:p>
            <w:pPr>
              <w:spacing w:after="0"/>
              <w:rPr>
                <w:sz w:val="21"/>
                <w:szCs w:val="21"/>
                <w:color w:val="auto"/>
              </w:rPr>
            </w:pPr>
          </w:p>
        </w:tc>
        <w:tc>
          <w:tcPr>
            <w:tcW w:w="1760" w:type="dxa"/>
            <w:vAlign w:val="bottom"/>
            <w:tcBorders>
              <w:bottom w:val="single" w:sz="8" w:color="auto"/>
            </w:tcBorders>
            <w:gridSpan w:val="2"/>
            <w:shd w:val="clear" w:color="auto" w:fill="FEFEFE"/>
          </w:tcPr>
          <w:p>
            <w:pPr>
              <w:ind w:left="500"/>
              <w:spacing w:after="0"/>
              <w:rPr>
                <w:sz w:val="20"/>
                <w:szCs w:val="20"/>
                <w:color w:val="auto"/>
              </w:rPr>
            </w:pPr>
            <w:r>
              <w:rPr>
                <w:rFonts w:ascii="Times New Roman" w:cs="Times New Roman" w:eastAsia="Times New Roman" w:hAnsi="Times New Roman"/>
                <w:sz w:val="16"/>
                <w:szCs w:val="16"/>
                <w:color w:val="auto"/>
              </w:rPr>
              <w:t>Fiscal 2022</w:t>
            </w:r>
          </w:p>
        </w:tc>
      </w:tr>
      <w:tr>
        <w:trPr>
          <w:trHeight w:val="234"/>
        </w:trPr>
        <w:tc>
          <w:tcPr>
            <w:tcW w:w="51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86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shd w:val="clear" w:color="auto" w:fill="E7E7E3"/>
          </w:tcPr>
          <w:p>
            <w:pPr>
              <w:spacing w:after="0"/>
              <w:rPr>
                <w:sz w:val="20"/>
                <w:szCs w:val="20"/>
                <w:color w:val="auto"/>
              </w:rPr>
            </w:pPr>
          </w:p>
        </w:tc>
        <w:tc>
          <w:tcPr>
            <w:tcW w:w="178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86.3% - 92.1%</w:t>
            </w:r>
          </w:p>
        </w:tc>
        <w:tc>
          <w:tcPr>
            <w:tcW w:w="140" w:type="dxa"/>
            <w:vAlign w:val="bottom"/>
            <w:shd w:val="clear" w:color="auto" w:fill="E7E7E3"/>
          </w:tcPr>
          <w:p>
            <w:pPr>
              <w:spacing w:after="0"/>
              <w:rPr>
                <w:sz w:val="20"/>
                <w:szCs w:val="20"/>
                <w:color w:val="auto"/>
              </w:rPr>
            </w:pPr>
          </w:p>
        </w:tc>
        <w:tc>
          <w:tcPr>
            <w:tcW w:w="1760" w:type="dxa"/>
            <w:vAlign w:val="bottom"/>
            <w:gridSpan w:val="2"/>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99"/>
              </w:rPr>
              <w:t>87.9% - 123.7%</w:t>
            </w:r>
          </w:p>
        </w:tc>
      </w:tr>
      <w:tr>
        <w:trPr>
          <w:trHeight w:val="244"/>
        </w:trPr>
        <w:tc>
          <w:tcPr>
            <w:tcW w:w="51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8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shd w:val="clear" w:color="auto" w:fill="FEFEFE"/>
          </w:tcPr>
          <w:p>
            <w:pPr>
              <w:spacing w:after="0"/>
              <w:rPr>
                <w:sz w:val="21"/>
                <w:szCs w:val="21"/>
                <w:color w:val="auto"/>
              </w:rPr>
            </w:pPr>
          </w:p>
        </w:tc>
        <w:tc>
          <w:tcPr>
            <w:tcW w:w="17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3.71%-4.42%</w:t>
            </w: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9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- 4.41%</w:t>
            </w:r>
          </w:p>
        </w:tc>
      </w:tr>
      <w:tr>
        <w:trPr>
          <w:trHeight w:val="244"/>
        </w:trPr>
        <w:tc>
          <w:tcPr>
            <w:tcW w:w="51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186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940" w:type="dxa"/>
            <w:vAlign w:val="bottom"/>
            <w:gridSpan w:val="2"/>
            <w:shd w:val="clear" w:color="auto" w:fill="E7E7E3"/>
          </w:tcPr>
          <w:p>
            <w:pPr>
              <w:jc w:val="center"/>
              <w:ind w:left="40"/>
              <w:spacing w:after="0"/>
              <w:rPr>
                <w:sz w:val="20"/>
                <w:szCs w:val="20"/>
                <w:color w:val="auto"/>
              </w:rPr>
            </w:pPr>
            <w:r>
              <w:rPr>
                <w:rFonts w:ascii="Times New Roman" w:cs="Times New Roman" w:eastAsia="Times New Roman" w:hAnsi="Times New Roman"/>
                <w:sz w:val="20"/>
                <w:szCs w:val="20"/>
                <w:color w:val="auto"/>
                <w:w w:val="95"/>
              </w:rPr>
              <w:t>2.5</w:t>
            </w:r>
          </w:p>
        </w:tc>
        <w:tc>
          <w:tcPr>
            <w:tcW w:w="96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940" w:type="dxa"/>
            <w:vAlign w:val="bottom"/>
            <w:shd w:val="clear" w:color="auto" w:fill="E7E7E3"/>
          </w:tcPr>
          <w:p>
            <w:pPr>
              <w:ind w:left="20"/>
              <w:spacing w:after="0"/>
              <w:rPr>
                <w:sz w:val="20"/>
                <w:szCs w:val="20"/>
                <w:color w:val="auto"/>
              </w:rPr>
            </w:pPr>
            <w:r>
              <w:rPr>
                <w:rFonts w:ascii="Times New Roman" w:cs="Times New Roman" w:eastAsia="Times New Roman" w:hAnsi="Times New Roman"/>
                <w:sz w:val="20"/>
                <w:szCs w:val="20"/>
                <w:color w:val="auto"/>
              </w:rPr>
              <w:t>- 3.5</w:t>
            </w:r>
          </w:p>
        </w:tc>
      </w:tr>
      <w:tr>
        <w:trPr>
          <w:trHeight w:val="244"/>
        </w:trPr>
        <w:tc>
          <w:tcPr>
            <w:tcW w:w="51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Dividend rate</w:t>
            </w:r>
          </w:p>
        </w:tc>
        <w:tc>
          <w:tcPr>
            <w:tcW w:w="18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940" w:type="dxa"/>
            <w:vAlign w:val="bottom"/>
            <w:gridSpan w:val="2"/>
            <w:shd w:val="clear" w:color="auto" w:fill="FEFEFE"/>
          </w:tcPr>
          <w:p>
            <w:pPr>
              <w:jc w:val="center"/>
              <w:ind w:lef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c>
          <w:tcPr>
            <w:tcW w:w="940" w:type="dxa"/>
            <w:vAlign w:val="bottom"/>
            <w:shd w:val="clear" w:color="auto" w:fill="FEFEFE"/>
          </w:tcPr>
          <w:p>
            <w:pPr>
              <w:jc w:val="center"/>
              <w:ind w:right="740"/>
              <w:spacing w:after="0"/>
              <w:rPr>
                <w:sz w:val="20"/>
                <w:szCs w:val="20"/>
                <w:color w:val="auto"/>
              </w:rPr>
            </w:pPr>
            <w:r>
              <w:rPr>
                <w:rFonts w:ascii="Times New Roman" w:cs="Times New Roman" w:eastAsia="Times New Roman" w:hAnsi="Times New Roman"/>
                <w:sz w:val="20"/>
                <w:szCs w:val="20"/>
                <w:color w:val="auto"/>
                <w:w w:val="89"/>
              </w:rPr>
              <w:t>-</w:t>
            </w:r>
          </w:p>
        </w:tc>
      </w:tr>
      <w:tr>
        <w:trPr>
          <w:trHeight w:val="244"/>
        </w:trPr>
        <w:tc>
          <w:tcPr>
            <w:tcW w:w="51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Weighted average fair value of options granted</w:t>
            </w:r>
          </w:p>
        </w:tc>
        <w:tc>
          <w:tcPr>
            <w:tcW w:w="1860" w:type="dxa"/>
            <w:vAlign w:val="bottom"/>
            <w:shd w:val="clear" w:color="auto" w:fill="E7E7E3"/>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940" w:type="dxa"/>
            <w:vAlign w:val="bottom"/>
            <w:gridSpan w:val="2"/>
            <w:shd w:val="clear" w:color="auto" w:fill="E7E7E3"/>
          </w:tcPr>
          <w:p>
            <w:pPr>
              <w:jc w:val="center"/>
              <w:ind w:left="40"/>
              <w:spacing w:after="0"/>
              <w:rPr>
                <w:sz w:val="20"/>
                <w:szCs w:val="20"/>
                <w:color w:val="auto"/>
              </w:rPr>
            </w:pPr>
            <w:r>
              <w:rPr>
                <w:rFonts w:ascii="Times New Roman" w:cs="Times New Roman" w:eastAsia="Times New Roman" w:hAnsi="Times New Roman"/>
                <w:sz w:val="20"/>
                <w:szCs w:val="20"/>
                <w:color w:val="auto"/>
                <w:w w:val="97"/>
              </w:rPr>
              <w:t>$3.24</w:t>
            </w:r>
          </w:p>
        </w:tc>
        <w:tc>
          <w:tcPr>
            <w:tcW w:w="1900" w:type="dxa"/>
            <w:vAlign w:val="bottom"/>
            <w:gridSpan w:val="3"/>
            <w:shd w:val="clear" w:color="auto" w:fill="E7E7E3"/>
          </w:tcPr>
          <w:p>
            <w:pPr>
              <w:jc w:val="center"/>
              <w:ind w:left="20"/>
              <w:spacing w:after="0"/>
              <w:rPr>
                <w:sz w:val="20"/>
                <w:szCs w:val="20"/>
                <w:color w:val="auto"/>
              </w:rPr>
            </w:pPr>
            <w:r>
              <w:rPr>
                <w:rFonts w:ascii="Times New Roman" w:cs="Times New Roman" w:eastAsia="Times New Roman" w:hAnsi="Times New Roman"/>
                <w:sz w:val="20"/>
                <w:szCs w:val="20"/>
                <w:color w:val="auto"/>
              </w:rPr>
              <w:t>$3.58</w:t>
            </w:r>
          </w:p>
        </w:tc>
      </w:tr>
      <w:tr>
        <w:trPr>
          <w:trHeight w:val="244"/>
        </w:trPr>
        <w:tc>
          <w:tcPr>
            <w:tcW w:w="51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Weighted average fair value of non-vested shares granted</w:t>
            </w:r>
          </w:p>
        </w:tc>
        <w:tc>
          <w:tcPr>
            <w:tcW w:w="18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$3.48</w:t>
            </w:r>
          </w:p>
        </w:tc>
        <w:tc>
          <w:tcPr>
            <w:tcW w:w="1940" w:type="dxa"/>
            <w:vAlign w:val="bottom"/>
            <w:gridSpan w:val="2"/>
            <w:shd w:val="clear" w:color="auto" w:fill="FEFEFE"/>
          </w:tcPr>
          <w:p>
            <w:pPr>
              <w:jc w:val="center"/>
              <w:ind w:left="40"/>
              <w:spacing w:after="0"/>
              <w:rPr>
                <w:sz w:val="20"/>
                <w:szCs w:val="20"/>
                <w:color w:val="auto"/>
              </w:rPr>
            </w:pPr>
            <w:r>
              <w:rPr>
                <w:rFonts w:ascii="Times New Roman" w:cs="Times New Roman" w:eastAsia="Times New Roman" w:hAnsi="Times New Roman"/>
                <w:sz w:val="20"/>
                <w:szCs w:val="20"/>
                <w:color w:val="auto"/>
                <w:w w:val="97"/>
              </w:rPr>
              <w:t>$4.47</w:t>
            </w:r>
          </w:p>
        </w:tc>
        <w:tc>
          <w:tcPr>
            <w:tcW w:w="1900" w:type="dxa"/>
            <w:vAlign w:val="bottom"/>
            <w:gridSpan w:val="3"/>
            <w:shd w:val="clear" w:color="auto" w:fill="FEFEFE"/>
          </w:tcPr>
          <w:p>
            <w:pPr>
              <w:jc w:val="center"/>
              <w:ind w:left="20"/>
              <w:spacing w:after="0"/>
              <w:rPr>
                <w:sz w:val="20"/>
                <w:szCs w:val="20"/>
                <w:color w:val="auto"/>
              </w:rPr>
            </w:pPr>
            <w:r>
              <w:rPr>
                <w:rFonts w:ascii="Times New Roman" w:cs="Times New Roman" w:eastAsia="Times New Roman" w:hAnsi="Times New Roman"/>
                <w:sz w:val="20"/>
                <w:szCs w:val="20"/>
                <w:color w:val="auto"/>
              </w:rPr>
              <w:t>$5.28</w:t>
            </w:r>
          </w:p>
        </w:tc>
      </w:tr>
    </w:tbl>
    <w:p>
      <w:pPr>
        <w:spacing w:after="0" w:line="2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656" w:right="54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recorded an impairment charge of $1.3 million and $0.1 million in fiscal 2024 and fiscal 2023, respectively, and recorded a net gain of $0.2 million in fiscal 2022.</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("ROU") asset. If the first step of the long-lived asset impairment test concludes that the carrying amount of the asset is not recoverable, we perform the second step of the long-lived asset impairment test by comparing the fair value of the asset to its carrying amount and recognizing an impairment charge for the amount by which the carrying amount exceeds the fair value. The fair value of ROU asset is estimated using an income approach based on management’s forecast of future cash flows that could be derived based on the sublease market rent. The amount of impairment, if any, is measured based on projected discounted future cash flows using a discount rate reflecting the Company’s average cost of funds. With respect to the impairment charges taken on operating lease ROU assets, if the Company subsequently makes a decision to close previously impaired stores and a gain is realized as a result of the reevaluation of the existing lease liabilities, to the extent the gain related to previously recorded impairment charges against the ROU assets, the gain will be included as an offset to asset impairment charges with the remainder included as a reduction in store occupancy costs.</w:t>
      </w:r>
    </w:p>
    <w:p>
      <w:pPr>
        <w:spacing w:after="0" w:line="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fiscal 2024, the Company recorded a total impairment charge of $1.3 million related to the write-down of certain store assets and a total asset impairment charge of $0.1 million in fiscal 2023, which included a write-down for certain store and operating lease ROU assets. For fiscal 2022, the Company recognized a non-cash gain of $ 0.6 million, related to the Company's decision to close certain retail stores, with $0.4 million of the gain included as an offset to asset impairment charges and the remaining $0.2 million of the gain included as a reduction of store occupancy costs. Partially offsetting the gain of $0.4 million for fiscal 2022, was an impairment charge of $0.2 million related to the write-down of store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Topic 842, </w:t>
      </w:r>
      <w:r>
        <w:rPr>
          <w:rFonts w:ascii="Times New Roman" w:cs="Times New Roman" w:eastAsia="Times New Roman" w:hAnsi="Times New Roman"/>
          <w:sz w:val="20"/>
          <w:szCs w:val="20"/>
          <w:i w:val="1"/>
          <w:iCs w:val="1"/>
          <w:color w:val="auto"/>
        </w:rPr>
        <w:t>Lessors – Certain Leases with Variable Lease Payments</w:t>
      </w:r>
      <w:r>
        <w:rPr>
          <w:rFonts w:ascii="Times New Roman" w:cs="Times New Roman" w:eastAsia="Times New Roman" w:hAnsi="Times New Roman"/>
          <w:sz w:val="20"/>
          <w:szCs w:val="20"/>
          <w:color w:val="auto"/>
        </w:rPr>
        <w:t xml:space="preserve"> will not be applied to certain, if any, non-store leases, with a term of 12 months or less, recognizing those lease payments on a straight-line basis over the lease term. At February 1, 2025, the Company had no short-term leases.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E,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for additional information.</w:t>
      </w:r>
    </w:p>
    <w:p>
      <w:pPr>
        <w:sectPr>
          <w:pgSz w:w="11880" w:h="15480" w:orient="portrait"/>
          <w:cols w:equalWidth="0" w:num="1">
            <w:col w:w="10800"/>
          </w:cols>
          <w:pgMar w:left="540" w:top="658" w:right="54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658" w:right="5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 Adopted</w:t>
      </w:r>
    </w:p>
    <w:p>
      <w:pPr>
        <w:spacing w:after="0" w:line="2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(the “FASB”) issued ASU 2023-07, </w:t>
      </w:r>
      <w:r>
        <w:rPr>
          <w:rFonts w:ascii="Times New Roman" w:cs="Times New Roman" w:eastAsia="Times New Roman" w:hAnsi="Times New Roman"/>
          <w:sz w:val="20"/>
          <w:szCs w:val="20"/>
          <w:i w:val="1"/>
          <w:iCs w:val="1"/>
          <w:color w:val="auto"/>
        </w:rPr>
        <w:t>Segment Reporting (Topic 280)</w:t>
      </w:r>
      <w:r>
        <w:rPr>
          <w:rFonts w:ascii="Times New Roman" w:cs="Times New Roman" w:eastAsia="Times New Roman" w:hAnsi="Times New Roman"/>
          <w:sz w:val="20"/>
          <w:szCs w:val="20"/>
          <w:color w:val="auto"/>
        </w:rPr>
        <w:t xml:space="preserve"> (“ASU 2023-07”), which requires all public entities to provide enhanced disclosures about significant segment expenses. The amendments in ASU 2023-07 are to be applied retrospectively and are effective for our annual financial statements starting in fiscal 2024 and interim periods starting in fiscal 2025, with early adoption permitted. Accordingly, the Company has adopted ASU 2023-07 for the year ended February 1, 2025, retrospectively, and has expanded its segment reporting disclosures in accordance with this new standard. See Note M, </w:t>
      </w:r>
      <w:r>
        <w:rPr>
          <w:rFonts w:ascii="Times New Roman" w:cs="Times New Roman" w:eastAsia="Times New Roman" w:hAnsi="Times New Roman"/>
          <w:sz w:val="20"/>
          <w:szCs w:val="20"/>
          <w:i w:val="1"/>
          <w:iCs w:val="1"/>
          <w:color w:val="auto"/>
        </w:rPr>
        <w:t>Segment Disclosures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 Not Yet Adopted</w:t>
      </w:r>
    </w:p>
    <w:p>
      <w:pPr>
        <w:spacing w:after="0" w:line="1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In July 2023, the FASB issued ASU 2023-03, </w:t>
      </w:r>
      <w:r>
        <w:rPr>
          <w:rFonts w:ascii="Times New Roman" w:cs="Times New Roman" w:eastAsia="Times New Roman" w:hAnsi="Times New Roman"/>
          <w:sz w:val="20"/>
          <w:szCs w:val="20"/>
          <w:i w:val="1"/>
          <w:iCs w:val="1"/>
          <w:color w:val="auto"/>
        </w:rPr>
        <w:t>Presentation of Financial Statements (Topic 205), Income Statement -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Times New Roman" w:cs="Times New Roman" w:eastAsia="Times New Roman" w:hAnsi="Times New Roman"/>
          <w:sz w:val="20"/>
          <w:szCs w:val="20"/>
          <w:color w:val="auto"/>
        </w:rPr>
        <w:t>("ASU 2023-03"), which amends or supersedes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various SEC paragraphs within the Accounting Standards Codification to conform to past SEC announcements and guidance issued by the SEC. The ASU does not provide any new guidance, and as such, there is no transition effective date. ASU 2023-03 is not expected to have a material impact on the Company's Consolidated Financial Statements.</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 xml:space="preserve">In October 2023, the FASB issued ASU 2023-06, </w:t>
      </w:r>
      <w:r>
        <w:rPr>
          <w:rFonts w:ascii="Times New Roman" w:cs="Times New Roman" w:eastAsia="Times New Roman" w:hAnsi="Times New Roman"/>
          <w:sz w:val="20"/>
          <w:szCs w:val="20"/>
          <w:i w:val="1"/>
          <w:iCs w:val="1"/>
          <w:color w:val="auto"/>
        </w:rPr>
        <w:t>Disclosure Improvements: Codification Amendment in Response to the SEC’s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 Update and Simplification Initiative </w:t>
      </w:r>
      <w:r>
        <w:rPr>
          <w:rFonts w:ascii="Times New Roman" w:cs="Times New Roman" w:eastAsia="Times New Roman" w:hAnsi="Times New Roman"/>
          <w:sz w:val="20"/>
          <w:szCs w:val="20"/>
          <w:color w:val="auto"/>
        </w:rPr>
        <w:t>("ASU 2023-06"). ASU-2023-06 incorporates several disclosure and presentation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currently residing in Regulations S-X and S-K. The amendments will be applied prospectively and are effective when the SEC removes the related requirements from Regulations S-X or S-K. Any amendments that the SEC does not remove by June 30, 2027 will not be effective. The ASU is not expected to have a material impact on the Company’s Consolidated Financial Statements or related disclosures because the Company is currently subjected to the reporting requirements of Regulations S-X and S-K.</w:t>
      </w:r>
    </w:p>
    <w:p>
      <w:pPr>
        <w:spacing w:after="0" w:line="19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which enhances transparency about income tax information through improvements to income tax disclosures primarily related to the rate reconciliation and income taxes paid and to improve the effectiveness of income tax disclosures. This ASU will be effective in fiscal 2025, and allows for adoption on a prospective basis, with a retrospective option. Early adoption is permitted. We are currently evaluating the impact of adopting this accounting standard on our financial statements or related disclosures.</w:t>
      </w:r>
    </w:p>
    <w:p>
      <w:pPr>
        <w:spacing w:after="0" w:line="18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March 2024, the SEC issued its final rule that requires registrants to provide climate disclosures in their annual reports and registration statements. The new rule requires that registrants provide information about specified financial statement effects of severe weather events and other natural conditions, certain carbon offsets and renewable energy certificates, and material impacts on financial estimates and assumptions in the footnotes to financial statements. The rule also requires additional disclosures outside of the financial statements including governance and oversight of material climate-related risks, the material impact of climate risks on the company's strategy, business model and outlook, risk management processes for material climate-related risks and material climate targets and goals. The Company is currently evaluating the new rule and determining the impact of the additional disclosure requirements, as well as the data needed and the source of that data to comply with required disclosures. The new rule is currently effective for fiscal years beginning in 2026 for accelerated filers, with certain disclosures for greenhouse gas emissions beginning in fiscal years beginning in 2028. The rule was scheduled to become effective May 28, 2024; however, the SEC has voluntarily stayed the rule's effective date pending judicial review. Depending on when the legal challenges are resolved, the mandatory compliance date may be retained, delayed or completely vacated.</w:t>
      </w:r>
    </w:p>
    <w:p>
      <w:pPr>
        <w:spacing w:after="0" w:line="1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Statement—Reporting Comprehensive Income—Expense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(Subtopic 2</w:t>
      </w:r>
      <w:r>
        <w:rPr>
          <w:rFonts w:ascii="Times New Roman" w:cs="Times New Roman" w:eastAsia="Times New Roman" w:hAnsi="Times New Roman"/>
          <w:sz w:val="20"/>
          <w:szCs w:val="20"/>
          <w:color w:val="auto"/>
        </w:rPr>
        <w:t>20-40), which will require disclosure, in the notes to financial statements, of specified information about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costs and expenses, including disclosure of amounts for (a) purchases of inventory, (b) employee compensation, (c) depreciation and (d) intangible asset amortization, included in each relevant expense caption. This ASU will be effective for our annual financial statements starting in fiscal 2027 and interim periods starting in fiscal 2028. We are currently evaluating the impact of this accounting standard on our financial statement presentation and its related disclosures.</w:t>
      </w:r>
    </w:p>
    <w:p>
      <w:pPr>
        <w:spacing w:after="0" w:line="20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No other new accounting pronouncements issued or effective during fiscal 2024 have had or are expected to have a significant impact on the Company’s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REVENUE RECOGNITION</w:t>
      </w:r>
    </w:p>
    <w:p>
      <w:pPr>
        <w:spacing w:after="0" w:line="2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 xml:space="preserve">Revenue is recognized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The Company operates as a retailer of big + tall men’s clothing, which includes sales through its stores and direct channels. Revenue is recognized by the operating segment</w:t>
      </w:r>
    </w:p>
    <w:p>
      <w:pPr>
        <w:sectPr>
          <w:pgSz w:w="11880" w:h="15480" w:orient="portrait"/>
          <w:cols w:equalWidth="0" w:num="1">
            <w:col w:w="10800"/>
          </w:cols>
          <w:pgMar w:left="540" w:top="658" w:right="54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658" w:right="540" w:bottom="0" w:gutter="0" w:footer="0" w:header="0"/>
          <w:type w:val="continuous"/>
        </w:sectPr>
      </w:pPr>
    </w:p>
    <w:bookmarkStart w:id="52" w:name="page53"/>
    <w:bookmarkEnd w:id="52"/>
    <w:p>
      <w:pPr>
        <w:jc w:val="both"/>
        <w:spacing w:after="0" w:line="246" w:lineRule="auto"/>
        <w:rPr>
          <w:sz w:val="20"/>
          <w:szCs w:val="20"/>
          <w:color w:val="auto"/>
        </w:rPr>
      </w:pPr>
      <w:r>
        <w:rPr>
          <w:rFonts w:ascii="Times New Roman" w:cs="Times New Roman" w:eastAsia="Times New Roman" w:hAnsi="Times New Roman"/>
          <w:sz w:val="20"/>
          <w:szCs w:val="20"/>
          <w:color w:val="auto"/>
        </w:rPr>
        <w:t>that initiates a customer’s order. Store sales are defined as sales that originate and are fulfilled directly at the store level. Direct sales are defined as sales that originate online, including those initiated online at the store level, on the Company's website or on third-party marketplaces. Sales from the wholesale business, which the Company operated until the first quarter of fiscal 2022, were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Unredeemed Loyalty Coupons. </w:t>
      </w:r>
      <w:r>
        <w:rPr>
          <w:rFonts w:ascii="Times New Roman" w:cs="Times New Roman" w:eastAsia="Times New Roman" w:hAnsi="Times New Roman"/>
          <w:sz w:val="20"/>
          <w:szCs w:val="20"/>
          <w:color w:val="auto"/>
        </w:rPr>
        <w:t>The Company offers a free loyalty program to its customers for which points accumulate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of merchandise. Under ASC 606, these loyalty points provide the customer with a material right and a distinct performance obligation with revenue deferred and recognized when the points are redeemed. The cycle of earning and redeeming loyalty points is generally under one year in duration. The Company's legacy loyalty program ended at the end of fiscal 2024 and all unused loyalty points and certificates were expired. The Company's new loyalty program launched at the start of fiscal 2025. As such, at February 1, 2025 there was no outstanding loyalty accrual. The loyalty accrual, net of breakage, at February 3, 2024 was $1.7 million.</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Unredeemed Gift Cards, Gift Certificates, and Credit Vouchers. </w:t>
      </w:r>
      <w:r>
        <w:rPr>
          <w:rFonts w:ascii="Times New Roman" w:cs="Times New Roman" w:eastAsia="Times New Roman" w:hAnsi="Times New Roman"/>
          <w:sz w:val="20"/>
          <w:szCs w:val="20"/>
          <w:color w:val="auto"/>
        </w:rPr>
        <w:t>Upon issuance of a gift card, gift certificate or credit voucher, a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established for 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$3.3 million and $3.2 million at February 1, 2025 and February 3, 2024, respectively.</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Shipping. </w:t>
      </w:r>
      <w:r>
        <w:rPr>
          <w:rFonts w:ascii="Times New Roman" w:cs="Times New Roman" w:eastAsia="Times New Roman" w:hAnsi="Times New Roman"/>
          <w:sz w:val="20"/>
          <w:szCs w:val="20"/>
          <w:color w:val="auto"/>
        </w:rPr>
        <w:t>Shipping and handling costs are accounted for as fulfillment costs and are included in cost of sales for all periods presented.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related to shipping and handling that are billed to customers are recorded in sales, and the related costs are recorded in cost of goods sold including occupancy costs,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 noted above under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in Note A, the Company’s business at February 1, 2025 consists of one reportable segment. Substantially all of the Company’s revenue is generated from its stores and direct businesses. In the first quarter of fiscal 2022, the Company ended its relationship with its primary wholesale customer. Accordingly, the Company has determined that the following sales channels depict the nature, amount, timing and uncertainty of how revenue and cash flows are affected by economic factors for each of the following fiscal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488"/>
        </w:trPr>
        <w:tc>
          <w:tcPr>
            <w:tcW w:w="24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FEFEFE"/>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spacing w:after="0"/>
              <w:rPr>
                <w:sz w:val="24"/>
                <w:szCs w:val="24"/>
                <w:color w:val="auto"/>
              </w:rPr>
            </w:pPr>
          </w:p>
        </w:tc>
        <w:tc>
          <w:tcPr>
            <w:tcW w:w="1280" w:type="dxa"/>
            <w:vAlign w:val="bottom"/>
            <w:tcBorders>
              <w:bottom w:val="single" w:sz="8" w:color="auto"/>
            </w:tcBorders>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Fiscal 2024</w:t>
            </w:r>
          </w:p>
        </w:tc>
        <w:tc>
          <w:tcPr>
            <w:tcW w:w="1200" w:type="dxa"/>
            <w:vAlign w:val="bottom"/>
            <w:tcBorders>
              <w:bottom w:val="single" w:sz="8" w:color="FEFEFE"/>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1400" w:type="dxa"/>
            <w:vAlign w:val="bottom"/>
            <w:tcBorders>
              <w:bottom w:val="single" w:sz="8" w:color="auto"/>
            </w:tcBorders>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Fiscal 2023</w:t>
            </w:r>
          </w:p>
        </w:tc>
        <w:tc>
          <w:tcPr>
            <w:tcW w:w="1160" w:type="dxa"/>
            <w:vAlign w:val="bottom"/>
            <w:tcBorders>
              <w:bottom w:val="single" w:sz="8" w:color="FEFEFE"/>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1420" w:type="dxa"/>
            <w:vAlign w:val="bottom"/>
            <w:tcBorders>
              <w:bottom w:val="single" w:sz="8" w:color="auto"/>
            </w:tcBorders>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Fiscal 2022</w:t>
            </w:r>
          </w:p>
        </w:tc>
        <w:tc>
          <w:tcPr>
            <w:tcW w:w="1040" w:type="dxa"/>
            <w:vAlign w:val="bottom"/>
            <w:tcBorders>
              <w:bottom w:val="single" w:sz="8" w:color="FEFEFE"/>
            </w:tcBorders>
            <w:shd w:val="clear" w:color="auto" w:fill="FEFEFE"/>
          </w:tcPr>
          <w:p>
            <w:pPr>
              <w:spacing w:after="0"/>
              <w:rPr>
                <w:sz w:val="24"/>
                <w:szCs w:val="24"/>
                <w:color w:val="auto"/>
              </w:rPr>
            </w:pPr>
          </w:p>
        </w:tc>
      </w:tr>
      <w:tr>
        <w:trPr>
          <w:trHeight w:val="234"/>
        </w:trPr>
        <w:tc>
          <w:tcPr>
            <w:tcW w:w="24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Store sales</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325,713</w:t>
            </w:r>
          </w:p>
        </w:tc>
        <w:tc>
          <w:tcPr>
            <w:tcW w:w="120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69.7%</w:t>
            </w:r>
          </w:p>
        </w:tc>
        <w:tc>
          <w:tcPr>
            <w:tcW w:w="2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358,710</w:t>
            </w:r>
          </w:p>
        </w:tc>
        <w:tc>
          <w:tcPr>
            <w:tcW w:w="11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68.7%</w:t>
            </w:r>
          </w:p>
        </w:tc>
        <w:tc>
          <w:tcPr>
            <w:tcW w:w="2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375,618</w:t>
            </w:r>
          </w:p>
        </w:tc>
        <w:tc>
          <w:tcPr>
            <w:tcW w:w="10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68.9%</w:t>
            </w:r>
          </w:p>
        </w:tc>
      </w:tr>
      <w:tr>
        <w:trPr>
          <w:trHeight w:val="244"/>
        </w:trPr>
        <w:tc>
          <w:tcPr>
            <w:tcW w:w="248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Direct sales</w:t>
            </w:r>
          </w:p>
        </w:tc>
        <w:tc>
          <w:tcPr>
            <w:tcW w:w="220" w:type="dxa"/>
            <w:vAlign w:val="bottom"/>
            <w:tcBorders>
              <w:bottom w:val="single" w:sz="8" w:color="FEFEFE"/>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spacing w:after="0"/>
              <w:rPr>
                <w:sz w:val="21"/>
                <w:szCs w:val="21"/>
                <w:color w:val="auto"/>
              </w:rPr>
            </w:pPr>
          </w:p>
        </w:tc>
        <w:tc>
          <w:tcPr>
            <w:tcW w:w="12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141,302</w:t>
            </w:r>
          </w:p>
        </w:tc>
        <w:tc>
          <w:tcPr>
            <w:tcW w:w="120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16"/>
                <w:szCs w:val="16"/>
                <w:i w:val="1"/>
                <w:iCs w:val="1"/>
                <w:color w:val="auto"/>
              </w:rPr>
              <w:t>30.3%</w:t>
            </w:r>
          </w:p>
        </w:tc>
        <w:tc>
          <w:tcPr>
            <w:tcW w:w="220" w:type="dxa"/>
            <w:vAlign w:val="bottom"/>
            <w:tcBorders>
              <w:bottom w:val="single" w:sz="8" w:color="auto"/>
            </w:tcBorders>
            <w:shd w:val="clear" w:color="auto" w:fill="E7E7E3"/>
          </w:tcPr>
          <w:p>
            <w:pPr>
              <w:spacing w:after="0"/>
              <w:rPr>
                <w:sz w:val="21"/>
                <w:szCs w:val="21"/>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163,105</w:t>
            </w:r>
          </w:p>
        </w:tc>
        <w:tc>
          <w:tcPr>
            <w:tcW w:w="116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16"/>
                <w:szCs w:val="16"/>
                <w:i w:val="1"/>
                <w:iCs w:val="1"/>
                <w:color w:val="auto"/>
              </w:rPr>
              <w:t>31.3%</w:t>
            </w:r>
          </w:p>
        </w:tc>
        <w:tc>
          <w:tcPr>
            <w:tcW w:w="220" w:type="dxa"/>
            <w:vAlign w:val="bottom"/>
            <w:tcBorders>
              <w:bottom w:val="single" w:sz="8" w:color="auto"/>
            </w:tcBorders>
            <w:shd w:val="clear" w:color="auto" w:fill="E7E7E3"/>
          </w:tcPr>
          <w:p>
            <w:pPr>
              <w:spacing w:after="0"/>
              <w:rPr>
                <w:sz w:val="21"/>
                <w:szCs w:val="21"/>
                <w:color w:val="auto"/>
              </w:rPr>
            </w:pPr>
          </w:p>
        </w:tc>
        <w:tc>
          <w:tcPr>
            <w:tcW w:w="14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169,821</w:t>
            </w:r>
          </w:p>
        </w:tc>
        <w:tc>
          <w:tcPr>
            <w:tcW w:w="1040" w:type="dxa"/>
            <w:vAlign w:val="bottom"/>
            <w:tcBorders>
              <w:bottom w:val="single" w:sz="8" w:color="FEFEFE"/>
            </w:tcBorders>
            <w:shd w:val="clear" w:color="auto" w:fill="E7E7E3"/>
          </w:tcPr>
          <w:p>
            <w:pPr>
              <w:ind w:left="100"/>
              <w:spacing w:after="0"/>
              <w:rPr>
                <w:sz w:val="20"/>
                <w:szCs w:val="20"/>
                <w:color w:val="auto"/>
              </w:rPr>
            </w:pPr>
            <w:r>
              <w:rPr>
                <w:rFonts w:ascii="Times New Roman" w:cs="Times New Roman" w:eastAsia="Times New Roman" w:hAnsi="Times New Roman"/>
                <w:sz w:val="16"/>
                <w:szCs w:val="16"/>
                <w:i w:val="1"/>
                <w:iCs w:val="1"/>
                <w:color w:val="auto"/>
              </w:rPr>
              <w:t>31.1%</w:t>
            </w:r>
          </w:p>
        </w:tc>
      </w:tr>
      <w:tr>
        <w:trPr>
          <w:trHeight w:val="234"/>
        </w:trPr>
        <w:tc>
          <w:tcPr>
            <w:tcW w:w="24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Retail segment</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467,015</w:t>
            </w:r>
          </w:p>
        </w:tc>
        <w:tc>
          <w:tcPr>
            <w:tcW w:w="120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100.0%</w:t>
            </w:r>
          </w:p>
        </w:tc>
        <w:tc>
          <w:tcPr>
            <w:tcW w:w="220" w:type="dxa"/>
            <w:vAlign w:val="bottom"/>
            <w:shd w:val="clear" w:color="auto" w:fill="FEFEFE"/>
          </w:tcPr>
          <w:p>
            <w:pPr>
              <w:spacing w:after="0"/>
              <w:rPr>
                <w:sz w:val="20"/>
                <w:szCs w:val="20"/>
                <w:color w:val="auto"/>
              </w:rPr>
            </w:pPr>
          </w:p>
        </w:tc>
        <w:tc>
          <w:tcPr>
            <w:tcW w:w="14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521,815</w:t>
            </w:r>
          </w:p>
        </w:tc>
        <w:tc>
          <w:tcPr>
            <w:tcW w:w="11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100.0%</w:t>
            </w:r>
          </w:p>
        </w:tc>
        <w:tc>
          <w:tcPr>
            <w:tcW w:w="220" w:type="dxa"/>
            <w:vAlign w:val="bottom"/>
            <w:shd w:val="clear" w:color="auto" w:fill="FEFEFE"/>
          </w:tcPr>
          <w:p>
            <w:pPr>
              <w:spacing w:after="0"/>
              <w:rPr>
                <w:sz w:val="20"/>
                <w:szCs w:val="20"/>
                <w:color w:val="auto"/>
              </w:rPr>
            </w:pPr>
          </w:p>
        </w:tc>
        <w:tc>
          <w:tcPr>
            <w:tcW w:w="1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545,439</w:t>
            </w:r>
          </w:p>
        </w:tc>
        <w:tc>
          <w:tcPr>
            <w:tcW w:w="10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16"/>
                <w:szCs w:val="16"/>
                <w:i w:val="1"/>
                <w:iCs w:val="1"/>
                <w:color w:val="auto"/>
              </w:rPr>
              <w:t>100.0%</w:t>
            </w:r>
          </w:p>
        </w:tc>
      </w:tr>
      <w:tr>
        <w:trPr>
          <w:trHeight w:val="244"/>
        </w:trPr>
        <w:tc>
          <w:tcPr>
            <w:tcW w:w="248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Wholesale segment</w:t>
            </w:r>
          </w:p>
        </w:tc>
        <w:tc>
          <w:tcPr>
            <w:tcW w:w="220" w:type="dxa"/>
            <w:vAlign w:val="bottom"/>
            <w:tcBorders>
              <w:bottom w:val="single" w:sz="8" w:color="FEFEFE"/>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spacing w:after="0"/>
              <w:rPr>
                <w:sz w:val="21"/>
                <w:szCs w:val="21"/>
                <w:color w:val="auto"/>
              </w:rPr>
            </w:pPr>
          </w:p>
        </w:tc>
        <w:tc>
          <w:tcPr>
            <w:tcW w:w="12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FEFEFE"/>
            </w:tcBorders>
            <w:shd w:val="clear" w:color="auto" w:fill="E7E7E3"/>
          </w:tcPr>
          <w:p>
            <w:pPr>
              <w:spacing w:after="0"/>
              <w:rPr>
                <w:sz w:val="21"/>
                <w:szCs w:val="21"/>
                <w:color w:val="auto"/>
              </w:rPr>
            </w:pPr>
          </w:p>
        </w:tc>
        <w:tc>
          <w:tcPr>
            <w:tcW w:w="220" w:type="dxa"/>
            <w:vAlign w:val="bottom"/>
            <w:tcBorders>
              <w:bottom w:val="single" w:sz="8" w:color="auto"/>
            </w:tcBorders>
            <w:shd w:val="clear" w:color="auto" w:fill="E7E7E3"/>
          </w:tcPr>
          <w:p>
            <w:pPr>
              <w:spacing w:after="0"/>
              <w:rPr>
                <w:sz w:val="21"/>
                <w:szCs w:val="21"/>
                <w:color w:val="auto"/>
              </w:rPr>
            </w:pPr>
          </w:p>
        </w:tc>
        <w:tc>
          <w:tcPr>
            <w:tcW w:w="14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FEFEFE"/>
            </w:tcBorders>
            <w:shd w:val="clear" w:color="auto" w:fill="E7E7E3"/>
          </w:tcPr>
          <w:p>
            <w:pPr>
              <w:spacing w:after="0"/>
              <w:rPr>
                <w:sz w:val="21"/>
                <w:szCs w:val="21"/>
                <w:color w:val="auto"/>
              </w:rPr>
            </w:pPr>
          </w:p>
        </w:tc>
        <w:tc>
          <w:tcPr>
            <w:tcW w:w="220" w:type="dxa"/>
            <w:vAlign w:val="bottom"/>
            <w:tcBorders>
              <w:bottom w:val="single" w:sz="8" w:color="auto"/>
            </w:tcBorders>
            <w:shd w:val="clear" w:color="auto" w:fill="E7E7E3"/>
          </w:tcPr>
          <w:p>
            <w:pPr>
              <w:spacing w:after="0"/>
              <w:rPr>
                <w:sz w:val="21"/>
                <w:szCs w:val="21"/>
                <w:color w:val="auto"/>
              </w:rPr>
            </w:pPr>
          </w:p>
        </w:tc>
        <w:tc>
          <w:tcPr>
            <w:tcW w:w="14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1040" w:type="dxa"/>
            <w:vAlign w:val="bottom"/>
            <w:tcBorders>
              <w:bottom w:val="single" w:sz="8" w:color="FEFEFE"/>
            </w:tcBorders>
            <w:shd w:val="clear" w:color="auto" w:fill="E7E7E3"/>
          </w:tcPr>
          <w:p>
            <w:pPr>
              <w:spacing w:after="0"/>
              <w:rPr>
                <w:sz w:val="21"/>
                <w:szCs w:val="21"/>
                <w:color w:val="auto"/>
              </w:rPr>
            </w:pPr>
          </w:p>
        </w:tc>
      </w:tr>
      <w:tr>
        <w:trPr>
          <w:trHeight w:val="234"/>
        </w:trPr>
        <w:tc>
          <w:tcPr>
            <w:tcW w:w="24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sales</w:t>
            </w:r>
          </w:p>
        </w:tc>
        <w:tc>
          <w:tcPr>
            <w:tcW w:w="220" w:type="dxa"/>
            <w:vAlign w:val="bottom"/>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467,015</w:t>
            </w:r>
          </w:p>
        </w:tc>
        <w:tc>
          <w:tcPr>
            <w:tcW w:w="1200" w:type="dxa"/>
            <w:vAlign w:val="bottom"/>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521,815</w:t>
            </w:r>
          </w:p>
        </w:tc>
        <w:tc>
          <w:tcPr>
            <w:tcW w:w="1160" w:type="dxa"/>
            <w:vAlign w:val="bottom"/>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545,838</w:t>
            </w:r>
          </w:p>
        </w:tc>
        <w:tc>
          <w:tcPr>
            <w:tcW w:w="1040" w:type="dxa"/>
            <w:vAlign w:val="bottom"/>
            <w:shd w:val="clear" w:color="auto" w:fill="FEFEFE"/>
          </w:tcPr>
          <w:p>
            <w:pPr>
              <w:spacing w:after="0"/>
              <w:rPr>
                <w:sz w:val="20"/>
                <w:szCs w:val="20"/>
                <w:color w:val="auto"/>
              </w:rPr>
            </w:pP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PROPERTY AND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consisted of the following at the dates indicated:</w:t>
      </w:r>
    </w:p>
    <w:p>
      <w:pPr>
        <w:spacing w:after="0" w:line="18"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506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60" w:type="dxa"/>
            <w:vAlign w:val="bottom"/>
            <w:shd w:val="clear" w:color="auto" w:fill="FEFEFE"/>
          </w:tcPr>
          <w:p>
            <w:pPr>
              <w:jc w:val="right"/>
              <w:ind w:right="84"/>
              <w:spacing w:after="0"/>
              <w:rPr>
                <w:sz w:val="20"/>
                <w:szCs w:val="20"/>
                <w:color w:val="auto"/>
              </w:rPr>
            </w:pPr>
            <w:r>
              <w:rPr>
                <w:rFonts w:ascii="Times New Roman" w:cs="Times New Roman" w:eastAsia="Times New Roman" w:hAnsi="Times New Roman"/>
                <w:sz w:val="16"/>
                <w:szCs w:val="16"/>
                <w:color w:val="auto"/>
              </w:rPr>
              <w:t>February 1,</w:t>
            </w:r>
          </w:p>
        </w:tc>
        <w:tc>
          <w:tcPr>
            <w:tcW w:w="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020" w:type="dxa"/>
            <w:vAlign w:val="bottom"/>
            <w:gridSpan w:val="2"/>
            <w:shd w:val="clear" w:color="auto" w:fill="FEFEFE"/>
          </w:tcPr>
          <w:p>
            <w:pPr>
              <w:ind w:left="40"/>
              <w:spacing w:after="0"/>
              <w:rPr>
                <w:sz w:val="20"/>
                <w:szCs w:val="20"/>
                <w:color w:val="auto"/>
              </w:rPr>
            </w:pPr>
            <w:r>
              <w:rPr>
                <w:rFonts w:ascii="Times New Roman" w:cs="Times New Roman" w:eastAsia="Times New Roman" w:hAnsi="Times New Roman"/>
                <w:sz w:val="16"/>
                <w:szCs w:val="16"/>
                <w:color w:val="auto"/>
              </w:rPr>
              <w:t>February 3,</w:t>
            </w:r>
          </w:p>
        </w:tc>
      </w:tr>
      <w:tr>
        <w:trPr>
          <w:trHeight w:val="201"/>
        </w:trPr>
        <w:tc>
          <w:tcPr>
            <w:tcW w:w="50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bottom w:val="single" w:sz="8" w:color="E7E7E3"/>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60" w:type="dxa"/>
            <w:vAlign w:val="bottom"/>
            <w:tcBorders>
              <w:bottom w:val="single" w:sz="8" w:color="auto"/>
            </w:tcBorders>
            <w:shd w:val="clear" w:color="auto" w:fill="FEFEFE"/>
          </w:tcPr>
          <w:p>
            <w:pPr>
              <w:jc w:val="right"/>
              <w:ind w:right="284"/>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Borders>
              <w:bottom w:val="single" w:sz="8" w:color="E7E7E3"/>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960" w:type="dxa"/>
            <w:vAlign w:val="bottom"/>
            <w:tcBorders>
              <w:bottom w:val="single" w:sz="8" w:color="auto"/>
            </w:tcBorders>
            <w:shd w:val="clear" w:color="auto" w:fill="FEFEFE"/>
          </w:tcPr>
          <w:p>
            <w:pPr>
              <w:jc w:val="right"/>
              <w:ind w:right="304"/>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Borders>
              <w:bottom w:val="single" w:sz="8" w:color="E7E7E3"/>
            </w:tcBorders>
            <w:shd w:val="clear" w:color="auto" w:fill="FEFEFE"/>
          </w:tcPr>
          <w:p>
            <w:pPr>
              <w:spacing w:after="0"/>
              <w:rPr>
                <w:sz w:val="17"/>
                <w:szCs w:val="17"/>
                <w:color w:val="auto"/>
              </w:rPr>
            </w:pPr>
          </w:p>
        </w:tc>
      </w:tr>
      <w:tr>
        <w:trPr>
          <w:trHeight w:val="234"/>
        </w:trPr>
        <w:tc>
          <w:tcPr>
            <w:tcW w:w="50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83,491</w:t>
            </w:r>
          </w:p>
        </w:tc>
        <w:tc>
          <w:tcPr>
            <w:tcW w:w="60" w:type="dxa"/>
            <w:vAlign w:val="bottom"/>
            <w:shd w:val="clear" w:color="auto" w:fill="E7E7E3"/>
          </w:tcPr>
          <w:p>
            <w:pPr>
              <w:spacing w:after="0"/>
              <w:rPr>
                <w:sz w:val="20"/>
                <w:szCs w:val="20"/>
                <w:color w:val="auto"/>
              </w:rPr>
            </w:pPr>
          </w:p>
        </w:tc>
        <w:tc>
          <w:tcPr>
            <w:tcW w:w="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75,987</w:t>
            </w:r>
          </w:p>
        </w:tc>
        <w:tc>
          <w:tcPr>
            <w:tcW w:w="60" w:type="dxa"/>
            <w:vAlign w:val="bottom"/>
            <w:shd w:val="clear" w:color="auto" w:fill="E7E7E3"/>
          </w:tcPr>
          <w:p>
            <w:pPr>
              <w:spacing w:after="0"/>
              <w:rPr>
                <w:sz w:val="20"/>
                <w:szCs w:val="20"/>
                <w:color w:val="auto"/>
              </w:rPr>
            </w:pPr>
          </w:p>
        </w:tc>
      </w:tr>
      <w:tr>
        <w:trPr>
          <w:trHeight w:val="244"/>
        </w:trPr>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Equipment</w:t>
            </w:r>
          </w:p>
        </w:tc>
        <w:tc>
          <w:tcPr>
            <w:tcW w:w="1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26,133</w:t>
            </w: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25,184</w:t>
            </w:r>
          </w:p>
        </w:tc>
        <w:tc>
          <w:tcPr>
            <w:tcW w:w="60" w:type="dxa"/>
            <w:vAlign w:val="bottom"/>
            <w:shd w:val="clear" w:color="auto" w:fill="FEFEFE"/>
          </w:tcPr>
          <w:p>
            <w:pPr>
              <w:spacing w:after="0"/>
              <w:rPr>
                <w:sz w:val="21"/>
                <w:szCs w:val="21"/>
                <w:color w:val="auto"/>
              </w:rPr>
            </w:pPr>
          </w:p>
        </w:tc>
      </w:tr>
      <w:tr>
        <w:trPr>
          <w:trHeight w:val="244"/>
        </w:trPr>
        <w:tc>
          <w:tcPr>
            <w:tcW w:w="50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0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131,822</w:t>
            </w:r>
          </w:p>
        </w:tc>
        <w:tc>
          <w:tcPr>
            <w:tcW w:w="6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122,555</w:t>
            </w:r>
          </w:p>
        </w:tc>
        <w:tc>
          <w:tcPr>
            <w:tcW w:w="60" w:type="dxa"/>
            <w:vAlign w:val="bottom"/>
            <w:shd w:val="clear" w:color="auto" w:fill="E7E7E3"/>
          </w:tcPr>
          <w:p>
            <w:pPr>
              <w:spacing w:after="0"/>
              <w:rPr>
                <w:sz w:val="21"/>
                <w:szCs w:val="21"/>
                <w:color w:val="auto"/>
              </w:rPr>
            </w:pPr>
          </w:p>
        </w:tc>
      </w:tr>
      <w:tr>
        <w:trPr>
          <w:trHeight w:val="244"/>
        </w:trPr>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Hardware and software</w:t>
            </w:r>
          </w:p>
        </w:tc>
        <w:tc>
          <w:tcPr>
            <w:tcW w:w="1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118,820</w:t>
            </w: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111,884</w:t>
            </w:r>
          </w:p>
        </w:tc>
        <w:tc>
          <w:tcPr>
            <w:tcW w:w="60" w:type="dxa"/>
            <w:vAlign w:val="bottom"/>
            <w:shd w:val="clear" w:color="auto" w:fill="FEFEFE"/>
          </w:tcPr>
          <w:p>
            <w:pPr>
              <w:spacing w:after="0"/>
              <w:rPr>
                <w:sz w:val="21"/>
                <w:szCs w:val="21"/>
                <w:color w:val="auto"/>
              </w:rPr>
            </w:pPr>
          </w:p>
        </w:tc>
      </w:tr>
      <w:tr>
        <w:trPr>
          <w:trHeight w:val="244"/>
        </w:trPr>
        <w:tc>
          <w:tcPr>
            <w:tcW w:w="506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0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9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7,774</w:t>
            </w:r>
          </w:p>
        </w:tc>
        <w:tc>
          <w:tcPr>
            <w:tcW w:w="6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9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7,560</w:t>
            </w:r>
          </w:p>
        </w:tc>
        <w:tc>
          <w:tcPr>
            <w:tcW w:w="60" w:type="dxa"/>
            <w:vAlign w:val="bottom"/>
            <w:tcBorders>
              <w:bottom w:val="single" w:sz="8" w:color="FEFEFE"/>
            </w:tcBorders>
            <w:shd w:val="clear" w:color="auto" w:fill="E7E7E3"/>
          </w:tcPr>
          <w:p>
            <w:pPr>
              <w:spacing w:after="0"/>
              <w:rPr>
                <w:sz w:val="21"/>
                <w:szCs w:val="21"/>
                <w:color w:val="auto"/>
              </w:rPr>
            </w:pPr>
          </w:p>
        </w:tc>
      </w:tr>
      <w:tr>
        <w:trPr>
          <w:trHeight w:val="234"/>
        </w:trPr>
        <w:tc>
          <w:tcPr>
            <w:tcW w:w="506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368,040</w:t>
            </w:r>
          </w:p>
        </w:tc>
        <w:tc>
          <w:tcPr>
            <w:tcW w:w="6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343,170</w:t>
            </w:r>
          </w:p>
        </w:tc>
        <w:tc>
          <w:tcPr>
            <w:tcW w:w="60" w:type="dxa"/>
            <w:vAlign w:val="bottom"/>
            <w:shd w:val="clear" w:color="auto" w:fill="FEFEFE"/>
          </w:tcPr>
          <w:p>
            <w:pPr>
              <w:spacing w:after="0"/>
              <w:rPr>
                <w:sz w:val="20"/>
                <w:szCs w:val="20"/>
                <w:color w:val="auto"/>
              </w:rPr>
            </w:pPr>
          </w:p>
        </w:tc>
      </w:tr>
      <w:tr>
        <w:trPr>
          <w:trHeight w:val="244"/>
        </w:trPr>
        <w:tc>
          <w:tcPr>
            <w:tcW w:w="506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0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9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311,058</w:t>
            </w:r>
          </w:p>
        </w:tc>
        <w:tc>
          <w:tcPr>
            <w:tcW w:w="6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9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299,932</w:t>
            </w:r>
          </w:p>
        </w:tc>
        <w:tc>
          <w:tcPr>
            <w:tcW w:w="60" w:type="dxa"/>
            <w:vAlign w:val="bottom"/>
            <w:tcBorders>
              <w:bottom w:val="single" w:sz="8" w:color="FEFEFE"/>
            </w:tcBorders>
            <w:shd w:val="clear" w:color="auto" w:fill="E7E7E3"/>
          </w:tcPr>
          <w:p>
            <w:pPr>
              <w:spacing w:after="0"/>
              <w:rPr>
                <w:sz w:val="21"/>
                <w:szCs w:val="21"/>
                <w:color w:val="auto"/>
              </w:rPr>
            </w:pPr>
          </w:p>
        </w:tc>
      </w:tr>
      <w:tr>
        <w:trPr>
          <w:trHeight w:val="234"/>
        </w:trPr>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100" w:type="dxa"/>
            <w:vAlign w:val="bottom"/>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56,982</w:t>
            </w:r>
          </w:p>
        </w:tc>
        <w:tc>
          <w:tcPr>
            <w:tcW w:w="180" w:type="dxa"/>
            <w:vAlign w:val="bottom"/>
            <w:gridSpan w:val="2"/>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43,238</w:t>
            </w:r>
          </w:p>
        </w:tc>
        <w:tc>
          <w:tcPr>
            <w:tcW w:w="60" w:type="dxa"/>
            <w:vAlign w:val="bottom"/>
            <w:shd w:val="clear" w:color="auto" w:fill="FEFEFE"/>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$13.9 million, $13.8 million and $15.4 million for fiscal 2024, fiscal 2023, and fiscal 2022, respectively.</w:t>
      </w:r>
    </w:p>
    <w:p>
      <w:pPr>
        <w:spacing w:after="0" w:line="23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color w:val="auto"/>
        </w:rPr>
        <w:t>Additions to property and equipment that were included in accounts payable and accrued expenses at February 1, 2025, February 3, 2024 and January 28, 2023 were $3.5 million, $2.3 million, and $1.7 million, respectively.</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656" w:right="54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D. DEBT OBLIGATIONS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Agreement with Citizens Bank, N.A.</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spacing w:after="0" w:line="65"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20"/>
          <w:szCs w:val="20"/>
          <w:color w:val="auto"/>
        </w:rPr>
        <w:t>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7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w:t>
      </w:r>
    </w:p>
    <w:p>
      <w:pPr>
        <w:ind w:right="520"/>
        <w:spacing w:after="0" w:line="279" w:lineRule="auto"/>
        <w:tabs>
          <w:tab w:leader="none" w:pos="29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Margin. Any swingline loan will continue to bear interest at a rate equal to the Base Rate plus the Applicable Margin. The Company is subject to an unused line fee of 0.25%.</w:t>
      </w:r>
    </w:p>
    <w:p>
      <w:pPr>
        <w:spacing w:after="0" w:line="4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February 1, 2025, the Company had no outstanding borrowings and availability of $64.7 million under the Credit Facility. There were no borrowings under the Credit Facility during fiscal 2024, resulting in an average unused excess availability of approximately $73.6 million. Outstanding standby letters of credit were $4.2 million at February 1, 2025. At February 1, 2025, the Company's prime interest rate was 7.75%.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Fees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paid interest and fees totaling $0.4 million, $0.3 million and $0.4 million for fiscal 2024, fiscal 2023 and fiscal 2022, respectively.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LEASES</w:t>
      </w:r>
    </w:p>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leases all of its store locations and its corporate headquarters, which also includes its distribution center, under operating leases. The store leases typically have initial terms of 10 years, with options that usually permit renewal for additional five-year periods. The initial term of the lease for the corporate headquarters is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February 1, 2025, the Company’s operating leases liabilities represent the present value of the remaining future minimum lease payments updated based on concessions and lease modifications, as applicable.</w:t>
      </w:r>
    </w:p>
    <w:p>
      <w:pPr>
        <w:spacing w:after="0" w:line="57"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653" w:right="5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The following table is a summary of the Company’s components of lease costs for fiscal 2024, fiscal 2023 and fiscal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40" w:type="dxa"/>
            <w:vAlign w:val="bottom"/>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540" w:type="dxa"/>
            <w:vAlign w:val="bottom"/>
            <w:gridSpan w:val="3"/>
            <w:shd w:val="clear" w:color="auto" w:fill="E7E7E3"/>
          </w:tcPr>
          <w:p>
            <w:pPr>
              <w:jc w:val="right"/>
              <w:ind w:right="440"/>
              <w:spacing w:after="0"/>
              <w:rPr>
                <w:sz w:val="20"/>
                <w:szCs w:val="20"/>
                <w:color w:val="auto"/>
              </w:rPr>
            </w:pPr>
            <w:r>
              <w:rPr>
                <w:rFonts w:ascii="Times New Roman" w:cs="Times New Roman" w:eastAsia="Times New Roman" w:hAnsi="Times New Roman"/>
                <w:sz w:val="20"/>
                <w:szCs w:val="20"/>
                <w:color w:val="auto"/>
              </w:rPr>
              <w:t>Fiscal 2024</w:t>
            </w:r>
          </w:p>
        </w:tc>
        <w:tc>
          <w:tcPr>
            <w:tcW w:w="340" w:type="dxa"/>
            <w:vAlign w:val="bottom"/>
            <w:shd w:val="clear" w:color="auto" w:fill="E7E7E3"/>
          </w:tcPr>
          <w:p>
            <w:pPr>
              <w:spacing w:after="0"/>
              <w:rPr>
                <w:sz w:val="20"/>
                <w:szCs w:val="20"/>
                <w:color w:val="auto"/>
              </w:rPr>
            </w:pPr>
          </w:p>
        </w:tc>
        <w:tc>
          <w:tcPr>
            <w:tcW w:w="420" w:type="dxa"/>
            <w:vAlign w:val="bottom"/>
            <w:shd w:val="clear" w:color="auto" w:fill="E7E7E3"/>
          </w:tcPr>
          <w:p>
            <w:pPr>
              <w:spacing w:after="0"/>
              <w:rPr>
                <w:sz w:val="20"/>
                <w:szCs w:val="20"/>
                <w:color w:val="auto"/>
              </w:rPr>
            </w:pPr>
          </w:p>
        </w:tc>
        <w:tc>
          <w:tcPr>
            <w:tcW w:w="1360" w:type="dxa"/>
            <w:vAlign w:val="bottom"/>
            <w:gridSpan w:val="2"/>
            <w:shd w:val="clear" w:color="auto" w:fill="E7E7E3"/>
          </w:tcPr>
          <w:p>
            <w:pPr>
              <w:jc w:val="right"/>
              <w:ind w:right="440"/>
              <w:spacing w:after="0"/>
              <w:rPr>
                <w:sz w:val="20"/>
                <w:szCs w:val="20"/>
                <w:color w:val="auto"/>
              </w:rPr>
            </w:pPr>
            <w:r>
              <w:rPr>
                <w:rFonts w:ascii="Times New Roman" w:cs="Times New Roman" w:eastAsia="Times New Roman" w:hAnsi="Times New Roman"/>
                <w:sz w:val="20"/>
                <w:szCs w:val="20"/>
                <w:color w:val="auto"/>
                <w:w w:val="96"/>
              </w:rPr>
              <w:t>Fiscal 2023</w:t>
            </w:r>
          </w:p>
        </w:tc>
        <w:tc>
          <w:tcPr>
            <w:tcW w:w="340" w:type="dxa"/>
            <w:vAlign w:val="bottom"/>
            <w:shd w:val="clear" w:color="auto" w:fill="E7E7E3"/>
          </w:tcPr>
          <w:p>
            <w:pPr>
              <w:spacing w:after="0"/>
              <w:rPr>
                <w:sz w:val="20"/>
                <w:szCs w:val="20"/>
                <w:color w:val="auto"/>
              </w:rPr>
            </w:pPr>
          </w:p>
        </w:tc>
        <w:tc>
          <w:tcPr>
            <w:tcW w:w="420" w:type="dxa"/>
            <w:vAlign w:val="bottom"/>
            <w:shd w:val="clear" w:color="auto" w:fill="E7E7E3"/>
          </w:tcPr>
          <w:p>
            <w:pPr>
              <w:spacing w:after="0"/>
              <w:rPr>
                <w:sz w:val="20"/>
                <w:szCs w:val="20"/>
                <w:color w:val="auto"/>
              </w:rPr>
            </w:pPr>
          </w:p>
        </w:tc>
        <w:tc>
          <w:tcPr>
            <w:tcW w:w="1480" w:type="dxa"/>
            <w:vAlign w:val="bottom"/>
            <w:gridSpan w:val="3"/>
            <w:shd w:val="clear" w:color="auto" w:fill="E7E7E3"/>
          </w:tcPr>
          <w:p>
            <w:pPr>
              <w:spacing w:after="0"/>
              <w:rPr>
                <w:sz w:val="20"/>
                <w:szCs w:val="20"/>
                <w:color w:val="auto"/>
              </w:rPr>
            </w:pPr>
            <w:r>
              <w:rPr>
                <w:rFonts w:ascii="Times New Roman" w:cs="Times New Roman" w:eastAsia="Times New Roman" w:hAnsi="Times New Roman"/>
                <w:sz w:val="20"/>
                <w:szCs w:val="20"/>
                <w:color w:val="auto"/>
              </w:rPr>
              <w:t>Fiscal 2022</w:t>
            </w:r>
          </w:p>
        </w:tc>
      </w:tr>
      <w:tr>
        <w:trPr>
          <w:trHeight w:val="244"/>
        </w:trPr>
        <w:tc>
          <w:tcPr>
            <w:tcW w:w="4640" w:type="dxa"/>
            <w:vAlign w:val="bottom"/>
            <w:tcBorders>
              <w:top w:val="single" w:sz="8" w:color="E7E7E3"/>
            </w:tcBorders>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60" w:type="dxa"/>
            <w:vAlign w:val="bottom"/>
            <w:tcBorders>
              <w:top w:val="single" w:sz="8" w:color="E7E7E3"/>
            </w:tcBorders>
            <w:shd w:val="clear" w:color="auto" w:fill="FEFEFE"/>
          </w:tcPr>
          <w:p>
            <w:pPr>
              <w:spacing w:after="0"/>
              <w:rPr>
                <w:sz w:val="21"/>
                <w:szCs w:val="21"/>
                <w:color w:val="auto"/>
              </w:rPr>
            </w:pPr>
          </w:p>
        </w:tc>
        <w:tc>
          <w:tcPr>
            <w:tcW w:w="160" w:type="dxa"/>
            <w:vAlign w:val="bottom"/>
            <w:tcBorders>
              <w:top w:val="single" w:sz="8" w:color="E7E7E3"/>
            </w:tcBorders>
            <w:shd w:val="clear" w:color="auto" w:fill="FEFEFE"/>
          </w:tcPr>
          <w:p>
            <w:pPr>
              <w:spacing w:after="0"/>
              <w:rPr>
                <w:sz w:val="21"/>
                <w:szCs w:val="21"/>
                <w:color w:val="auto"/>
              </w:rPr>
            </w:pPr>
          </w:p>
        </w:tc>
        <w:tc>
          <w:tcPr>
            <w:tcW w:w="940" w:type="dxa"/>
            <w:vAlign w:val="bottom"/>
            <w:tcBorders>
              <w:top w:val="single" w:sz="8" w:color="auto"/>
            </w:tcBorders>
            <w:shd w:val="clear" w:color="auto" w:fill="FEFEFE"/>
          </w:tcPr>
          <w:p>
            <w:pPr>
              <w:spacing w:after="0"/>
              <w:rPr>
                <w:sz w:val="21"/>
                <w:szCs w:val="21"/>
                <w:color w:val="auto"/>
              </w:rPr>
            </w:pPr>
          </w:p>
        </w:tc>
        <w:tc>
          <w:tcPr>
            <w:tcW w:w="440" w:type="dxa"/>
            <w:vAlign w:val="bottom"/>
            <w:tcBorders>
              <w:top w:val="single" w:sz="8" w:color="E7E7E3"/>
            </w:tcBorders>
            <w:shd w:val="clear" w:color="auto" w:fill="FEFEFE"/>
          </w:tcPr>
          <w:p>
            <w:pPr>
              <w:spacing w:after="0"/>
              <w:rPr>
                <w:sz w:val="21"/>
                <w:szCs w:val="21"/>
                <w:color w:val="auto"/>
              </w:rPr>
            </w:pPr>
          </w:p>
        </w:tc>
        <w:tc>
          <w:tcPr>
            <w:tcW w:w="340" w:type="dxa"/>
            <w:vAlign w:val="bottom"/>
            <w:tcBorders>
              <w:top w:val="single" w:sz="8" w:color="E7E7E3"/>
            </w:tcBorders>
            <w:shd w:val="clear" w:color="auto" w:fill="FEFEFE"/>
          </w:tcPr>
          <w:p>
            <w:pPr>
              <w:spacing w:after="0"/>
              <w:rPr>
                <w:sz w:val="21"/>
                <w:szCs w:val="21"/>
                <w:color w:val="auto"/>
              </w:rPr>
            </w:pPr>
          </w:p>
        </w:tc>
        <w:tc>
          <w:tcPr>
            <w:tcW w:w="420" w:type="dxa"/>
            <w:vAlign w:val="bottom"/>
            <w:tcBorders>
              <w:top w:val="single" w:sz="8" w:color="E7E7E3"/>
            </w:tcBorders>
            <w:shd w:val="clear" w:color="auto" w:fill="FEFEFE"/>
          </w:tcPr>
          <w:p>
            <w:pPr>
              <w:spacing w:after="0"/>
              <w:rPr>
                <w:sz w:val="21"/>
                <w:szCs w:val="21"/>
                <w:color w:val="auto"/>
              </w:rPr>
            </w:pPr>
          </w:p>
        </w:tc>
        <w:tc>
          <w:tcPr>
            <w:tcW w:w="920" w:type="dxa"/>
            <w:vAlign w:val="bottom"/>
            <w:tcBorders>
              <w:top w:val="single" w:sz="8" w:color="auto"/>
            </w:tcBorders>
            <w:shd w:val="clear" w:color="auto" w:fill="FEFEFE"/>
          </w:tcPr>
          <w:p>
            <w:pPr>
              <w:spacing w:after="0"/>
              <w:rPr>
                <w:sz w:val="21"/>
                <w:szCs w:val="21"/>
                <w:color w:val="auto"/>
              </w:rPr>
            </w:pPr>
          </w:p>
        </w:tc>
        <w:tc>
          <w:tcPr>
            <w:tcW w:w="440" w:type="dxa"/>
            <w:vAlign w:val="bottom"/>
            <w:tcBorders>
              <w:top w:val="single" w:sz="8" w:color="E7E7E3"/>
            </w:tcBorders>
            <w:shd w:val="clear" w:color="auto" w:fill="FEFEFE"/>
          </w:tcPr>
          <w:p>
            <w:pPr>
              <w:spacing w:after="0"/>
              <w:rPr>
                <w:sz w:val="21"/>
                <w:szCs w:val="21"/>
                <w:color w:val="auto"/>
              </w:rPr>
            </w:pPr>
          </w:p>
        </w:tc>
        <w:tc>
          <w:tcPr>
            <w:tcW w:w="340" w:type="dxa"/>
            <w:vAlign w:val="bottom"/>
            <w:tcBorders>
              <w:top w:val="single" w:sz="8" w:color="E7E7E3"/>
            </w:tcBorders>
            <w:shd w:val="clear" w:color="auto" w:fill="FEFEFE"/>
          </w:tcPr>
          <w:p>
            <w:pPr>
              <w:spacing w:after="0"/>
              <w:rPr>
                <w:sz w:val="21"/>
                <w:szCs w:val="21"/>
                <w:color w:val="auto"/>
              </w:rPr>
            </w:pPr>
          </w:p>
        </w:tc>
        <w:tc>
          <w:tcPr>
            <w:tcW w:w="420" w:type="dxa"/>
            <w:vAlign w:val="bottom"/>
            <w:tcBorders>
              <w:top w:val="single" w:sz="8" w:color="E7E7E3"/>
            </w:tcBorders>
            <w:shd w:val="clear" w:color="auto" w:fill="FEFEFE"/>
          </w:tcPr>
          <w:p>
            <w:pPr>
              <w:spacing w:after="0"/>
              <w:rPr>
                <w:sz w:val="21"/>
                <w:szCs w:val="21"/>
                <w:color w:val="auto"/>
              </w:rPr>
            </w:pPr>
          </w:p>
        </w:tc>
        <w:tc>
          <w:tcPr>
            <w:tcW w:w="940" w:type="dxa"/>
            <w:vAlign w:val="bottom"/>
            <w:tcBorders>
              <w:top w:val="single" w:sz="8" w:color="auto"/>
            </w:tcBorders>
            <w:shd w:val="clear" w:color="auto" w:fill="FEFEFE"/>
          </w:tcPr>
          <w:p>
            <w:pPr>
              <w:spacing w:after="0"/>
              <w:rPr>
                <w:sz w:val="21"/>
                <w:szCs w:val="21"/>
                <w:color w:val="auto"/>
              </w:rPr>
            </w:pPr>
          </w:p>
        </w:tc>
        <w:tc>
          <w:tcPr>
            <w:tcW w:w="440" w:type="dxa"/>
            <w:vAlign w:val="bottom"/>
            <w:tcBorders>
              <w:top w:val="single" w:sz="8" w:color="E7E7E3"/>
            </w:tcBorders>
            <w:shd w:val="clear" w:color="auto" w:fill="FEFEFE"/>
          </w:tcPr>
          <w:p>
            <w:pPr>
              <w:spacing w:after="0"/>
              <w:rPr>
                <w:sz w:val="21"/>
                <w:szCs w:val="21"/>
                <w:color w:val="auto"/>
              </w:rPr>
            </w:pPr>
          </w:p>
        </w:tc>
        <w:tc>
          <w:tcPr>
            <w:tcW w:w="100" w:type="dxa"/>
            <w:vAlign w:val="bottom"/>
            <w:tcBorders>
              <w:top w:val="single" w:sz="8" w:color="E7E7E3"/>
            </w:tcBorders>
            <w:shd w:val="clear" w:color="auto" w:fill="FEFEFE"/>
          </w:tcPr>
          <w:p>
            <w:pPr>
              <w:spacing w:after="0"/>
              <w:rPr>
                <w:sz w:val="21"/>
                <w:szCs w:val="21"/>
                <w:color w:val="auto"/>
              </w:rPr>
            </w:pPr>
          </w:p>
        </w:tc>
      </w:tr>
      <w:tr>
        <w:trPr>
          <w:trHeight w:val="244"/>
        </w:trPr>
        <w:tc>
          <w:tcPr>
            <w:tcW w:w="46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60" w:type="dxa"/>
            <w:vAlign w:val="bottom"/>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gridSpan w:val="3"/>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48,838</w:t>
            </w:r>
          </w:p>
        </w:tc>
        <w:tc>
          <w:tcPr>
            <w:tcW w:w="760" w:type="dxa"/>
            <w:vAlign w:val="bottom"/>
            <w:gridSpan w:val="2"/>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45,018</w:t>
            </w:r>
          </w:p>
        </w:tc>
        <w:tc>
          <w:tcPr>
            <w:tcW w:w="760" w:type="dxa"/>
            <w:vAlign w:val="bottom"/>
            <w:gridSpan w:val="2"/>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44,297</w:t>
            </w:r>
          </w:p>
        </w:tc>
        <w:tc>
          <w:tcPr>
            <w:tcW w:w="100" w:type="dxa"/>
            <w:vAlign w:val="bottom"/>
            <w:shd w:val="clear" w:color="auto" w:fill="E7E7E3"/>
          </w:tcPr>
          <w:p>
            <w:pPr>
              <w:spacing w:after="0"/>
              <w:rPr>
                <w:sz w:val="21"/>
                <w:szCs w:val="21"/>
                <w:color w:val="auto"/>
              </w:rPr>
            </w:pPr>
          </w:p>
        </w:tc>
      </w:tr>
      <w:tr>
        <w:trPr>
          <w:trHeight w:val="244"/>
        </w:trPr>
        <w:tc>
          <w:tcPr>
            <w:tcW w:w="46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Variable lease costs</w:t>
            </w:r>
            <w:r>
              <w:rPr>
                <w:rFonts w:ascii="Times New Roman" w:cs="Times New Roman" w:eastAsia="Times New Roman" w:hAnsi="Times New Roman"/>
                <w:sz w:val="13"/>
                <w:szCs w:val="13"/>
                <w:color w:val="auto"/>
              </w:rPr>
              <w:t>(1)</w:t>
            </w:r>
          </w:p>
        </w:tc>
        <w:tc>
          <w:tcPr>
            <w:tcW w:w="260" w:type="dxa"/>
            <w:vAlign w:val="bottom"/>
            <w:tcBorders>
              <w:bottom w:val="single" w:sz="8" w:color="auto"/>
            </w:tcBorders>
            <w:shd w:val="clear" w:color="auto" w:fill="FEFEFE"/>
          </w:tcPr>
          <w:p>
            <w:pPr>
              <w:spacing w:after="0"/>
              <w:rPr>
                <w:sz w:val="21"/>
                <w:szCs w:val="21"/>
                <w:color w:val="auto"/>
              </w:rPr>
            </w:pPr>
          </w:p>
        </w:tc>
        <w:tc>
          <w:tcPr>
            <w:tcW w:w="1540" w:type="dxa"/>
            <w:vAlign w:val="bottom"/>
            <w:tcBorders>
              <w:bottom w:val="single" w:sz="8" w:color="auto"/>
            </w:tcBorders>
            <w:gridSpan w:val="3"/>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13,288</w:t>
            </w:r>
          </w:p>
        </w:tc>
        <w:tc>
          <w:tcPr>
            <w:tcW w:w="340" w:type="dxa"/>
            <w:vAlign w:val="bottom"/>
            <w:tcBorders>
              <w:bottom w:val="single" w:sz="8" w:color="E7E7E3"/>
            </w:tcBorders>
            <w:shd w:val="clear" w:color="auto" w:fill="FEFEFE"/>
          </w:tcPr>
          <w:p>
            <w:pPr>
              <w:spacing w:after="0"/>
              <w:rPr>
                <w:sz w:val="21"/>
                <w:szCs w:val="21"/>
                <w:color w:val="auto"/>
              </w:rPr>
            </w:pPr>
          </w:p>
        </w:tc>
        <w:tc>
          <w:tcPr>
            <w:tcW w:w="420" w:type="dxa"/>
            <w:vAlign w:val="bottom"/>
            <w:tcBorders>
              <w:bottom w:val="single" w:sz="8" w:color="auto"/>
            </w:tcBorders>
            <w:shd w:val="clear" w:color="auto" w:fill="FEFEFE"/>
          </w:tcPr>
          <w:p>
            <w:pPr>
              <w:spacing w:after="0"/>
              <w:rPr>
                <w:sz w:val="21"/>
                <w:szCs w:val="21"/>
                <w:color w:val="auto"/>
              </w:rPr>
            </w:pPr>
          </w:p>
        </w:tc>
        <w:tc>
          <w:tcPr>
            <w:tcW w:w="1360" w:type="dxa"/>
            <w:vAlign w:val="bottom"/>
            <w:tcBorders>
              <w:bottom w:val="single" w:sz="8" w:color="auto"/>
            </w:tcBorders>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12,849</w:t>
            </w:r>
          </w:p>
        </w:tc>
        <w:tc>
          <w:tcPr>
            <w:tcW w:w="340" w:type="dxa"/>
            <w:vAlign w:val="bottom"/>
            <w:tcBorders>
              <w:bottom w:val="single" w:sz="8" w:color="E7E7E3"/>
            </w:tcBorders>
            <w:shd w:val="clear" w:color="auto" w:fill="FEFEFE"/>
          </w:tcPr>
          <w:p>
            <w:pPr>
              <w:spacing w:after="0"/>
              <w:rPr>
                <w:sz w:val="21"/>
                <w:szCs w:val="21"/>
                <w:color w:val="auto"/>
              </w:rPr>
            </w:pPr>
          </w:p>
        </w:tc>
        <w:tc>
          <w:tcPr>
            <w:tcW w:w="420" w:type="dxa"/>
            <w:vAlign w:val="bottom"/>
            <w:tcBorders>
              <w:bottom w:val="single" w:sz="8" w:color="auto"/>
            </w:tcBorders>
            <w:shd w:val="clear" w:color="auto" w:fill="FEFEFE"/>
          </w:tcPr>
          <w:p>
            <w:pPr>
              <w:spacing w:after="0"/>
              <w:rPr>
                <w:sz w:val="21"/>
                <w:szCs w:val="21"/>
                <w:color w:val="auto"/>
              </w:rPr>
            </w:pPr>
          </w:p>
        </w:tc>
        <w:tc>
          <w:tcPr>
            <w:tcW w:w="1380" w:type="dxa"/>
            <w:vAlign w:val="bottom"/>
            <w:tcBorders>
              <w:bottom w:val="single" w:sz="8" w:color="auto"/>
            </w:tcBorders>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12,885</w:t>
            </w:r>
          </w:p>
        </w:tc>
        <w:tc>
          <w:tcPr>
            <w:tcW w:w="100" w:type="dxa"/>
            <w:vAlign w:val="bottom"/>
            <w:tcBorders>
              <w:bottom w:val="single" w:sz="8" w:color="E7E7E3"/>
            </w:tcBorders>
            <w:shd w:val="clear" w:color="auto" w:fill="FEFEFE"/>
          </w:tcPr>
          <w:p>
            <w:pPr>
              <w:spacing w:after="0"/>
              <w:rPr>
                <w:sz w:val="21"/>
                <w:szCs w:val="21"/>
                <w:color w:val="auto"/>
              </w:rPr>
            </w:pPr>
          </w:p>
        </w:tc>
      </w:tr>
      <w:tr>
        <w:trPr>
          <w:trHeight w:val="234"/>
        </w:trPr>
        <w:tc>
          <w:tcPr>
            <w:tcW w:w="46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Total lease costs</w:t>
            </w:r>
          </w:p>
        </w:tc>
        <w:tc>
          <w:tcPr>
            <w:tcW w:w="260" w:type="dxa"/>
            <w:vAlign w:val="bottom"/>
            <w:tcBorders>
              <w:bottom w:val="single" w:sz="8" w:color="auto"/>
            </w:tcBorders>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gridSpan w:val="3"/>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62,126</w:t>
            </w:r>
          </w:p>
        </w:tc>
        <w:tc>
          <w:tcPr>
            <w:tcW w:w="340" w:type="dxa"/>
            <w:vAlign w:val="bottom"/>
            <w:shd w:val="clear" w:color="auto" w:fill="E7E7E3"/>
          </w:tcPr>
          <w:p>
            <w:pPr>
              <w:spacing w:after="0"/>
              <w:rPr>
                <w:sz w:val="20"/>
                <w:szCs w:val="20"/>
                <w:color w:val="auto"/>
              </w:rPr>
            </w:pPr>
          </w:p>
        </w:tc>
        <w:tc>
          <w:tcPr>
            <w:tcW w:w="420" w:type="dxa"/>
            <w:vAlign w:val="bottom"/>
            <w:tcBorders>
              <w:bottom w:val="single" w:sz="8" w:color="auto"/>
            </w:tcBorders>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57,867</w:t>
            </w:r>
          </w:p>
        </w:tc>
        <w:tc>
          <w:tcPr>
            <w:tcW w:w="340" w:type="dxa"/>
            <w:vAlign w:val="bottom"/>
            <w:shd w:val="clear" w:color="auto" w:fill="E7E7E3"/>
          </w:tcPr>
          <w:p>
            <w:pPr>
              <w:spacing w:after="0"/>
              <w:rPr>
                <w:sz w:val="20"/>
                <w:szCs w:val="20"/>
                <w:color w:val="auto"/>
              </w:rPr>
            </w:pPr>
          </w:p>
        </w:tc>
        <w:tc>
          <w:tcPr>
            <w:tcW w:w="420" w:type="dxa"/>
            <w:vAlign w:val="bottom"/>
            <w:tcBorders>
              <w:bottom w:val="single" w:sz="8" w:color="auto"/>
            </w:tcBorders>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57,182</w:t>
            </w:r>
          </w:p>
        </w:tc>
        <w:tc>
          <w:tcPr>
            <w:tcW w:w="100" w:type="dxa"/>
            <w:vAlign w:val="bottom"/>
            <w:shd w:val="clear" w:color="auto" w:fill="E7E7E3"/>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jc w:val="both"/>
        <w:ind w:right="400" w:firstLine="360"/>
        <w:spacing w:after="0" w:line="556" w:lineRule="auto"/>
        <w:tabs>
          <w:tab w:leader="none" w:pos="7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Variable lease costs include the cost of property taxes, insurance and common area maintenance fees related to its leases. Supplemental cash flow and balance sheet information related to leases for fiscal 2024, fiscal 2023 and fiscal 2022 are as follows:</w:t>
      </w:r>
    </w:p>
    <w:tbl>
      <w:tblPr>
        <w:tblLayout w:type="fixed"/>
        <w:tblInd w:w="0" w:type="dxa"/>
        <w:tblCellMar>
          <w:top w:w="0" w:type="dxa"/>
          <w:left w:w="0" w:type="dxa"/>
          <w:bottom w:w="0" w:type="dxa"/>
          <w:right w:w="0" w:type="dxa"/>
        </w:tblCellMar>
      </w:tblPr>
      <w:tr>
        <w:trPr>
          <w:trHeight w:val="250"/>
        </w:trPr>
        <w:tc>
          <w:tcPr>
            <w:tcW w:w="6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00" w:type="dxa"/>
            <w:vAlign w:val="bottom"/>
            <w:shd w:val="clear" w:color="auto" w:fill="FEFEFE"/>
          </w:tcPr>
          <w:p>
            <w:pPr>
              <w:spacing w:after="0"/>
              <w:rPr>
                <w:sz w:val="21"/>
                <w:szCs w:val="21"/>
                <w:color w:val="auto"/>
              </w:rPr>
            </w:pPr>
          </w:p>
        </w:tc>
        <w:tc>
          <w:tcPr>
            <w:tcW w:w="1360" w:type="dxa"/>
            <w:vAlign w:val="bottom"/>
            <w:gridSpan w:val="3"/>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color w:val="auto"/>
              </w:rPr>
              <w:t>Fiscal 2024</w:t>
            </w:r>
          </w:p>
        </w:tc>
        <w:tc>
          <w:tcPr>
            <w:tcW w:w="1420" w:type="dxa"/>
            <w:vAlign w:val="bottom"/>
            <w:gridSpan w:val="4"/>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color w:val="auto"/>
              </w:rPr>
              <w:t>Fiscal 2023</w:t>
            </w:r>
          </w:p>
        </w:tc>
        <w:tc>
          <w:tcPr>
            <w:tcW w:w="100" w:type="dxa"/>
            <w:vAlign w:val="bottom"/>
            <w:shd w:val="clear" w:color="auto" w:fill="FEFEFE"/>
          </w:tcPr>
          <w:p>
            <w:pPr>
              <w:spacing w:after="0"/>
              <w:rPr>
                <w:sz w:val="21"/>
                <w:szCs w:val="21"/>
                <w:color w:val="auto"/>
              </w:rPr>
            </w:pPr>
          </w:p>
        </w:tc>
        <w:tc>
          <w:tcPr>
            <w:tcW w:w="116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20"/>
                <w:szCs w:val="20"/>
                <w:color w:val="auto"/>
              </w:rPr>
              <w:t>Fiscal 2022</w:t>
            </w:r>
          </w:p>
        </w:tc>
      </w:tr>
      <w:tr>
        <w:trPr>
          <w:trHeight w:val="225"/>
        </w:trPr>
        <w:tc>
          <w:tcPr>
            <w:tcW w:w="6460" w:type="dxa"/>
            <w:vAlign w:val="bottom"/>
            <w:tcBorders>
              <w:top w:val="single" w:sz="8" w:color="FEFEFE"/>
            </w:tcBorders>
            <w:shd w:val="clear" w:color="auto" w:fill="E7E7E3"/>
          </w:tcPr>
          <w:p>
            <w:pPr>
              <w:spacing w:after="0" w:line="226"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00" w:type="dxa"/>
            <w:vAlign w:val="bottom"/>
            <w:tcBorders>
              <w:top w:val="single" w:sz="8" w:color="FEFEFE"/>
            </w:tcBorders>
            <w:shd w:val="clear" w:color="auto" w:fill="E7E7E3"/>
          </w:tcPr>
          <w:p>
            <w:pPr>
              <w:spacing w:after="0"/>
              <w:rPr>
                <w:sz w:val="19"/>
                <w:szCs w:val="19"/>
                <w:color w:val="auto"/>
              </w:rPr>
            </w:pPr>
          </w:p>
        </w:tc>
        <w:tc>
          <w:tcPr>
            <w:tcW w:w="20" w:type="dxa"/>
            <w:vAlign w:val="bottom"/>
            <w:tcBorders>
              <w:top w:val="single" w:sz="8" w:color="FEFEFE"/>
            </w:tcBorders>
            <w:shd w:val="clear" w:color="auto" w:fill="E7E7E3"/>
          </w:tcPr>
          <w:p>
            <w:pPr>
              <w:spacing w:after="0"/>
              <w:rPr>
                <w:sz w:val="19"/>
                <w:szCs w:val="19"/>
                <w:color w:val="auto"/>
              </w:rPr>
            </w:pPr>
          </w:p>
        </w:tc>
        <w:tc>
          <w:tcPr>
            <w:tcW w:w="940" w:type="dxa"/>
            <w:vAlign w:val="bottom"/>
            <w:tcBorders>
              <w:top w:val="single" w:sz="8" w:color="auto"/>
            </w:tcBorders>
            <w:shd w:val="clear" w:color="auto" w:fill="E7E7E3"/>
          </w:tcPr>
          <w:p>
            <w:pPr>
              <w:spacing w:after="0"/>
              <w:rPr>
                <w:sz w:val="19"/>
                <w:szCs w:val="19"/>
                <w:color w:val="auto"/>
              </w:rPr>
            </w:pPr>
          </w:p>
        </w:tc>
        <w:tc>
          <w:tcPr>
            <w:tcW w:w="400" w:type="dxa"/>
            <w:vAlign w:val="bottom"/>
            <w:tcBorders>
              <w:top w:val="single" w:sz="8" w:color="FEFEFE"/>
            </w:tcBorders>
            <w:shd w:val="clear" w:color="auto" w:fill="E7E7E3"/>
          </w:tcPr>
          <w:p>
            <w:pPr>
              <w:spacing w:after="0"/>
              <w:rPr>
                <w:sz w:val="19"/>
                <w:szCs w:val="19"/>
                <w:color w:val="auto"/>
              </w:rPr>
            </w:pPr>
          </w:p>
        </w:tc>
        <w:tc>
          <w:tcPr>
            <w:tcW w:w="140" w:type="dxa"/>
            <w:vAlign w:val="bottom"/>
            <w:tcBorders>
              <w:top w:val="single" w:sz="8" w:color="FEFEFE"/>
            </w:tcBorders>
            <w:shd w:val="clear" w:color="auto" w:fill="E7E7E3"/>
          </w:tcPr>
          <w:p>
            <w:pPr>
              <w:spacing w:after="0"/>
              <w:rPr>
                <w:sz w:val="19"/>
                <w:szCs w:val="19"/>
                <w:color w:val="auto"/>
              </w:rPr>
            </w:pPr>
          </w:p>
        </w:tc>
        <w:tc>
          <w:tcPr>
            <w:tcW w:w="220" w:type="dxa"/>
            <w:vAlign w:val="bottom"/>
            <w:tcBorders>
              <w:top w:val="single" w:sz="8" w:color="auto"/>
            </w:tcBorders>
            <w:shd w:val="clear" w:color="auto" w:fill="E7E7E3"/>
          </w:tcPr>
          <w:p>
            <w:pPr>
              <w:spacing w:after="0"/>
              <w:rPr>
                <w:sz w:val="19"/>
                <w:szCs w:val="19"/>
                <w:color w:val="auto"/>
              </w:rPr>
            </w:pPr>
          </w:p>
        </w:tc>
        <w:tc>
          <w:tcPr>
            <w:tcW w:w="720" w:type="dxa"/>
            <w:vAlign w:val="bottom"/>
            <w:tcBorders>
              <w:top w:val="single" w:sz="8" w:color="auto"/>
            </w:tcBorders>
            <w:shd w:val="clear" w:color="auto" w:fill="E7E7E3"/>
          </w:tcPr>
          <w:p>
            <w:pPr>
              <w:spacing w:after="0"/>
              <w:rPr>
                <w:sz w:val="19"/>
                <w:szCs w:val="19"/>
                <w:color w:val="auto"/>
              </w:rPr>
            </w:pPr>
          </w:p>
        </w:tc>
        <w:tc>
          <w:tcPr>
            <w:tcW w:w="340" w:type="dxa"/>
            <w:vAlign w:val="bottom"/>
            <w:tcBorders>
              <w:top w:val="single" w:sz="8" w:color="FEFEFE"/>
            </w:tcBorders>
            <w:shd w:val="clear" w:color="auto" w:fill="E7E7E3"/>
          </w:tcPr>
          <w:p>
            <w:pPr>
              <w:spacing w:after="0"/>
              <w:rPr>
                <w:sz w:val="19"/>
                <w:szCs w:val="19"/>
                <w:color w:val="auto"/>
              </w:rPr>
            </w:pPr>
          </w:p>
        </w:tc>
        <w:tc>
          <w:tcPr>
            <w:tcW w:w="100" w:type="dxa"/>
            <w:vAlign w:val="bottom"/>
            <w:tcBorders>
              <w:top w:val="single" w:sz="8" w:color="FEFEFE"/>
            </w:tcBorders>
            <w:shd w:val="clear" w:color="auto" w:fill="E7E7E3"/>
          </w:tcPr>
          <w:p>
            <w:pPr>
              <w:spacing w:after="0"/>
              <w:rPr>
                <w:sz w:val="19"/>
                <w:szCs w:val="19"/>
                <w:color w:val="auto"/>
              </w:rPr>
            </w:pPr>
          </w:p>
        </w:tc>
        <w:tc>
          <w:tcPr>
            <w:tcW w:w="220" w:type="dxa"/>
            <w:vAlign w:val="bottom"/>
            <w:tcBorders>
              <w:top w:val="single" w:sz="8" w:color="auto"/>
            </w:tcBorders>
            <w:shd w:val="clear" w:color="auto" w:fill="E7E7E3"/>
          </w:tcPr>
          <w:p>
            <w:pPr>
              <w:spacing w:after="0"/>
              <w:rPr>
                <w:sz w:val="19"/>
                <w:szCs w:val="19"/>
                <w:color w:val="auto"/>
              </w:rPr>
            </w:pPr>
          </w:p>
        </w:tc>
        <w:tc>
          <w:tcPr>
            <w:tcW w:w="720" w:type="dxa"/>
            <w:vAlign w:val="bottom"/>
            <w:tcBorders>
              <w:top w:val="single" w:sz="8" w:color="auto"/>
            </w:tcBorders>
            <w:shd w:val="clear" w:color="auto" w:fill="E7E7E3"/>
          </w:tcPr>
          <w:p>
            <w:pPr>
              <w:spacing w:after="0"/>
              <w:rPr>
                <w:sz w:val="19"/>
                <w:szCs w:val="19"/>
                <w:color w:val="auto"/>
              </w:rPr>
            </w:pPr>
          </w:p>
        </w:tc>
        <w:tc>
          <w:tcPr>
            <w:tcW w:w="220" w:type="dxa"/>
            <w:vAlign w:val="bottom"/>
            <w:tcBorders>
              <w:top w:val="single" w:sz="8" w:color="FEFEFE"/>
            </w:tcBorders>
            <w:shd w:val="clear" w:color="auto" w:fill="E7E7E3"/>
          </w:tcPr>
          <w:p>
            <w:pPr>
              <w:spacing w:after="0"/>
              <w:rPr>
                <w:sz w:val="19"/>
                <w:szCs w:val="19"/>
                <w:color w:val="auto"/>
              </w:rPr>
            </w:pPr>
          </w:p>
        </w:tc>
      </w:tr>
      <w:tr>
        <w:trPr>
          <w:trHeight w:val="244"/>
        </w:trPr>
        <w:tc>
          <w:tcPr>
            <w:tcW w:w="64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Operating cash flows for operating leases</w:t>
            </w:r>
          </w:p>
        </w:tc>
        <w:tc>
          <w:tcPr>
            <w:tcW w:w="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shd w:val="clear" w:color="auto" w:fill="FEFEFE"/>
          </w:tcPr>
          <w:p>
            <w:pPr>
              <w:jc w:val="right"/>
              <w:ind w:right="240"/>
              <w:spacing w:after="0"/>
              <w:rPr>
                <w:sz w:val="20"/>
                <w:szCs w:val="20"/>
                <w:color w:val="auto"/>
              </w:rPr>
            </w:pPr>
            <w:r>
              <w:rPr>
                <w:rFonts w:ascii="Times New Roman" w:cs="Times New Roman" w:eastAsia="Times New Roman" w:hAnsi="Times New Roman"/>
                <w:sz w:val="20"/>
                <w:szCs w:val="20"/>
                <w:color w:val="auto"/>
              </w:rPr>
              <w:t>52,723</w:t>
            </w:r>
          </w:p>
        </w:tc>
        <w:tc>
          <w:tcPr>
            <w:tcW w:w="36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51,411</w:t>
            </w:r>
          </w:p>
        </w:tc>
        <w:tc>
          <w:tcPr>
            <w:tcW w:w="320" w:type="dxa"/>
            <w:vAlign w:val="bottom"/>
            <w:gridSpan w:val="2"/>
            <w:shd w:val="clear" w:color="auto" w:fill="FEFEFE"/>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55,068</w:t>
            </w:r>
          </w:p>
        </w:tc>
      </w:tr>
      <w:tr>
        <w:trPr>
          <w:trHeight w:val="244"/>
        </w:trPr>
        <w:tc>
          <w:tcPr>
            <w:tcW w:w="6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Non-cash operating activities:</w:t>
            </w:r>
          </w:p>
        </w:tc>
        <w:tc>
          <w:tcPr>
            <w:tcW w:w="300" w:type="dxa"/>
            <w:vAlign w:val="bottom"/>
            <w:shd w:val="clear" w:color="auto" w:fill="E7E7E3"/>
          </w:tcPr>
          <w:p>
            <w:pPr>
              <w:spacing w:after="0"/>
              <w:rPr>
                <w:sz w:val="21"/>
                <w:szCs w:val="21"/>
                <w:color w:val="auto"/>
              </w:rPr>
            </w:pPr>
          </w:p>
        </w:tc>
        <w:tc>
          <w:tcPr>
            <w:tcW w:w="20" w:type="dxa"/>
            <w:vAlign w:val="bottom"/>
            <w:shd w:val="clear" w:color="auto" w:fill="E7E7E3"/>
          </w:tcPr>
          <w:p>
            <w:pPr>
              <w:spacing w:after="0"/>
              <w:rPr>
                <w:sz w:val="21"/>
                <w:szCs w:val="21"/>
                <w:color w:val="auto"/>
              </w:rPr>
            </w:pPr>
          </w:p>
        </w:tc>
        <w:tc>
          <w:tcPr>
            <w:tcW w:w="940" w:type="dxa"/>
            <w:vAlign w:val="bottom"/>
            <w:shd w:val="clear" w:color="auto" w:fill="E7E7E3"/>
          </w:tcPr>
          <w:p>
            <w:pPr>
              <w:spacing w:after="0"/>
              <w:rPr>
                <w:sz w:val="21"/>
                <w:szCs w:val="21"/>
                <w:color w:val="auto"/>
              </w:rPr>
            </w:pPr>
          </w:p>
        </w:tc>
        <w:tc>
          <w:tcPr>
            <w:tcW w:w="400" w:type="dxa"/>
            <w:vAlign w:val="bottom"/>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720" w:type="dxa"/>
            <w:vAlign w:val="bottom"/>
            <w:shd w:val="clear" w:color="auto" w:fill="E7E7E3"/>
          </w:tcPr>
          <w:p>
            <w:pPr>
              <w:spacing w:after="0"/>
              <w:rPr>
                <w:sz w:val="21"/>
                <w:szCs w:val="21"/>
                <w:color w:val="auto"/>
              </w:rPr>
            </w:pPr>
          </w:p>
        </w:tc>
        <w:tc>
          <w:tcPr>
            <w:tcW w:w="34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72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r>
      <w:tr>
        <w:trPr>
          <w:trHeight w:val="244"/>
        </w:trPr>
        <w:tc>
          <w:tcPr>
            <w:tcW w:w="64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Right-of-use assets obtained in exchange for operating lease liabilities</w:t>
            </w:r>
          </w:p>
        </w:tc>
        <w:tc>
          <w:tcPr>
            <w:tcW w:w="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shd w:val="clear" w:color="auto" w:fill="FEFEFE"/>
          </w:tcPr>
          <w:p>
            <w:pPr>
              <w:jc w:val="right"/>
              <w:ind w:right="240"/>
              <w:spacing w:after="0"/>
              <w:rPr>
                <w:sz w:val="20"/>
                <w:szCs w:val="20"/>
                <w:color w:val="auto"/>
              </w:rPr>
            </w:pPr>
            <w:r>
              <w:rPr>
                <w:rFonts w:ascii="Times New Roman" w:cs="Times New Roman" w:eastAsia="Times New Roman" w:hAnsi="Times New Roman"/>
                <w:sz w:val="20"/>
                <w:szCs w:val="20"/>
                <w:color w:val="auto"/>
              </w:rPr>
              <w:t>69,576</w:t>
            </w:r>
          </w:p>
        </w:tc>
        <w:tc>
          <w:tcPr>
            <w:tcW w:w="36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46,960</w:t>
            </w:r>
          </w:p>
        </w:tc>
        <w:tc>
          <w:tcPr>
            <w:tcW w:w="320" w:type="dxa"/>
            <w:vAlign w:val="bottom"/>
            <w:gridSpan w:val="2"/>
            <w:shd w:val="clear" w:color="auto" w:fill="FEFEFE"/>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26,239</w:t>
            </w:r>
          </w:p>
        </w:tc>
      </w:tr>
      <w:tr>
        <w:trPr>
          <w:trHeight w:val="244"/>
        </w:trPr>
        <w:tc>
          <w:tcPr>
            <w:tcW w:w="6460" w:type="dxa"/>
            <w:vAlign w:val="bottom"/>
            <w:shd w:val="clear" w:color="auto" w:fill="E7E7E3"/>
          </w:tcPr>
          <w:p>
            <w:pPr>
              <w:spacing w:after="0"/>
              <w:rPr>
                <w:sz w:val="21"/>
                <w:szCs w:val="21"/>
                <w:color w:val="auto"/>
              </w:rPr>
            </w:pPr>
          </w:p>
        </w:tc>
        <w:tc>
          <w:tcPr>
            <w:tcW w:w="300" w:type="dxa"/>
            <w:vAlign w:val="bottom"/>
            <w:shd w:val="clear" w:color="auto" w:fill="E7E7E3"/>
          </w:tcPr>
          <w:p>
            <w:pPr>
              <w:spacing w:after="0"/>
              <w:rPr>
                <w:sz w:val="21"/>
                <w:szCs w:val="21"/>
                <w:color w:val="auto"/>
              </w:rPr>
            </w:pPr>
          </w:p>
        </w:tc>
        <w:tc>
          <w:tcPr>
            <w:tcW w:w="20" w:type="dxa"/>
            <w:vAlign w:val="bottom"/>
            <w:shd w:val="clear" w:color="auto" w:fill="E7E7E3"/>
          </w:tcPr>
          <w:p>
            <w:pPr>
              <w:spacing w:after="0"/>
              <w:rPr>
                <w:sz w:val="21"/>
                <w:szCs w:val="21"/>
                <w:color w:val="auto"/>
              </w:rPr>
            </w:pPr>
          </w:p>
        </w:tc>
        <w:tc>
          <w:tcPr>
            <w:tcW w:w="1340" w:type="dxa"/>
            <w:vAlign w:val="bottom"/>
            <w:gridSpan w:val="2"/>
            <w:shd w:val="clear" w:color="auto" w:fill="E7E7E3"/>
          </w:tcPr>
          <w:p>
            <w:pPr>
              <w:spacing w:after="0"/>
              <w:rPr>
                <w:sz w:val="21"/>
                <w:szCs w:val="21"/>
                <w:color w:val="auto"/>
              </w:rPr>
            </w:pPr>
          </w:p>
        </w:tc>
        <w:tc>
          <w:tcPr>
            <w:tcW w:w="14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060" w:type="dxa"/>
            <w:vAlign w:val="bottom"/>
            <w:gridSpan w:val="2"/>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940" w:type="dxa"/>
            <w:vAlign w:val="bottom"/>
            <w:gridSpan w:val="2"/>
            <w:shd w:val="clear" w:color="auto" w:fill="E7E7E3"/>
          </w:tcPr>
          <w:p>
            <w:pPr>
              <w:spacing w:after="0"/>
              <w:rPr>
                <w:sz w:val="21"/>
                <w:szCs w:val="21"/>
                <w:color w:val="auto"/>
              </w:rPr>
            </w:pPr>
          </w:p>
        </w:tc>
      </w:tr>
      <w:tr>
        <w:trPr>
          <w:trHeight w:val="244"/>
        </w:trPr>
        <w:tc>
          <w:tcPr>
            <w:tcW w:w="6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3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340" w:type="dxa"/>
            <w:vAlign w:val="bottom"/>
            <w:gridSpan w:val="2"/>
            <w:shd w:val="clear" w:color="auto" w:fill="FEFEFE"/>
          </w:tcPr>
          <w:p>
            <w:pPr>
              <w:jc w:val="right"/>
              <w:ind w:right="240"/>
              <w:spacing w:after="0"/>
              <w:rPr>
                <w:sz w:val="20"/>
                <w:szCs w:val="20"/>
                <w:color w:val="auto"/>
              </w:rPr>
            </w:pPr>
            <w:r>
              <w:rPr>
                <w:rFonts w:ascii="Times New Roman" w:cs="Times New Roman" w:eastAsia="Times New Roman" w:hAnsi="Times New Roman"/>
                <w:sz w:val="20"/>
                <w:szCs w:val="20"/>
                <w:color w:val="auto"/>
              </w:rPr>
              <w:t>5.4 yrs.</w:t>
            </w:r>
          </w:p>
        </w:tc>
        <w:tc>
          <w:tcPr>
            <w:tcW w:w="14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06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4.9 yrs.</w:t>
            </w:r>
          </w:p>
        </w:tc>
        <w:tc>
          <w:tcPr>
            <w:tcW w:w="10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9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4.3 yrs.</w:t>
            </w:r>
          </w:p>
        </w:tc>
      </w:tr>
      <w:tr>
        <w:trPr>
          <w:trHeight w:val="244"/>
        </w:trPr>
        <w:tc>
          <w:tcPr>
            <w:tcW w:w="6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300" w:type="dxa"/>
            <w:vAlign w:val="bottom"/>
            <w:shd w:val="clear" w:color="auto" w:fill="E7E7E3"/>
          </w:tcPr>
          <w:p>
            <w:pPr>
              <w:spacing w:after="0"/>
              <w:rPr>
                <w:sz w:val="21"/>
                <w:szCs w:val="21"/>
                <w:color w:val="auto"/>
              </w:rPr>
            </w:pPr>
          </w:p>
        </w:tc>
        <w:tc>
          <w:tcPr>
            <w:tcW w:w="1360" w:type="dxa"/>
            <w:vAlign w:val="bottom"/>
            <w:gridSpan w:val="3"/>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6.33%</w:t>
            </w:r>
          </w:p>
        </w:tc>
        <w:tc>
          <w:tcPr>
            <w:tcW w:w="14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06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20"/>
                <w:szCs w:val="20"/>
                <w:color w:val="auto"/>
              </w:rPr>
              <w:t>6.52%</w:t>
            </w:r>
          </w:p>
        </w:tc>
        <w:tc>
          <w:tcPr>
            <w:tcW w:w="10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94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6.39%</w:t>
            </w:r>
          </w:p>
        </w:tc>
      </w:tr>
    </w:tbl>
    <w:p>
      <w:pPr>
        <w:spacing w:after="0" w:line="380" w:lineRule="exact"/>
        <w:rPr>
          <w:sz w:val="20"/>
          <w:szCs w:val="20"/>
          <w:color w:val="auto"/>
        </w:rPr>
      </w:pPr>
    </w:p>
    <w:p>
      <w:pPr>
        <w:ind w:right="200"/>
        <w:spacing w:after="0" w:line="311" w:lineRule="auto"/>
        <w:rPr>
          <w:sz w:val="20"/>
          <w:szCs w:val="20"/>
          <w:color w:val="auto"/>
        </w:rPr>
      </w:pPr>
      <w:r>
        <w:rPr>
          <w:rFonts w:ascii="Times New Roman" w:cs="Times New Roman" w:eastAsia="Times New Roman" w:hAnsi="Times New Roman"/>
          <w:sz w:val="20"/>
          <w:szCs w:val="20"/>
          <w:color w:val="auto"/>
        </w:rPr>
        <w:t>The table below reconciles the undiscounted cash flows for each of the next five years and thereafter to the operating lease liabilities recorded on the Consolidated Balance Sheet as of February 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960" w:type="dxa"/>
            <w:vAlign w:val="bottom"/>
            <w:shd w:val="clear" w:color="auto" w:fill="E7E7E3"/>
          </w:tcPr>
          <w:p>
            <w:pPr>
              <w:spacing w:after="0"/>
              <w:rPr>
                <w:sz w:val="21"/>
                <w:szCs w:val="21"/>
                <w:color w:val="auto"/>
              </w:rPr>
            </w:pPr>
          </w:p>
        </w:tc>
        <w:tc>
          <w:tcPr>
            <w:tcW w:w="120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2025</w:t>
            </w:r>
          </w:p>
        </w:tc>
        <w:tc>
          <w:tcPr>
            <w:tcW w:w="2960" w:type="dxa"/>
            <w:vAlign w:val="bottom"/>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46,489</w:t>
            </w:r>
          </w:p>
        </w:tc>
        <w:tc>
          <w:tcPr>
            <w:tcW w:w="100" w:type="dxa"/>
            <w:vAlign w:val="bottom"/>
            <w:shd w:val="clear" w:color="auto" w:fill="FEFEFE"/>
          </w:tcPr>
          <w:p>
            <w:pPr>
              <w:spacing w:after="0"/>
              <w:rPr>
                <w:sz w:val="21"/>
                <w:szCs w:val="21"/>
                <w:color w:val="auto"/>
              </w:rPr>
            </w:pPr>
          </w:p>
        </w:tc>
      </w:tr>
      <w:tr>
        <w:trPr>
          <w:trHeight w:val="244"/>
        </w:trPr>
        <w:tc>
          <w:tcPr>
            <w:tcW w:w="65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2026</w:t>
            </w:r>
          </w:p>
        </w:tc>
        <w:tc>
          <w:tcPr>
            <w:tcW w:w="2960" w:type="dxa"/>
            <w:vAlign w:val="bottom"/>
            <w:shd w:val="clear" w:color="auto" w:fill="E7E7E3"/>
          </w:tcPr>
          <w:p>
            <w:pPr>
              <w:spacing w:after="0"/>
              <w:rPr>
                <w:sz w:val="21"/>
                <w:szCs w:val="21"/>
                <w:color w:val="auto"/>
              </w:rPr>
            </w:pPr>
          </w:p>
        </w:tc>
        <w:tc>
          <w:tcPr>
            <w:tcW w:w="12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45,014</w:t>
            </w:r>
          </w:p>
        </w:tc>
        <w:tc>
          <w:tcPr>
            <w:tcW w:w="100" w:type="dxa"/>
            <w:vAlign w:val="bottom"/>
            <w:shd w:val="clear" w:color="auto" w:fill="E7E7E3"/>
          </w:tcPr>
          <w:p>
            <w:pPr>
              <w:spacing w:after="0"/>
              <w:rPr>
                <w:sz w:val="21"/>
                <w:szCs w:val="21"/>
                <w:color w:val="auto"/>
              </w:rPr>
            </w:pPr>
          </w:p>
        </w:tc>
      </w:tr>
      <w:tr>
        <w:trPr>
          <w:trHeight w:val="24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2027</w:t>
            </w:r>
          </w:p>
        </w:tc>
        <w:tc>
          <w:tcPr>
            <w:tcW w:w="2960" w:type="dxa"/>
            <w:vAlign w:val="bottom"/>
            <w:shd w:val="clear" w:color="auto" w:fill="FEFEFE"/>
          </w:tcPr>
          <w:p>
            <w:pPr>
              <w:spacing w:after="0"/>
              <w:rPr>
                <w:sz w:val="21"/>
                <w:szCs w:val="21"/>
                <w:color w:val="auto"/>
              </w:rPr>
            </w:pP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38,027</w:t>
            </w:r>
          </w:p>
        </w:tc>
        <w:tc>
          <w:tcPr>
            <w:tcW w:w="100" w:type="dxa"/>
            <w:vAlign w:val="bottom"/>
            <w:shd w:val="clear" w:color="auto" w:fill="FEFEFE"/>
          </w:tcPr>
          <w:p>
            <w:pPr>
              <w:spacing w:after="0"/>
              <w:rPr>
                <w:sz w:val="21"/>
                <w:szCs w:val="21"/>
                <w:color w:val="auto"/>
              </w:rPr>
            </w:pPr>
          </w:p>
        </w:tc>
      </w:tr>
      <w:tr>
        <w:trPr>
          <w:trHeight w:val="244"/>
        </w:trPr>
        <w:tc>
          <w:tcPr>
            <w:tcW w:w="654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2028</w:t>
            </w:r>
          </w:p>
        </w:tc>
        <w:tc>
          <w:tcPr>
            <w:tcW w:w="2960" w:type="dxa"/>
            <w:vAlign w:val="bottom"/>
            <w:shd w:val="clear" w:color="auto" w:fill="E7E7E3"/>
          </w:tcPr>
          <w:p>
            <w:pPr>
              <w:spacing w:after="0"/>
              <w:rPr>
                <w:sz w:val="21"/>
                <w:szCs w:val="21"/>
                <w:color w:val="auto"/>
              </w:rPr>
            </w:pPr>
          </w:p>
        </w:tc>
        <w:tc>
          <w:tcPr>
            <w:tcW w:w="12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29,520</w:t>
            </w:r>
          </w:p>
        </w:tc>
        <w:tc>
          <w:tcPr>
            <w:tcW w:w="100" w:type="dxa"/>
            <w:vAlign w:val="bottom"/>
            <w:shd w:val="clear" w:color="auto" w:fill="E7E7E3"/>
          </w:tcPr>
          <w:p>
            <w:pPr>
              <w:spacing w:after="0"/>
              <w:rPr>
                <w:sz w:val="21"/>
                <w:szCs w:val="21"/>
                <w:color w:val="auto"/>
              </w:rPr>
            </w:pPr>
          </w:p>
        </w:tc>
      </w:tr>
      <w:tr>
        <w:trPr>
          <w:trHeight w:val="24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2029</w:t>
            </w:r>
          </w:p>
        </w:tc>
        <w:tc>
          <w:tcPr>
            <w:tcW w:w="2960" w:type="dxa"/>
            <w:vAlign w:val="bottom"/>
            <w:shd w:val="clear" w:color="auto" w:fill="FEFEFE"/>
          </w:tcPr>
          <w:p>
            <w:pPr>
              <w:spacing w:after="0"/>
              <w:rPr>
                <w:sz w:val="21"/>
                <w:szCs w:val="21"/>
                <w:color w:val="auto"/>
              </w:rPr>
            </w:pP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21,757</w:t>
            </w:r>
          </w:p>
        </w:tc>
        <w:tc>
          <w:tcPr>
            <w:tcW w:w="100" w:type="dxa"/>
            <w:vAlign w:val="bottom"/>
            <w:shd w:val="clear" w:color="auto" w:fill="FEFEFE"/>
          </w:tcPr>
          <w:p>
            <w:pPr>
              <w:spacing w:after="0"/>
              <w:rPr>
                <w:sz w:val="21"/>
                <w:szCs w:val="21"/>
                <w:color w:val="auto"/>
              </w:rPr>
            </w:pPr>
          </w:p>
        </w:tc>
      </w:tr>
      <w:tr>
        <w:trPr>
          <w:trHeight w:val="244"/>
        </w:trPr>
        <w:tc>
          <w:tcPr>
            <w:tcW w:w="654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Thereafter</w:t>
            </w:r>
          </w:p>
        </w:tc>
        <w:tc>
          <w:tcPr>
            <w:tcW w:w="2960" w:type="dxa"/>
            <w:vAlign w:val="bottom"/>
            <w:tcBorders>
              <w:bottom w:val="single" w:sz="8" w:color="auto"/>
            </w:tcBorders>
            <w:shd w:val="clear" w:color="auto" w:fill="E7E7E3"/>
          </w:tcPr>
          <w:p>
            <w:pPr>
              <w:spacing w:after="0"/>
              <w:rPr>
                <w:sz w:val="21"/>
                <w:szCs w:val="21"/>
                <w:color w:val="auto"/>
              </w:rPr>
            </w:pPr>
          </w:p>
        </w:tc>
        <w:tc>
          <w:tcPr>
            <w:tcW w:w="12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39,175</w:t>
            </w:r>
          </w:p>
        </w:tc>
        <w:tc>
          <w:tcPr>
            <w:tcW w:w="100" w:type="dxa"/>
            <w:vAlign w:val="bottom"/>
            <w:tcBorders>
              <w:bottom w:val="single" w:sz="8" w:color="FEFEFE"/>
            </w:tcBorders>
            <w:shd w:val="clear" w:color="auto" w:fill="E7E7E3"/>
          </w:tcPr>
          <w:p>
            <w:pPr>
              <w:spacing w:after="0"/>
              <w:rPr>
                <w:sz w:val="21"/>
                <w:szCs w:val="21"/>
                <w:color w:val="auto"/>
              </w:rPr>
            </w:pPr>
          </w:p>
        </w:tc>
      </w:tr>
      <w:tr>
        <w:trPr>
          <w:trHeight w:val="23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2960" w:type="dxa"/>
            <w:vAlign w:val="bottom"/>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219,982</w:t>
            </w:r>
          </w:p>
        </w:tc>
        <w:tc>
          <w:tcPr>
            <w:tcW w:w="100" w:type="dxa"/>
            <w:vAlign w:val="bottom"/>
            <w:shd w:val="clear" w:color="auto" w:fill="FEFEFE"/>
          </w:tcPr>
          <w:p>
            <w:pPr>
              <w:spacing w:after="0"/>
              <w:rPr>
                <w:sz w:val="20"/>
                <w:szCs w:val="20"/>
                <w:color w:val="auto"/>
              </w:rPr>
            </w:pPr>
          </w:p>
        </w:tc>
      </w:tr>
      <w:tr>
        <w:trPr>
          <w:trHeight w:val="244"/>
        </w:trPr>
        <w:tc>
          <w:tcPr>
            <w:tcW w:w="654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Less: amount of lease payments representing interest</w:t>
            </w:r>
          </w:p>
        </w:tc>
        <w:tc>
          <w:tcPr>
            <w:tcW w:w="2960" w:type="dxa"/>
            <w:vAlign w:val="bottom"/>
            <w:tcBorders>
              <w:bottom w:val="single" w:sz="8" w:color="auto"/>
            </w:tcBorders>
            <w:shd w:val="clear" w:color="auto" w:fill="E7E7E3"/>
          </w:tcPr>
          <w:p>
            <w:pPr>
              <w:spacing w:after="0"/>
              <w:rPr>
                <w:sz w:val="21"/>
                <w:szCs w:val="21"/>
                <w:color w:val="auto"/>
              </w:rPr>
            </w:pPr>
          </w:p>
        </w:tc>
        <w:tc>
          <w:tcPr>
            <w:tcW w:w="12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35,367</w:t>
            </w:r>
          </w:p>
        </w:tc>
        <w:tc>
          <w:tcPr>
            <w:tcW w:w="100" w:type="dxa"/>
            <w:vAlign w:val="bottom"/>
            <w:tcBorders>
              <w:bottom w:val="single" w:sz="8" w:color="FEFEFE"/>
            </w:tcBorders>
            <w:shd w:val="clear" w:color="auto" w:fill="E7E7E3"/>
          </w:tcPr>
          <w:p>
            <w:pPr>
              <w:spacing w:after="0"/>
              <w:rPr>
                <w:sz w:val="21"/>
                <w:szCs w:val="21"/>
                <w:color w:val="auto"/>
              </w:rPr>
            </w:pPr>
          </w:p>
        </w:tc>
      </w:tr>
      <w:tr>
        <w:trPr>
          <w:trHeight w:val="23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2960" w:type="dxa"/>
            <w:vAlign w:val="bottom"/>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184,615</w:t>
            </w:r>
          </w:p>
        </w:tc>
        <w:tc>
          <w:tcPr>
            <w:tcW w:w="100" w:type="dxa"/>
            <w:vAlign w:val="bottom"/>
            <w:shd w:val="clear" w:color="auto" w:fill="FEFEFE"/>
          </w:tcPr>
          <w:p>
            <w:pPr>
              <w:spacing w:after="0"/>
              <w:rPr>
                <w:sz w:val="20"/>
                <w:szCs w:val="20"/>
                <w:color w:val="auto"/>
              </w:rPr>
            </w:pPr>
          </w:p>
        </w:tc>
      </w:tr>
      <w:tr>
        <w:trPr>
          <w:trHeight w:val="244"/>
        </w:trPr>
        <w:tc>
          <w:tcPr>
            <w:tcW w:w="6540" w:type="dxa"/>
            <w:vAlign w:val="bottom"/>
            <w:tcBorders>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Less: current obligations under leases</w:t>
            </w:r>
          </w:p>
        </w:tc>
        <w:tc>
          <w:tcPr>
            <w:tcW w:w="2960" w:type="dxa"/>
            <w:vAlign w:val="bottom"/>
            <w:tcBorders>
              <w:bottom w:val="single" w:sz="8" w:color="auto"/>
            </w:tcBorders>
            <w:shd w:val="clear" w:color="auto" w:fill="E7E7E3"/>
          </w:tcPr>
          <w:p>
            <w:pPr>
              <w:spacing w:after="0"/>
              <w:rPr>
                <w:sz w:val="21"/>
                <w:szCs w:val="21"/>
                <w:color w:val="auto"/>
              </w:rPr>
            </w:pPr>
          </w:p>
        </w:tc>
        <w:tc>
          <w:tcPr>
            <w:tcW w:w="12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35,920</w:t>
            </w:r>
          </w:p>
        </w:tc>
        <w:tc>
          <w:tcPr>
            <w:tcW w:w="100" w:type="dxa"/>
            <w:vAlign w:val="bottom"/>
            <w:tcBorders>
              <w:bottom w:val="single" w:sz="8" w:color="FEFEFE"/>
            </w:tcBorders>
            <w:shd w:val="clear" w:color="auto" w:fill="E7E7E3"/>
          </w:tcPr>
          <w:p>
            <w:pPr>
              <w:spacing w:after="0"/>
              <w:rPr>
                <w:sz w:val="21"/>
                <w:szCs w:val="21"/>
                <w:color w:val="auto"/>
              </w:rPr>
            </w:pPr>
          </w:p>
        </w:tc>
      </w:tr>
      <w:tr>
        <w:trPr>
          <w:trHeight w:val="234"/>
        </w:trPr>
        <w:tc>
          <w:tcPr>
            <w:tcW w:w="65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Noncurrent lease obligations</w:t>
            </w:r>
          </w:p>
        </w:tc>
        <w:tc>
          <w:tcPr>
            <w:tcW w:w="2960" w:type="dxa"/>
            <w:vAlign w:val="bottom"/>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148,695</w:t>
            </w:r>
          </w:p>
        </w:tc>
        <w:tc>
          <w:tcPr>
            <w:tcW w:w="100" w:type="dxa"/>
            <w:vAlign w:val="bottom"/>
            <w:shd w:val="clear" w:color="auto" w:fill="FEFEFE"/>
          </w:tcPr>
          <w:p>
            <w:pPr>
              <w:spacing w:after="0"/>
              <w:rPr>
                <w:sz w:val="20"/>
                <w:szCs w:val="20"/>
                <w:color w:val="auto"/>
              </w:rPr>
            </w:pPr>
          </w:p>
        </w:tc>
      </w:tr>
    </w:tbl>
    <w:p>
      <w:pPr>
        <w:spacing w:after="0" w:line="23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As of February 1, 2025, the Company had entered into eight 10-year store leases that have not yet commenced with aggregated estimated future lease payments of approximately $10.2 million, which are not included in the above table. The leases are expected to commence in the first half of fiscal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INCOME TAXES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The Company accounts for income taxes in accordance with ASC Topic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7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Until the second quarter of fiscal 2022, the Company had maintained a full valuation allowance against its deferred tax assets since fiscal 2013.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six consecutive quarters of sales growth and profitability at the time of the assessment, its expectations regarding the generation of future taxable income and the ability to utilize the Company’s net operating loss (“NOLs”) carryforwards as well as the overall improvement in the Company's business, brand repositioning and current market position. As a result, for fiscal 2022, the valuation allowance against the Company's deferred tax assets decreased by $47.6 million, of which $31.6 million was recorded as a non-recurring tax benefit in fiscal 2022 related to the release of the valuation allowance on</w:t>
      </w:r>
    </w:p>
    <w:p>
      <w:pPr>
        <w:sectPr>
          <w:pgSz w:w="11880" w:h="15480" w:orient="portrait"/>
          <w:cols w:equalWidth="0" w:num="1">
            <w:col w:w="10800"/>
          </w:cols>
          <w:pgMar w:left="540" w:top="485" w:right="54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485" w:right="540" w:bottom="0" w:gutter="0" w:footer="0" w:header="0"/>
          <w:type w:val="continuous"/>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20"/>
          <w:szCs w:val="20"/>
          <w:color w:val="auto"/>
        </w:rPr>
        <w:t>deferred tax assets expected to be realized in future periods. As a result of releasing substantially all of the valuation allowance against its deferred tax assets during fiscal 2022, the Company returned to a normal tax provision for fiscal 2023. At February 1, 2025 and February 3, 2024, the Company continued to provide a valuation allowance of $1.5 million and $2.2 million, respectively, primarily against certain state and foreign NOLs.</w:t>
      </w:r>
    </w:p>
    <w:p>
      <w:pPr>
        <w:spacing w:after="0" w:line="7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of February 1, 2025, for federal income tax purposes, the Company had net operating loss carryforwards of $3.4 million, which will expire in fiscal 2037, and net operating loss carryforwards of $39.9 million that are not subject to expiration. For state income tax purposes, the Company had $38.3 million of net operating loss carryforwards that are available to offset future taxable income, the majority of which will expire from fiscal 2025 through fiscal 2045. Additionally, the Company has $5.3 million of net operating loss carryforwards related to the Company’s operations in Canada, which will expire from fiscal 2025 through fiscal 2041.</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February 1, 2025, there has been no such ownership 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net deferred tax assets as of February 1, 2025 and February 3, 2024 were as follows (in thousands):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6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540" w:type="dxa"/>
            <w:vAlign w:val="bottom"/>
            <w:gridSpan w:val="2"/>
            <w:shd w:val="clear" w:color="auto" w:fill="FEFEFE"/>
          </w:tcPr>
          <w:p>
            <w:pPr>
              <w:jc w:val="right"/>
              <w:ind w:right="420"/>
              <w:spacing w:after="0"/>
              <w:rPr>
                <w:sz w:val="20"/>
                <w:szCs w:val="20"/>
                <w:color w:val="auto"/>
              </w:rPr>
            </w:pPr>
            <w:r>
              <w:rPr>
                <w:rFonts w:ascii="Times New Roman" w:cs="Times New Roman" w:eastAsia="Times New Roman" w:hAnsi="Times New Roman"/>
                <w:sz w:val="16"/>
                <w:szCs w:val="16"/>
                <w:color w:val="auto"/>
              </w:rPr>
              <w:t>February 1, 2025</w:t>
            </w:r>
          </w:p>
        </w:tc>
        <w:tc>
          <w:tcPr>
            <w:tcW w:w="120" w:type="dxa"/>
            <w:vAlign w:val="bottom"/>
            <w:shd w:val="clear" w:color="auto" w:fill="FEFEFE"/>
          </w:tcPr>
          <w:p>
            <w:pPr>
              <w:spacing w:after="0"/>
              <w:rPr>
                <w:sz w:val="17"/>
                <w:szCs w:val="17"/>
                <w:color w:val="auto"/>
              </w:rPr>
            </w:pPr>
          </w:p>
        </w:tc>
        <w:tc>
          <w:tcPr>
            <w:tcW w:w="140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6"/>
                <w:szCs w:val="16"/>
                <w:color w:val="auto"/>
              </w:rPr>
              <w:t>February 3, 2024</w:t>
            </w:r>
          </w:p>
        </w:tc>
      </w:tr>
      <w:tr>
        <w:trPr>
          <w:trHeight w:val="224"/>
        </w:trPr>
        <w:tc>
          <w:tcPr>
            <w:tcW w:w="6960" w:type="dxa"/>
            <w:vAlign w:val="bottom"/>
            <w:tcBorders>
              <w:top w:val="single" w:sz="8" w:color="E7E7E3"/>
            </w:tcBorders>
            <w:shd w:val="clear" w:color="auto" w:fill="E7E7E3"/>
          </w:tcPr>
          <w:p>
            <w:pPr>
              <w:spacing w:after="0" w:line="224" w:lineRule="exact"/>
              <w:rPr>
                <w:sz w:val="20"/>
                <w:szCs w:val="20"/>
                <w:color w:val="auto"/>
              </w:rPr>
            </w:pPr>
            <w:r>
              <w:rPr>
                <w:rFonts w:ascii="Times New Roman" w:cs="Times New Roman" w:eastAsia="Times New Roman" w:hAnsi="Times New Roman"/>
                <w:sz w:val="20"/>
                <w:szCs w:val="20"/>
                <w:color w:val="auto"/>
              </w:rPr>
              <w:t>Deferred tax assets, net:</w:t>
            </w:r>
          </w:p>
        </w:tc>
        <w:tc>
          <w:tcPr>
            <w:tcW w:w="140" w:type="dxa"/>
            <w:vAlign w:val="bottom"/>
            <w:tcBorders>
              <w:top w:val="single" w:sz="8" w:color="auto"/>
            </w:tcBorders>
            <w:shd w:val="clear" w:color="auto" w:fill="E7E7E3"/>
          </w:tcPr>
          <w:p>
            <w:pPr>
              <w:spacing w:after="0"/>
              <w:rPr>
                <w:sz w:val="19"/>
                <w:szCs w:val="19"/>
                <w:color w:val="auto"/>
              </w:rPr>
            </w:pPr>
          </w:p>
        </w:tc>
        <w:tc>
          <w:tcPr>
            <w:tcW w:w="1280" w:type="dxa"/>
            <w:vAlign w:val="bottom"/>
            <w:tcBorders>
              <w:top w:val="single" w:sz="8" w:color="auto"/>
            </w:tcBorders>
            <w:shd w:val="clear" w:color="auto" w:fill="E7E7E3"/>
          </w:tcPr>
          <w:p>
            <w:pPr>
              <w:spacing w:after="0"/>
              <w:rPr>
                <w:sz w:val="19"/>
                <w:szCs w:val="19"/>
                <w:color w:val="auto"/>
              </w:rPr>
            </w:pPr>
          </w:p>
        </w:tc>
        <w:tc>
          <w:tcPr>
            <w:tcW w:w="260" w:type="dxa"/>
            <w:vAlign w:val="bottom"/>
            <w:tcBorders>
              <w:top w:val="single" w:sz="8" w:color="E7E7E3"/>
            </w:tcBorders>
            <w:shd w:val="clear" w:color="auto" w:fill="E7E7E3"/>
          </w:tcPr>
          <w:p>
            <w:pPr>
              <w:spacing w:after="0"/>
              <w:rPr>
                <w:sz w:val="19"/>
                <w:szCs w:val="19"/>
                <w:color w:val="auto"/>
              </w:rPr>
            </w:pPr>
          </w:p>
        </w:tc>
        <w:tc>
          <w:tcPr>
            <w:tcW w:w="120" w:type="dxa"/>
            <w:vAlign w:val="bottom"/>
            <w:tcBorders>
              <w:top w:val="single" w:sz="8" w:color="auto"/>
            </w:tcBorders>
            <w:shd w:val="clear" w:color="auto" w:fill="E7E7E3"/>
          </w:tcPr>
          <w:p>
            <w:pPr>
              <w:spacing w:after="0"/>
              <w:rPr>
                <w:sz w:val="19"/>
                <w:szCs w:val="19"/>
                <w:color w:val="auto"/>
              </w:rPr>
            </w:pPr>
          </w:p>
        </w:tc>
        <w:tc>
          <w:tcPr>
            <w:tcW w:w="130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44"/>
        </w:trPr>
        <w:tc>
          <w:tcPr>
            <w:tcW w:w="69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12,868</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13,522</w:t>
            </w:r>
          </w:p>
        </w:tc>
        <w:tc>
          <w:tcPr>
            <w:tcW w:w="100" w:type="dxa"/>
            <w:vAlign w:val="bottom"/>
            <w:shd w:val="clear" w:color="auto" w:fill="FEFEFE"/>
          </w:tcPr>
          <w:p>
            <w:pPr>
              <w:spacing w:after="0"/>
              <w:rPr>
                <w:sz w:val="21"/>
                <w:szCs w:val="21"/>
                <w:color w:val="auto"/>
              </w:rPr>
            </w:pPr>
          </w:p>
        </w:tc>
      </w:tr>
      <w:tr>
        <w:trPr>
          <w:trHeight w:val="244"/>
        </w:trPr>
        <w:tc>
          <w:tcPr>
            <w:tcW w:w="69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140" w:type="dxa"/>
            <w:vAlign w:val="bottom"/>
            <w:shd w:val="clear" w:color="auto" w:fill="E7E7E3"/>
          </w:tcPr>
          <w:p>
            <w:pPr>
              <w:spacing w:after="0"/>
              <w:rPr>
                <w:sz w:val="21"/>
                <w:szCs w:val="21"/>
                <w:color w:val="auto"/>
              </w:rPr>
            </w:pPr>
          </w:p>
        </w:tc>
        <w:tc>
          <w:tcPr>
            <w:tcW w:w="12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4,328</w:t>
            </w:r>
          </w:p>
        </w:tc>
        <w:tc>
          <w:tcPr>
            <w:tcW w:w="26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4,776</w:t>
            </w:r>
          </w:p>
        </w:tc>
        <w:tc>
          <w:tcPr>
            <w:tcW w:w="100" w:type="dxa"/>
            <w:vAlign w:val="bottom"/>
            <w:shd w:val="clear" w:color="auto" w:fill="E7E7E3"/>
          </w:tcPr>
          <w:p>
            <w:pPr>
              <w:spacing w:after="0"/>
              <w:rPr>
                <w:sz w:val="21"/>
                <w:szCs w:val="21"/>
                <w:color w:val="auto"/>
              </w:rPr>
            </w:pPr>
          </w:p>
        </w:tc>
      </w:tr>
      <w:tr>
        <w:trPr>
          <w:trHeight w:val="244"/>
        </w:trPr>
        <w:tc>
          <w:tcPr>
            <w:tcW w:w="69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47,708</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40,182</w:t>
            </w:r>
          </w:p>
        </w:tc>
        <w:tc>
          <w:tcPr>
            <w:tcW w:w="100" w:type="dxa"/>
            <w:vAlign w:val="bottom"/>
            <w:shd w:val="clear" w:color="auto" w:fill="FEFEFE"/>
          </w:tcPr>
          <w:p>
            <w:pPr>
              <w:spacing w:after="0"/>
              <w:rPr>
                <w:sz w:val="21"/>
                <w:szCs w:val="21"/>
                <w:color w:val="auto"/>
              </w:rPr>
            </w:pPr>
          </w:p>
        </w:tc>
      </w:tr>
      <w:tr>
        <w:trPr>
          <w:trHeight w:val="244"/>
        </w:trPr>
        <w:tc>
          <w:tcPr>
            <w:tcW w:w="69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Goodwill and intangibles</w:t>
            </w:r>
          </w:p>
        </w:tc>
        <w:tc>
          <w:tcPr>
            <w:tcW w:w="140" w:type="dxa"/>
            <w:vAlign w:val="bottom"/>
            <w:shd w:val="clear" w:color="auto" w:fill="E7E7E3"/>
          </w:tcPr>
          <w:p>
            <w:pPr>
              <w:spacing w:after="0"/>
              <w:rPr>
                <w:sz w:val="21"/>
                <w:szCs w:val="21"/>
                <w:color w:val="auto"/>
              </w:rPr>
            </w:pPr>
          </w:p>
        </w:tc>
        <w:tc>
          <w:tcPr>
            <w:tcW w:w="15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(122)</w:t>
            </w:r>
          </w:p>
        </w:tc>
        <w:tc>
          <w:tcPr>
            <w:tcW w:w="120" w:type="dxa"/>
            <w:vAlign w:val="bottom"/>
            <w:shd w:val="clear" w:color="auto" w:fill="E7E7E3"/>
          </w:tcPr>
          <w:p>
            <w:pPr>
              <w:spacing w:after="0"/>
              <w:rPr>
                <w:sz w:val="21"/>
                <w:szCs w:val="21"/>
                <w:color w:val="auto"/>
              </w:rPr>
            </w:pPr>
          </w:p>
        </w:tc>
        <w:tc>
          <w:tcPr>
            <w:tcW w:w="14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(103)</w:t>
            </w:r>
          </w:p>
        </w:tc>
      </w:tr>
      <w:tr>
        <w:trPr>
          <w:trHeight w:val="244"/>
        </w:trPr>
        <w:tc>
          <w:tcPr>
            <w:tcW w:w="69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Inventory reserves</w:t>
            </w:r>
          </w:p>
        </w:tc>
        <w:tc>
          <w:tcPr>
            <w:tcW w:w="14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1,080</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866</w:t>
            </w:r>
          </w:p>
        </w:tc>
        <w:tc>
          <w:tcPr>
            <w:tcW w:w="100" w:type="dxa"/>
            <w:vAlign w:val="bottom"/>
            <w:shd w:val="clear" w:color="auto" w:fill="FEFEFE"/>
          </w:tcPr>
          <w:p>
            <w:pPr>
              <w:spacing w:after="0"/>
              <w:rPr>
                <w:sz w:val="21"/>
                <w:szCs w:val="21"/>
                <w:color w:val="auto"/>
              </w:rPr>
            </w:pPr>
          </w:p>
        </w:tc>
      </w:tr>
      <w:tr>
        <w:trPr>
          <w:trHeight w:val="244"/>
        </w:trPr>
        <w:tc>
          <w:tcPr>
            <w:tcW w:w="69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Foreign tax credit carryforward</w:t>
            </w:r>
          </w:p>
        </w:tc>
        <w:tc>
          <w:tcPr>
            <w:tcW w:w="140" w:type="dxa"/>
            <w:vAlign w:val="bottom"/>
            <w:shd w:val="clear" w:color="auto" w:fill="E7E7E3"/>
          </w:tcPr>
          <w:p>
            <w:pPr>
              <w:spacing w:after="0"/>
              <w:rPr>
                <w:sz w:val="21"/>
                <w:szCs w:val="21"/>
                <w:color w:val="auto"/>
              </w:rPr>
            </w:pPr>
          </w:p>
        </w:tc>
        <w:tc>
          <w:tcPr>
            <w:tcW w:w="12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6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100" w:type="dxa"/>
            <w:vAlign w:val="bottom"/>
            <w:shd w:val="clear" w:color="auto" w:fill="E7E7E3"/>
          </w:tcPr>
          <w:p>
            <w:pPr>
              <w:spacing w:after="0"/>
              <w:rPr>
                <w:sz w:val="21"/>
                <w:szCs w:val="21"/>
                <w:color w:val="auto"/>
              </w:rPr>
            </w:pPr>
          </w:p>
        </w:tc>
      </w:tr>
      <w:tr>
        <w:trPr>
          <w:trHeight w:val="244"/>
        </w:trPr>
        <w:tc>
          <w:tcPr>
            <w:tcW w:w="69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Federal wage tax credit carryforward</w:t>
            </w:r>
          </w:p>
        </w:tc>
        <w:tc>
          <w:tcPr>
            <w:tcW w:w="14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100" w:type="dxa"/>
            <w:vAlign w:val="bottom"/>
            <w:shd w:val="clear" w:color="auto" w:fill="FEFEFE"/>
          </w:tcPr>
          <w:p>
            <w:pPr>
              <w:spacing w:after="0"/>
              <w:rPr>
                <w:sz w:val="21"/>
                <w:szCs w:val="21"/>
                <w:color w:val="auto"/>
              </w:rPr>
            </w:pPr>
          </w:p>
        </w:tc>
      </w:tr>
      <w:tr>
        <w:trPr>
          <w:trHeight w:val="244"/>
        </w:trPr>
        <w:tc>
          <w:tcPr>
            <w:tcW w:w="69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State tax credits</w:t>
            </w:r>
          </w:p>
        </w:tc>
        <w:tc>
          <w:tcPr>
            <w:tcW w:w="140" w:type="dxa"/>
            <w:vAlign w:val="bottom"/>
            <w:shd w:val="clear" w:color="auto" w:fill="E7E7E3"/>
          </w:tcPr>
          <w:p>
            <w:pPr>
              <w:spacing w:after="0"/>
              <w:rPr>
                <w:sz w:val="21"/>
                <w:szCs w:val="21"/>
                <w:color w:val="auto"/>
              </w:rPr>
            </w:pPr>
          </w:p>
        </w:tc>
        <w:tc>
          <w:tcPr>
            <w:tcW w:w="12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6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00" w:type="dxa"/>
            <w:vAlign w:val="bottom"/>
            <w:shd w:val="clear" w:color="auto" w:fill="E7E7E3"/>
          </w:tcPr>
          <w:p>
            <w:pPr>
              <w:spacing w:after="0"/>
              <w:rPr>
                <w:sz w:val="21"/>
                <w:szCs w:val="21"/>
                <w:color w:val="auto"/>
              </w:rPr>
            </w:pPr>
          </w:p>
        </w:tc>
      </w:tr>
      <w:tr>
        <w:trPr>
          <w:trHeight w:val="244"/>
        </w:trPr>
        <w:tc>
          <w:tcPr>
            <w:tcW w:w="69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shd w:val="clear" w:color="auto" w:fill="FEFEFE"/>
          </w:tcPr>
          <w:p>
            <w:pPr>
              <w:spacing w:after="0"/>
              <w:rPr>
                <w:sz w:val="21"/>
                <w:szCs w:val="21"/>
                <w:color w:val="auto"/>
              </w:rPr>
            </w:pPr>
          </w:p>
        </w:tc>
        <w:tc>
          <w:tcPr>
            <w:tcW w:w="1540" w:type="dxa"/>
            <w:vAlign w:val="bottom"/>
            <w:gridSpan w:val="2"/>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(44,212)</w:t>
            </w:r>
          </w:p>
        </w:tc>
        <w:tc>
          <w:tcPr>
            <w:tcW w:w="120" w:type="dxa"/>
            <w:vAlign w:val="bottom"/>
            <w:shd w:val="clear" w:color="auto" w:fill="FEFEFE"/>
          </w:tcPr>
          <w:p>
            <w:pPr>
              <w:spacing w:after="0"/>
              <w:rPr>
                <w:sz w:val="21"/>
                <w:szCs w:val="21"/>
                <w:color w:val="auto"/>
              </w:rPr>
            </w:pPr>
          </w:p>
        </w:tc>
        <w:tc>
          <w:tcPr>
            <w:tcW w:w="140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(35,937)</w:t>
            </w:r>
          </w:p>
        </w:tc>
      </w:tr>
      <w:tr>
        <w:trPr>
          <w:trHeight w:val="244"/>
        </w:trPr>
        <w:tc>
          <w:tcPr>
            <w:tcW w:w="696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140" w:type="dxa"/>
            <w:vAlign w:val="bottom"/>
            <w:shd w:val="clear" w:color="auto" w:fill="E7E7E3"/>
          </w:tcPr>
          <w:p>
            <w:pPr>
              <w:spacing w:after="0"/>
              <w:rPr>
                <w:sz w:val="21"/>
                <w:szCs w:val="21"/>
                <w:color w:val="auto"/>
              </w:rPr>
            </w:pPr>
          </w:p>
        </w:tc>
        <w:tc>
          <w:tcPr>
            <w:tcW w:w="1540" w:type="dxa"/>
            <w:vAlign w:val="bottom"/>
            <w:gridSpan w:val="2"/>
            <w:shd w:val="clear" w:color="auto" w:fill="E7E7E3"/>
          </w:tcPr>
          <w:p>
            <w:pPr>
              <w:jc w:val="right"/>
              <w:ind w:right="200"/>
              <w:spacing w:after="0"/>
              <w:rPr>
                <w:sz w:val="20"/>
                <w:szCs w:val="20"/>
                <w:color w:val="auto"/>
              </w:rPr>
            </w:pPr>
            <w:r>
              <w:rPr>
                <w:rFonts w:ascii="Times New Roman" w:cs="Times New Roman" w:eastAsia="Times New Roman" w:hAnsi="Times New Roman"/>
                <w:sz w:val="20"/>
                <w:szCs w:val="20"/>
                <w:color w:val="auto"/>
              </w:rPr>
              <w:t>(1,804)</w:t>
            </w:r>
          </w:p>
        </w:tc>
        <w:tc>
          <w:tcPr>
            <w:tcW w:w="120" w:type="dxa"/>
            <w:vAlign w:val="bottom"/>
            <w:shd w:val="clear" w:color="auto" w:fill="E7E7E3"/>
          </w:tcPr>
          <w:p>
            <w:pPr>
              <w:spacing w:after="0"/>
              <w:rPr>
                <w:sz w:val="21"/>
                <w:szCs w:val="21"/>
                <w:color w:val="auto"/>
              </w:rPr>
            </w:pPr>
          </w:p>
        </w:tc>
        <w:tc>
          <w:tcPr>
            <w:tcW w:w="140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(985)</w:t>
            </w:r>
          </w:p>
        </w:tc>
      </w:tr>
      <w:tr>
        <w:trPr>
          <w:trHeight w:val="234"/>
        </w:trPr>
        <w:tc>
          <w:tcPr>
            <w:tcW w:w="6960" w:type="dxa"/>
            <w:vAlign w:val="bottom"/>
            <w:tcBorders>
              <w:top w:val="single" w:sz="8" w:color="FEFEFE"/>
            </w:tcBorders>
            <w:shd w:val="clear" w:color="auto" w:fill="FEFEFE"/>
          </w:tcPr>
          <w:p>
            <w:pPr>
              <w:ind w:left="360"/>
              <w:spacing w:after="0"/>
              <w:rPr>
                <w:sz w:val="20"/>
                <w:szCs w:val="20"/>
                <w:color w:val="auto"/>
              </w:rPr>
            </w:pPr>
            <w:r>
              <w:rPr>
                <w:rFonts w:ascii="Times New Roman" w:cs="Times New Roman" w:eastAsia="Times New Roman" w:hAnsi="Times New Roman"/>
                <w:sz w:val="20"/>
                <w:szCs w:val="20"/>
                <w:color w:val="auto"/>
              </w:rPr>
              <w:t>Subtotal</w:t>
            </w:r>
          </w:p>
        </w:tc>
        <w:tc>
          <w:tcPr>
            <w:tcW w:w="1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20,860</w:t>
            </w:r>
          </w:p>
        </w:tc>
        <w:tc>
          <w:tcPr>
            <w:tcW w:w="260" w:type="dxa"/>
            <w:vAlign w:val="bottom"/>
            <w:tcBorders>
              <w:top w:val="single" w:sz="8" w:color="FEFEFE"/>
            </w:tcBorders>
            <w:shd w:val="clear" w:color="auto" w:fill="FEFEFE"/>
          </w:tcPr>
          <w:p>
            <w:pPr>
              <w:spacing w:after="0"/>
              <w:rPr>
                <w:sz w:val="20"/>
                <w:szCs w:val="20"/>
                <w:color w:val="auto"/>
              </w:rPr>
            </w:pPr>
          </w:p>
        </w:tc>
        <w:tc>
          <w:tcPr>
            <w:tcW w:w="1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23,778</w:t>
            </w:r>
          </w:p>
        </w:tc>
        <w:tc>
          <w:tcPr>
            <w:tcW w:w="100" w:type="dxa"/>
            <w:vAlign w:val="bottom"/>
            <w:tcBorders>
              <w:top w:val="single" w:sz="8" w:color="FEFEFE"/>
            </w:tcBorders>
            <w:shd w:val="clear" w:color="auto" w:fill="FEFEFE"/>
          </w:tcPr>
          <w:p>
            <w:pPr>
              <w:spacing w:after="0"/>
              <w:rPr>
                <w:sz w:val="20"/>
                <w:szCs w:val="20"/>
                <w:color w:val="auto"/>
              </w:rPr>
            </w:pPr>
          </w:p>
        </w:tc>
      </w:tr>
      <w:tr>
        <w:trPr>
          <w:trHeight w:val="244"/>
        </w:trPr>
        <w:tc>
          <w:tcPr>
            <w:tcW w:w="696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40" w:type="dxa"/>
            <w:vAlign w:val="bottom"/>
            <w:tcBorders>
              <w:bottom w:val="single" w:sz="8" w:color="auto"/>
            </w:tcBorders>
            <w:shd w:val="clear" w:color="auto" w:fill="E7E7E3"/>
          </w:tcPr>
          <w:p>
            <w:pPr>
              <w:spacing w:after="0"/>
              <w:rPr>
                <w:sz w:val="21"/>
                <w:szCs w:val="21"/>
                <w:color w:val="auto"/>
              </w:rPr>
            </w:pPr>
          </w:p>
        </w:tc>
        <w:tc>
          <w:tcPr>
            <w:tcW w:w="12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260" w:type="dxa"/>
            <w:vAlign w:val="bottom"/>
            <w:tcBorders>
              <w:bottom w:val="single" w:sz="8" w:color="FEFEFE"/>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13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(2,245)</w:t>
            </w:r>
          </w:p>
        </w:tc>
        <w:tc>
          <w:tcPr>
            <w:tcW w:w="100" w:type="dxa"/>
            <w:vAlign w:val="bottom"/>
            <w:tcBorders>
              <w:bottom w:val="single" w:sz="8" w:color="FEFEFE"/>
            </w:tcBorders>
            <w:shd w:val="clear" w:color="auto" w:fill="E7E7E3"/>
          </w:tcPr>
          <w:p>
            <w:pPr>
              <w:spacing w:after="0"/>
              <w:rPr>
                <w:sz w:val="21"/>
                <w:szCs w:val="21"/>
                <w:color w:val="auto"/>
              </w:rPr>
            </w:pPr>
          </w:p>
        </w:tc>
      </w:tr>
      <w:tr>
        <w:trPr>
          <w:trHeight w:val="234"/>
        </w:trPr>
        <w:tc>
          <w:tcPr>
            <w:tcW w:w="69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19,343</w:t>
            </w:r>
          </w:p>
        </w:tc>
        <w:tc>
          <w:tcPr>
            <w:tcW w:w="260" w:type="dxa"/>
            <w:vAlign w:val="bottom"/>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21,533</w:t>
            </w:r>
          </w:p>
        </w:tc>
        <w:tc>
          <w:tcPr>
            <w:tcW w:w="100" w:type="dxa"/>
            <w:vAlign w:val="bottom"/>
            <w:shd w:val="clear" w:color="auto" w:fill="FEFEFE"/>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For fiscal 2024, the Company had total deferred tax assets of $67.0 million, total deferred tax liabilities of $46.1 million and a valuation allowance of $1.5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provision (benefit) for income taxes consisted of the following:</w:t>
      </w:r>
    </w:p>
    <w:p>
      <w:pPr>
        <w:spacing w:after="0" w:line="18"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42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1720" w:type="dxa"/>
            <w:vAlign w:val="bottom"/>
            <w:gridSpan w:val="4"/>
            <w:shd w:val="clear" w:color="auto" w:fill="FEFEFE"/>
          </w:tcPr>
          <w:p>
            <w:pPr>
              <w:jc w:val="center"/>
              <w:ind w:right="20"/>
              <w:spacing w:after="0"/>
              <w:rPr>
                <w:sz w:val="20"/>
                <w:szCs w:val="20"/>
                <w:color w:val="auto"/>
              </w:rPr>
            </w:pPr>
            <w:r>
              <w:rPr>
                <w:rFonts w:ascii="Times New Roman" w:cs="Times New Roman" w:eastAsia="Times New Roman" w:hAnsi="Times New Roman"/>
                <w:sz w:val="16"/>
                <w:szCs w:val="16"/>
                <w:color w:val="auto"/>
              </w:rPr>
              <w:t>FISCAL YEARS ENDED</w:t>
            </w:r>
          </w:p>
        </w:tc>
        <w:tc>
          <w:tcPr>
            <w:tcW w:w="340" w:type="dxa"/>
            <w:vAlign w:val="bottom"/>
            <w:shd w:val="clear" w:color="auto" w:fill="FEFEFE"/>
          </w:tcPr>
          <w:p>
            <w:pPr>
              <w:spacing w:after="0"/>
              <w:rPr>
                <w:sz w:val="17"/>
                <w:szCs w:val="17"/>
                <w:color w:val="auto"/>
              </w:rPr>
            </w:pPr>
          </w:p>
        </w:tc>
        <w:tc>
          <w:tcPr>
            <w:tcW w:w="8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6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40" w:type="dxa"/>
            <w:vAlign w:val="bottom"/>
            <w:shd w:val="clear" w:color="auto" w:fill="FEFEFE"/>
          </w:tcPr>
          <w:p>
            <w:pPr>
              <w:spacing w:after="0"/>
              <w:rPr>
                <w:sz w:val="17"/>
                <w:szCs w:val="17"/>
                <w:color w:val="auto"/>
              </w:rPr>
            </w:pPr>
          </w:p>
        </w:tc>
        <w:tc>
          <w:tcPr>
            <w:tcW w:w="1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rPr>
              <w:t>February 1, 2025</w:t>
            </w:r>
          </w:p>
        </w:tc>
        <w:tc>
          <w:tcPr>
            <w:tcW w:w="260" w:type="dxa"/>
            <w:vAlign w:val="bottom"/>
            <w:shd w:val="clear" w:color="auto" w:fill="FEFEFE"/>
          </w:tcPr>
          <w:p>
            <w:pPr>
              <w:spacing w:after="0"/>
              <w:rPr>
                <w:sz w:val="17"/>
                <w:szCs w:val="17"/>
                <w:color w:val="auto"/>
              </w:rPr>
            </w:pPr>
          </w:p>
        </w:tc>
        <w:tc>
          <w:tcPr>
            <w:tcW w:w="1460" w:type="dxa"/>
            <w:vAlign w:val="bottom"/>
            <w:gridSpan w:val="3"/>
            <w:shd w:val="clear" w:color="auto" w:fill="FEFEFE"/>
          </w:tcPr>
          <w:p>
            <w:pPr>
              <w:jc w:val="center"/>
              <w:ind w:right="280"/>
              <w:spacing w:after="0"/>
              <w:rPr>
                <w:sz w:val="20"/>
                <w:szCs w:val="20"/>
                <w:color w:val="auto"/>
              </w:rPr>
            </w:pPr>
            <w:r>
              <w:rPr>
                <w:rFonts w:ascii="Times New Roman" w:cs="Times New Roman" w:eastAsia="Times New Roman" w:hAnsi="Times New Roman"/>
                <w:sz w:val="16"/>
                <w:szCs w:val="16"/>
                <w:color w:val="auto"/>
              </w:rPr>
              <w:t>February 3, 2024</w:t>
            </w:r>
          </w:p>
        </w:tc>
        <w:tc>
          <w:tcPr>
            <w:tcW w:w="1320" w:type="dxa"/>
            <w:vAlign w:val="bottom"/>
            <w:gridSpan w:val="3"/>
            <w:shd w:val="clear" w:color="auto" w:fill="FEFEFE"/>
          </w:tcPr>
          <w:p>
            <w:pPr>
              <w:jc w:val="right"/>
              <w:ind w:right="160"/>
              <w:spacing w:after="0"/>
              <w:rPr>
                <w:sz w:val="20"/>
                <w:szCs w:val="20"/>
                <w:color w:val="auto"/>
              </w:rPr>
            </w:pPr>
            <w:r>
              <w:rPr>
                <w:rFonts w:ascii="Times New Roman" w:cs="Times New Roman" w:eastAsia="Times New Roman" w:hAnsi="Times New Roman"/>
                <w:sz w:val="16"/>
                <w:szCs w:val="16"/>
                <w:color w:val="auto"/>
              </w:rPr>
              <w:t>January 28, 2023</w:t>
            </w:r>
          </w:p>
        </w:tc>
        <w:tc>
          <w:tcPr>
            <w:tcW w:w="0" w:type="dxa"/>
            <w:vAlign w:val="bottom"/>
          </w:tcPr>
          <w:p>
            <w:pPr>
              <w:spacing w:after="0"/>
              <w:rPr>
                <w:sz w:val="1"/>
                <w:szCs w:val="1"/>
                <w:color w:val="auto"/>
              </w:rPr>
            </w:pPr>
          </w:p>
        </w:tc>
      </w:tr>
      <w:tr>
        <w:trPr>
          <w:trHeight w:val="224"/>
        </w:trPr>
        <w:tc>
          <w:tcPr>
            <w:tcW w:w="5960" w:type="dxa"/>
            <w:vAlign w:val="bottom"/>
            <w:tcBorders>
              <w:top w:val="single" w:sz="8" w:color="FEFEFE"/>
            </w:tcBorders>
            <w:vMerge w:val="continue"/>
            <w:shd w:val="clear" w:color="auto" w:fill="FEFEFE"/>
          </w:tcPr>
          <w:p>
            <w:pPr>
              <w:spacing w:after="0"/>
              <w:rPr>
                <w:sz w:val="19"/>
                <w:szCs w:val="19"/>
                <w:color w:val="auto"/>
              </w:rPr>
            </w:pPr>
          </w:p>
        </w:tc>
        <w:tc>
          <w:tcPr>
            <w:tcW w:w="140" w:type="dxa"/>
            <w:vAlign w:val="bottom"/>
            <w:tcBorders>
              <w:top w:val="single" w:sz="8" w:color="FEFEFE"/>
            </w:tcBorders>
            <w:shd w:val="clear" w:color="auto" w:fill="FEFEFE"/>
          </w:tcPr>
          <w:p>
            <w:pPr>
              <w:spacing w:after="0"/>
              <w:rPr>
                <w:sz w:val="19"/>
                <w:szCs w:val="19"/>
                <w:color w:val="auto"/>
              </w:rPr>
            </w:pPr>
          </w:p>
        </w:tc>
        <w:tc>
          <w:tcPr>
            <w:tcW w:w="420" w:type="dxa"/>
            <w:vAlign w:val="bottom"/>
            <w:tcBorders>
              <w:top w:val="single" w:sz="8" w:color="auto"/>
            </w:tcBorders>
            <w:shd w:val="clear" w:color="auto" w:fill="FEFEFE"/>
          </w:tcPr>
          <w:p>
            <w:pPr>
              <w:spacing w:after="0"/>
              <w:rPr>
                <w:sz w:val="19"/>
                <w:szCs w:val="19"/>
                <w:color w:val="auto"/>
              </w:rPr>
            </w:pPr>
          </w:p>
        </w:tc>
        <w:tc>
          <w:tcPr>
            <w:tcW w:w="800" w:type="dxa"/>
            <w:vAlign w:val="bottom"/>
            <w:tcBorders>
              <w:top w:val="single" w:sz="8" w:color="auto"/>
            </w:tcBorders>
            <w:shd w:val="clear" w:color="auto" w:fill="FEFEFE"/>
          </w:tcPr>
          <w:p>
            <w:pPr>
              <w:spacing w:after="0"/>
              <w:rPr>
                <w:sz w:val="19"/>
                <w:szCs w:val="19"/>
                <w:color w:val="auto"/>
              </w:rPr>
            </w:pPr>
          </w:p>
        </w:tc>
        <w:tc>
          <w:tcPr>
            <w:tcW w:w="260" w:type="dxa"/>
            <w:vAlign w:val="bottom"/>
            <w:tcBorders>
              <w:top w:val="single" w:sz="8" w:color="FEFEFE"/>
            </w:tcBorders>
            <w:shd w:val="clear" w:color="auto" w:fill="FEFEFE"/>
          </w:tcPr>
          <w:p>
            <w:pPr>
              <w:spacing w:after="0"/>
              <w:rPr>
                <w:sz w:val="19"/>
                <w:szCs w:val="19"/>
                <w:color w:val="auto"/>
              </w:rPr>
            </w:pPr>
          </w:p>
        </w:tc>
        <w:tc>
          <w:tcPr>
            <w:tcW w:w="380" w:type="dxa"/>
            <w:vAlign w:val="bottom"/>
            <w:tcBorders>
              <w:top w:val="single" w:sz="8" w:color="auto"/>
            </w:tcBorders>
            <w:shd w:val="clear" w:color="auto" w:fill="FEFEFE"/>
          </w:tcPr>
          <w:p>
            <w:pPr>
              <w:spacing w:after="0"/>
              <w:rPr>
                <w:sz w:val="19"/>
                <w:szCs w:val="19"/>
                <w:color w:val="auto"/>
              </w:rPr>
            </w:pPr>
          </w:p>
        </w:tc>
        <w:tc>
          <w:tcPr>
            <w:tcW w:w="840" w:type="dxa"/>
            <w:vAlign w:val="bottom"/>
            <w:tcBorders>
              <w:top w:val="single" w:sz="8" w:color="auto"/>
            </w:tcBorders>
            <w:shd w:val="clear" w:color="auto" w:fill="FEFEFE"/>
          </w:tcPr>
          <w:p>
            <w:pPr>
              <w:spacing w:after="0"/>
              <w:rPr>
                <w:sz w:val="19"/>
                <w:szCs w:val="19"/>
                <w:color w:val="auto"/>
              </w:rPr>
            </w:pPr>
          </w:p>
        </w:tc>
        <w:tc>
          <w:tcPr>
            <w:tcW w:w="240" w:type="dxa"/>
            <w:vAlign w:val="bottom"/>
            <w:tcBorders>
              <w:top w:val="single" w:sz="8" w:color="FEFEFE"/>
            </w:tcBorders>
            <w:shd w:val="clear" w:color="auto" w:fill="FEFEFE"/>
          </w:tcPr>
          <w:p>
            <w:pPr>
              <w:spacing w:after="0"/>
              <w:rPr>
                <w:sz w:val="19"/>
                <w:szCs w:val="19"/>
                <w:color w:val="auto"/>
              </w:rPr>
            </w:pPr>
          </w:p>
        </w:tc>
        <w:tc>
          <w:tcPr>
            <w:tcW w:w="340" w:type="dxa"/>
            <w:vAlign w:val="bottom"/>
            <w:tcBorders>
              <w:top w:val="single" w:sz="8" w:color="auto"/>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Current:</w:t>
            </w:r>
          </w:p>
        </w:tc>
        <w:tc>
          <w:tcPr>
            <w:tcW w:w="140" w:type="dxa"/>
            <w:vAlign w:val="bottom"/>
            <w:shd w:val="clear" w:color="auto" w:fill="E7E7E3"/>
          </w:tcPr>
          <w:p>
            <w:pPr>
              <w:spacing w:after="0"/>
              <w:rPr>
                <w:sz w:val="21"/>
                <w:szCs w:val="21"/>
                <w:color w:val="auto"/>
              </w:rPr>
            </w:pPr>
          </w:p>
        </w:tc>
        <w:tc>
          <w:tcPr>
            <w:tcW w:w="420" w:type="dxa"/>
            <w:vAlign w:val="bottom"/>
            <w:shd w:val="clear" w:color="auto" w:fill="E7E7E3"/>
          </w:tcPr>
          <w:p>
            <w:pPr>
              <w:spacing w:after="0"/>
              <w:rPr>
                <w:sz w:val="21"/>
                <w:szCs w:val="21"/>
                <w:color w:val="auto"/>
              </w:rPr>
            </w:pPr>
          </w:p>
        </w:tc>
        <w:tc>
          <w:tcPr>
            <w:tcW w:w="80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380" w:type="dxa"/>
            <w:vAlign w:val="bottom"/>
            <w:shd w:val="clear" w:color="auto" w:fill="E7E7E3"/>
          </w:tcPr>
          <w:p>
            <w:pPr>
              <w:spacing w:after="0"/>
              <w:rPr>
                <w:sz w:val="21"/>
                <w:szCs w:val="21"/>
                <w:color w:val="auto"/>
              </w:rPr>
            </w:pPr>
          </w:p>
        </w:tc>
        <w:tc>
          <w:tcPr>
            <w:tcW w:w="84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340" w:type="dxa"/>
            <w:vAlign w:val="bottom"/>
            <w:shd w:val="clear" w:color="auto" w:fill="E7E7E3"/>
          </w:tcPr>
          <w:p>
            <w:pPr>
              <w:spacing w:after="0"/>
              <w:rPr>
                <w:sz w:val="21"/>
                <w:szCs w:val="21"/>
                <w:color w:val="auto"/>
              </w:rPr>
            </w:pPr>
          </w:p>
        </w:tc>
        <w:tc>
          <w:tcPr>
            <w:tcW w:w="88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560" w:type="dxa"/>
            <w:vAlign w:val="bottom"/>
            <w:gridSpan w:val="2"/>
            <w:shd w:val="clear" w:color="auto" w:fill="FEFEFE"/>
          </w:tcPr>
          <w:p>
            <w:pPr>
              <w:jc w:val="right"/>
              <w:ind w:right="23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640" w:type="dxa"/>
            <w:vAlign w:val="bottom"/>
            <w:gridSpan w:val="2"/>
            <w:shd w:val="clear" w:color="auto" w:fill="FEFEFE"/>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FEFEFE"/>
          </w:tcPr>
          <w:p>
            <w:pPr>
              <w:jc w:val="right"/>
              <w:ind w:right="147"/>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60" w:type="dxa"/>
            <w:vAlign w:val="bottom"/>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E7E7E3"/>
          </w:tcPr>
          <w:p>
            <w:pPr>
              <w:spacing w:after="0"/>
              <w:rPr>
                <w:sz w:val="21"/>
                <w:szCs w:val="21"/>
                <w:color w:val="auto"/>
              </w:rPr>
            </w:pPr>
          </w:p>
        </w:tc>
        <w:tc>
          <w:tcPr>
            <w:tcW w:w="420" w:type="dxa"/>
            <w:vAlign w:val="bottom"/>
            <w:shd w:val="clear" w:color="auto" w:fill="E7E7E3"/>
          </w:tcPr>
          <w:p>
            <w:pPr>
              <w:spacing w:after="0"/>
              <w:rPr>
                <w:sz w:val="21"/>
                <w:szCs w:val="21"/>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260" w:type="dxa"/>
            <w:vAlign w:val="bottom"/>
            <w:shd w:val="clear" w:color="auto" w:fill="E7E7E3"/>
          </w:tcPr>
          <w:p>
            <w:pPr>
              <w:spacing w:after="0"/>
              <w:rPr>
                <w:sz w:val="21"/>
                <w:szCs w:val="21"/>
                <w:color w:val="auto"/>
              </w:rPr>
            </w:pPr>
          </w:p>
        </w:tc>
        <w:tc>
          <w:tcPr>
            <w:tcW w:w="380" w:type="dxa"/>
            <w:vAlign w:val="bottom"/>
            <w:shd w:val="clear" w:color="auto" w:fill="E7E7E3"/>
          </w:tcPr>
          <w:p>
            <w:pPr>
              <w:spacing w:after="0"/>
              <w:rPr>
                <w:sz w:val="21"/>
                <w:szCs w:val="21"/>
                <w:color w:val="auto"/>
              </w:rPr>
            </w:pPr>
          </w:p>
        </w:tc>
        <w:tc>
          <w:tcPr>
            <w:tcW w:w="8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240" w:type="dxa"/>
            <w:vAlign w:val="bottom"/>
            <w:shd w:val="clear" w:color="auto" w:fill="E7E7E3"/>
          </w:tcPr>
          <w:p>
            <w:pPr>
              <w:spacing w:after="0"/>
              <w:rPr>
                <w:sz w:val="21"/>
                <w:szCs w:val="21"/>
                <w:color w:val="auto"/>
              </w:rPr>
            </w:pPr>
          </w:p>
        </w:tc>
        <w:tc>
          <w:tcPr>
            <w:tcW w:w="340" w:type="dxa"/>
            <w:vAlign w:val="bottom"/>
            <w:shd w:val="clear" w:color="auto" w:fill="E7E7E3"/>
          </w:tcPr>
          <w:p>
            <w:pPr>
              <w:spacing w:after="0"/>
              <w:rPr>
                <w:sz w:val="21"/>
                <w:szCs w:val="21"/>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100" w:type="dxa"/>
            <w:vAlign w:val="bottom"/>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E7E7E3"/>
            </w:tcBorders>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140" w:type="dxa"/>
            <w:vAlign w:val="bottom"/>
            <w:tcBorders>
              <w:bottom w:val="single" w:sz="8" w:color="E7E7E3"/>
            </w:tcBorders>
            <w:shd w:val="clear" w:color="auto" w:fill="FEFEFE"/>
          </w:tcPr>
          <w:p>
            <w:pPr>
              <w:spacing w:after="0"/>
              <w:rPr>
                <w:sz w:val="21"/>
                <w:szCs w:val="21"/>
                <w:color w:val="auto"/>
              </w:rPr>
            </w:pPr>
          </w:p>
        </w:tc>
        <w:tc>
          <w:tcPr>
            <w:tcW w:w="420" w:type="dxa"/>
            <w:vAlign w:val="bottom"/>
            <w:tcBorders>
              <w:bottom w:val="single" w:sz="8" w:color="auto"/>
            </w:tcBorders>
            <w:shd w:val="clear" w:color="auto" w:fill="FEFEFE"/>
          </w:tcPr>
          <w:p>
            <w:pPr>
              <w:spacing w:after="0"/>
              <w:rPr>
                <w:sz w:val="21"/>
                <w:szCs w:val="21"/>
                <w:color w:val="auto"/>
              </w:rPr>
            </w:pPr>
          </w:p>
        </w:tc>
        <w:tc>
          <w:tcPr>
            <w:tcW w:w="8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tcBorders>
              <w:bottom w:val="single" w:sz="8" w:color="E7E7E3"/>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tcBorders>
              <w:bottom w:val="single" w:sz="8" w:color="E7E7E3"/>
            </w:tcBorders>
            <w:shd w:val="clear" w:color="auto" w:fill="FEFEFE"/>
          </w:tcPr>
          <w:p>
            <w:pPr>
              <w:spacing w:after="0"/>
              <w:rPr>
                <w:sz w:val="21"/>
                <w:szCs w:val="21"/>
                <w:color w:val="auto"/>
              </w:rPr>
            </w:pPr>
          </w:p>
        </w:tc>
        <w:tc>
          <w:tcPr>
            <w:tcW w:w="340" w:type="dxa"/>
            <w:vAlign w:val="bottom"/>
            <w:tcBorders>
              <w:bottom w:val="single" w:sz="8" w:color="auto"/>
            </w:tcBorders>
            <w:shd w:val="clear" w:color="auto" w:fill="FEFEFE"/>
          </w:tcPr>
          <w:p>
            <w:pPr>
              <w:spacing w:after="0"/>
              <w:rPr>
                <w:sz w:val="21"/>
                <w:szCs w:val="21"/>
                <w:color w:val="auto"/>
              </w:rPr>
            </w:pPr>
          </w:p>
        </w:tc>
        <w:tc>
          <w:tcPr>
            <w:tcW w:w="8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Borders>
              <w:bottom w:val="single" w:sz="8" w:color="E7E7E3"/>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420" w:type="dxa"/>
            <w:vAlign w:val="bottom"/>
            <w:shd w:val="clear" w:color="auto" w:fill="E7E7E3"/>
          </w:tcPr>
          <w:p>
            <w:pPr>
              <w:spacing w:after="0"/>
              <w:rPr>
                <w:sz w:val="20"/>
                <w:szCs w:val="20"/>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260" w:type="dxa"/>
            <w:vAlign w:val="bottom"/>
            <w:shd w:val="clear" w:color="auto" w:fill="E7E7E3"/>
          </w:tcPr>
          <w:p>
            <w:pPr>
              <w:spacing w:after="0"/>
              <w:rPr>
                <w:sz w:val="20"/>
                <w:szCs w:val="20"/>
                <w:color w:val="auto"/>
              </w:rPr>
            </w:pPr>
          </w:p>
        </w:tc>
        <w:tc>
          <w:tcPr>
            <w:tcW w:w="380" w:type="dxa"/>
            <w:vAlign w:val="bottom"/>
            <w:shd w:val="clear" w:color="auto" w:fill="E7E7E3"/>
          </w:tcPr>
          <w:p>
            <w:pPr>
              <w:spacing w:after="0"/>
              <w:rPr>
                <w:sz w:val="20"/>
                <w:szCs w:val="20"/>
                <w:color w:val="auto"/>
              </w:rPr>
            </w:pPr>
          </w:p>
        </w:tc>
        <w:tc>
          <w:tcPr>
            <w:tcW w:w="8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1,208</w:t>
            </w:r>
          </w:p>
        </w:tc>
        <w:tc>
          <w:tcPr>
            <w:tcW w:w="240" w:type="dxa"/>
            <w:vAlign w:val="bottom"/>
            <w:shd w:val="clear" w:color="auto" w:fill="E7E7E3"/>
          </w:tcPr>
          <w:p>
            <w:pPr>
              <w:spacing w:after="0"/>
              <w:rPr>
                <w:sz w:val="20"/>
                <w:szCs w:val="20"/>
                <w:color w:val="auto"/>
              </w:rPr>
            </w:pPr>
          </w:p>
        </w:tc>
        <w:tc>
          <w:tcPr>
            <w:tcW w:w="340" w:type="dxa"/>
            <w:vAlign w:val="bottom"/>
            <w:shd w:val="clear" w:color="auto" w:fill="E7E7E3"/>
          </w:tcPr>
          <w:p>
            <w:pPr>
              <w:spacing w:after="0"/>
              <w:rPr>
                <w:sz w:val="20"/>
                <w:szCs w:val="20"/>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836</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Deferred:</w:t>
            </w:r>
          </w:p>
        </w:tc>
        <w:tc>
          <w:tcPr>
            <w:tcW w:w="140" w:type="dxa"/>
            <w:vAlign w:val="bottom"/>
            <w:shd w:val="clear" w:color="auto" w:fill="FEFEFE"/>
          </w:tcPr>
          <w:p>
            <w:pPr>
              <w:spacing w:after="0"/>
              <w:rPr>
                <w:sz w:val="21"/>
                <w:szCs w:val="21"/>
                <w:color w:val="auto"/>
              </w:rPr>
            </w:pPr>
          </w:p>
        </w:tc>
        <w:tc>
          <w:tcPr>
            <w:tcW w:w="420" w:type="dxa"/>
            <w:vAlign w:val="bottom"/>
            <w:shd w:val="clear" w:color="auto" w:fill="FEFEFE"/>
          </w:tcPr>
          <w:p>
            <w:pPr>
              <w:spacing w:after="0"/>
              <w:rPr>
                <w:sz w:val="21"/>
                <w:szCs w:val="21"/>
                <w:color w:val="auto"/>
              </w:rPr>
            </w:pPr>
          </w:p>
        </w:tc>
        <w:tc>
          <w:tcPr>
            <w:tcW w:w="80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84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140" w:type="dxa"/>
            <w:vAlign w:val="bottom"/>
            <w:shd w:val="clear" w:color="auto" w:fill="E7E7E3"/>
          </w:tcPr>
          <w:p>
            <w:pPr>
              <w:spacing w:after="0"/>
              <w:rPr>
                <w:sz w:val="21"/>
                <w:szCs w:val="21"/>
                <w:color w:val="auto"/>
              </w:rPr>
            </w:pPr>
          </w:p>
        </w:tc>
        <w:tc>
          <w:tcPr>
            <w:tcW w:w="420" w:type="dxa"/>
            <w:vAlign w:val="bottom"/>
            <w:shd w:val="clear" w:color="auto" w:fill="E7E7E3"/>
          </w:tcPr>
          <w:p>
            <w:pPr>
              <w:spacing w:after="0"/>
              <w:rPr>
                <w:sz w:val="21"/>
                <w:szCs w:val="21"/>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260" w:type="dxa"/>
            <w:vAlign w:val="bottom"/>
            <w:shd w:val="clear" w:color="auto" w:fill="E7E7E3"/>
          </w:tcPr>
          <w:p>
            <w:pPr>
              <w:spacing w:after="0"/>
              <w:rPr>
                <w:sz w:val="21"/>
                <w:szCs w:val="21"/>
                <w:color w:val="auto"/>
              </w:rPr>
            </w:pPr>
          </w:p>
        </w:tc>
        <w:tc>
          <w:tcPr>
            <w:tcW w:w="380" w:type="dxa"/>
            <w:vAlign w:val="bottom"/>
            <w:shd w:val="clear" w:color="auto" w:fill="E7E7E3"/>
          </w:tcPr>
          <w:p>
            <w:pPr>
              <w:spacing w:after="0"/>
              <w:rPr>
                <w:sz w:val="21"/>
                <w:szCs w:val="21"/>
                <w:color w:val="auto"/>
              </w:rPr>
            </w:pPr>
          </w:p>
        </w:tc>
        <w:tc>
          <w:tcPr>
            <w:tcW w:w="8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7,911</w:t>
            </w:r>
          </w:p>
        </w:tc>
        <w:tc>
          <w:tcPr>
            <w:tcW w:w="240" w:type="dxa"/>
            <w:vAlign w:val="bottom"/>
            <w:shd w:val="clear" w:color="auto" w:fill="E7E7E3"/>
          </w:tcPr>
          <w:p>
            <w:pPr>
              <w:spacing w:after="0"/>
              <w:rPr>
                <w:sz w:val="21"/>
                <w:szCs w:val="21"/>
                <w:color w:val="auto"/>
              </w:rPr>
            </w:pPr>
          </w:p>
        </w:tc>
        <w:tc>
          <w:tcPr>
            <w:tcW w:w="340" w:type="dxa"/>
            <w:vAlign w:val="bottom"/>
            <w:shd w:val="clear" w:color="auto" w:fill="E7E7E3"/>
          </w:tcPr>
          <w:p>
            <w:pPr>
              <w:spacing w:after="0"/>
              <w:rPr>
                <w:sz w:val="21"/>
                <w:szCs w:val="21"/>
                <w:color w:val="auto"/>
              </w:rPr>
            </w:pPr>
          </w:p>
        </w:tc>
        <w:tc>
          <w:tcPr>
            <w:tcW w:w="98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20"/>
                <w:szCs w:val="20"/>
                <w:color w:val="auto"/>
              </w:rPr>
              <w:t>(24,794)</w:t>
            </w:r>
          </w:p>
        </w:tc>
        <w:tc>
          <w:tcPr>
            <w:tcW w:w="0" w:type="dxa"/>
            <w:vAlign w:val="bottom"/>
          </w:tcPr>
          <w:p>
            <w:pPr>
              <w:spacing w:after="0"/>
              <w:rPr>
                <w:sz w:val="1"/>
                <w:szCs w:val="1"/>
                <w:color w:val="auto"/>
              </w:rPr>
            </w:pPr>
          </w:p>
        </w:tc>
      </w:tr>
      <w:tr>
        <w:trPr>
          <w:trHeight w:val="244"/>
        </w:trPr>
        <w:tc>
          <w:tcPr>
            <w:tcW w:w="59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FEFEFE"/>
          </w:tcPr>
          <w:p>
            <w:pPr>
              <w:spacing w:after="0"/>
              <w:rPr>
                <w:sz w:val="21"/>
                <w:szCs w:val="21"/>
                <w:color w:val="auto"/>
              </w:rPr>
            </w:pPr>
          </w:p>
        </w:tc>
        <w:tc>
          <w:tcPr>
            <w:tcW w:w="420" w:type="dxa"/>
            <w:vAlign w:val="bottom"/>
            <w:shd w:val="clear" w:color="auto" w:fill="FEFEFE"/>
          </w:tcPr>
          <w:p>
            <w:pPr>
              <w:spacing w:after="0"/>
              <w:rPr>
                <w:sz w:val="21"/>
                <w:szCs w:val="21"/>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1,082</w:t>
            </w:r>
          </w:p>
        </w:tc>
        <w:tc>
          <w:tcPr>
            <w:tcW w:w="26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24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98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(6,830)</w:t>
            </w:r>
          </w:p>
        </w:tc>
        <w:tc>
          <w:tcPr>
            <w:tcW w:w="0" w:type="dxa"/>
            <w:vAlign w:val="bottom"/>
          </w:tcPr>
          <w:p>
            <w:pPr>
              <w:spacing w:after="0"/>
              <w:rPr>
                <w:sz w:val="1"/>
                <w:szCs w:val="1"/>
                <w:color w:val="auto"/>
              </w:rPr>
            </w:pPr>
          </w:p>
        </w:tc>
      </w:tr>
      <w:tr>
        <w:trPr>
          <w:trHeight w:val="244"/>
        </w:trPr>
        <w:tc>
          <w:tcPr>
            <w:tcW w:w="5960" w:type="dxa"/>
            <w:vAlign w:val="bottom"/>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140" w:type="dxa"/>
            <w:vAlign w:val="bottom"/>
            <w:shd w:val="clear" w:color="auto" w:fill="E7E7E3"/>
          </w:tcPr>
          <w:p>
            <w:pPr>
              <w:spacing w:after="0"/>
              <w:rPr>
                <w:sz w:val="21"/>
                <w:szCs w:val="21"/>
                <w:color w:val="auto"/>
              </w:rPr>
            </w:pPr>
          </w:p>
        </w:tc>
        <w:tc>
          <w:tcPr>
            <w:tcW w:w="420" w:type="dxa"/>
            <w:vAlign w:val="bottom"/>
            <w:shd w:val="clear" w:color="auto" w:fill="E7E7E3"/>
          </w:tcPr>
          <w:p>
            <w:pPr>
              <w:spacing w:after="0"/>
              <w:rPr>
                <w:sz w:val="21"/>
                <w:szCs w:val="21"/>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7E7E3"/>
          </w:tcPr>
          <w:p>
            <w:pPr>
              <w:spacing w:after="0"/>
              <w:rPr>
                <w:sz w:val="21"/>
                <w:szCs w:val="21"/>
                <w:color w:val="auto"/>
              </w:rPr>
            </w:pPr>
          </w:p>
        </w:tc>
        <w:tc>
          <w:tcPr>
            <w:tcW w:w="380" w:type="dxa"/>
            <w:vAlign w:val="bottom"/>
            <w:shd w:val="clear" w:color="auto" w:fill="E7E7E3"/>
          </w:tcPr>
          <w:p>
            <w:pPr>
              <w:spacing w:after="0"/>
              <w:rPr>
                <w:sz w:val="21"/>
                <w:szCs w:val="21"/>
                <w:color w:val="auto"/>
              </w:rPr>
            </w:pPr>
          </w:p>
        </w:tc>
        <w:tc>
          <w:tcPr>
            <w:tcW w:w="1080" w:type="dxa"/>
            <w:vAlign w:val="bottom"/>
            <w:gridSpan w:val="2"/>
            <w:shd w:val="clear" w:color="auto" w:fill="E7E7E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7E7E3"/>
          </w:tcPr>
          <w:p>
            <w:pPr>
              <w:spacing w:after="0"/>
              <w:rPr>
                <w:sz w:val="21"/>
                <w:szCs w:val="21"/>
                <w:color w:val="auto"/>
              </w:rPr>
            </w:pPr>
          </w:p>
        </w:tc>
        <w:tc>
          <w:tcPr>
            <w:tcW w:w="98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960" w:type="dxa"/>
            <w:vAlign w:val="bottom"/>
            <w:tcBorders>
              <w:top w:val="single" w:sz="8" w:color="FEFEFE"/>
              <w:bottom w:val="single" w:sz="8" w:color="E7E7E3"/>
            </w:tcBorders>
            <w:shd w:val="clear" w:color="auto" w:fill="FEFEFE"/>
          </w:tcPr>
          <w:p>
            <w:pPr>
              <w:spacing w:after="0"/>
              <w:rPr>
                <w:sz w:val="20"/>
                <w:szCs w:val="20"/>
                <w:color w:val="auto"/>
              </w:rPr>
            </w:pPr>
          </w:p>
        </w:tc>
        <w:tc>
          <w:tcPr>
            <w:tcW w:w="140" w:type="dxa"/>
            <w:vAlign w:val="bottom"/>
            <w:tcBorders>
              <w:top w:val="single" w:sz="8" w:color="FEFEFE"/>
              <w:bottom w:val="single" w:sz="8" w:color="E7E7E3"/>
            </w:tcBorders>
            <w:shd w:val="clear" w:color="auto" w:fill="FEFEFE"/>
          </w:tcPr>
          <w:p>
            <w:pPr>
              <w:spacing w:after="0"/>
              <w:rPr>
                <w:sz w:val="20"/>
                <w:szCs w:val="20"/>
                <w:color w:val="auto"/>
              </w:rPr>
            </w:pPr>
          </w:p>
        </w:tc>
        <w:tc>
          <w:tcPr>
            <w:tcW w:w="420" w:type="dxa"/>
            <w:vAlign w:val="bottom"/>
            <w:tcBorders>
              <w:top w:val="single" w:sz="8" w:color="auto"/>
              <w:bottom w:val="single" w:sz="8" w:color="auto"/>
            </w:tcBorders>
            <w:shd w:val="clear" w:color="auto" w:fill="FEFEFE"/>
          </w:tcPr>
          <w:p>
            <w:pPr>
              <w:spacing w:after="0"/>
              <w:rPr>
                <w:sz w:val="20"/>
                <w:szCs w:val="20"/>
                <w:color w:val="auto"/>
              </w:rPr>
            </w:pPr>
          </w:p>
        </w:tc>
        <w:tc>
          <w:tcPr>
            <w:tcW w:w="8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260" w:type="dxa"/>
            <w:vAlign w:val="bottom"/>
            <w:tcBorders>
              <w:top w:val="single" w:sz="8" w:color="FEFEFE"/>
              <w:bottom w:val="single" w:sz="8" w:color="E7E7E3"/>
            </w:tcBorders>
            <w:shd w:val="clear" w:color="auto" w:fill="FEFEFE"/>
          </w:tcPr>
          <w:p>
            <w:pPr>
              <w:spacing w:after="0"/>
              <w:rPr>
                <w:sz w:val="20"/>
                <w:szCs w:val="20"/>
                <w:color w:val="auto"/>
              </w:rPr>
            </w:pPr>
          </w:p>
        </w:tc>
        <w:tc>
          <w:tcPr>
            <w:tcW w:w="380" w:type="dxa"/>
            <w:vAlign w:val="bottom"/>
            <w:tcBorders>
              <w:top w:val="single" w:sz="8" w:color="auto"/>
              <w:bottom w:val="single" w:sz="8" w:color="auto"/>
            </w:tcBorders>
            <w:shd w:val="clear" w:color="auto" w:fill="FEFEFE"/>
          </w:tcPr>
          <w:p>
            <w:pPr>
              <w:spacing w:after="0"/>
              <w:rPr>
                <w:sz w:val="20"/>
                <w:szCs w:val="20"/>
                <w:color w:val="auto"/>
              </w:rPr>
            </w:pPr>
          </w:p>
        </w:tc>
        <w:tc>
          <w:tcPr>
            <w:tcW w:w="8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9,329</w:t>
            </w:r>
          </w:p>
        </w:tc>
        <w:tc>
          <w:tcPr>
            <w:tcW w:w="240" w:type="dxa"/>
            <w:vAlign w:val="bottom"/>
            <w:tcBorders>
              <w:top w:val="single" w:sz="8" w:color="FEFEFE"/>
              <w:bottom w:val="single" w:sz="8" w:color="E7E7E3"/>
            </w:tcBorders>
            <w:shd w:val="clear" w:color="auto" w:fill="FEFEFE"/>
          </w:tcPr>
          <w:p>
            <w:pPr>
              <w:spacing w:after="0"/>
              <w:rPr>
                <w:sz w:val="20"/>
                <w:szCs w:val="20"/>
                <w:color w:val="auto"/>
              </w:rPr>
            </w:pPr>
          </w:p>
        </w:tc>
        <w:tc>
          <w:tcPr>
            <w:tcW w:w="340" w:type="dxa"/>
            <w:vAlign w:val="bottom"/>
            <w:tcBorders>
              <w:top w:val="single" w:sz="8" w:color="auto"/>
              <w:bottom w:val="single" w:sz="8" w:color="auto"/>
            </w:tcBorders>
            <w:shd w:val="clear" w:color="auto" w:fill="FEFEFE"/>
          </w:tcPr>
          <w:p>
            <w:pPr>
              <w:spacing w:after="0"/>
              <w:rPr>
                <w:sz w:val="20"/>
                <w:szCs w:val="20"/>
                <w:color w:val="auto"/>
              </w:rPr>
            </w:pPr>
          </w:p>
        </w:tc>
        <w:tc>
          <w:tcPr>
            <w:tcW w:w="8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(31,624)</w:t>
            </w:r>
          </w:p>
        </w:tc>
        <w:tc>
          <w:tcPr>
            <w:tcW w:w="100" w:type="dxa"/>
            <w:vAlign w:val="bottom"/>
            <w:tcBorders>
              <w:top w:val="single" w:sz="8" w:color="FEFEFE"/>
              <w:bottom w:val="single" w:sz="8" w:color="E7E7E3"/>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Total provision (benefit)</w:t>
            </w:r>
          </w:p>
        </w:tc>
        <w:tc>
          <w:tcPr>
            <w:tcW w:w="140" w:type="dxa"/>
            <w:vAlign w:val="bottom"/>
            <w:shd w:val="clear" w:color="auto" w:fill="E7E7E3"/>
          </w:tcPr>
          <w:p>
            <w:pPr>
              <w:spacing w:after="0"/>
              <w:rPr>
                <w:sz w:val="20"/>
                <w:szCs w:val="20"/>
                <w:color w:val="auto"/>
              </w:rPr>
            </w:pPr>
          </w:p>
        </w:tc>
        <w:tc>
          <w:tcPr>
            <w:tcW w:w="420" w:type="dxa"/>
            <w:vAlign w:val="bottom"/>
            <w:tcBorders>
              <w:bottom w:val="single" w:sz="8" w:color="auto"/>
            </w:tcBorders>
            <w:shd w:val="clear" w:color="auto" w:fill="E7E7E3"/>
          </w:tcPr>
          <w:p>
            <w:pPr>
              <w:jc w:val="right"/>
              <w:ind w:right="23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260" w:type="dxa"/>
            <w:vAlign w:val="bottom"/>
            <w:shd w:val="clear" w:color="auto" w:fill="E7E7E3"/>
          </w:tcPr>
          <w:p>
            <w:pPr>
              <w:spacing w:after="0"/>
              <w:rPr>
                <w:sz w:val="20"/>
                <w:szCs w:val="20"/>
                <w:color w:val="auto"/>
              </w:rPr>
            </w:pPr>
          </w:p>
        </w:tc>
        <w:tc>
          <w:tcPr>
            <w:tcW w:w="380" w:type="dxa"/>
            <w:vAlign w:val="bottom"/>
            <w:tcBorders>
              <w:bottom w:val="single" w:sz="8" w:color="auto"/>
            </w:tcBorders>
            <w:shd w:val="clear" w:color="auto" w:fill="E7E7E3"/>
          </w:tcPr>
          <w:p>
            <w:pPr>
              <w:jc w:val="right"/>
              <w:ind w:right="19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10,537</w:t>
            </w:r>
          </w:p>
        </w:tc>
        <w:tc>
          <w:tcPr>
            <w:tcW w:w="240" w:type="dxa"/>
            <w:vAlign w:val="bottom"/>
            <w:shd w:val="clear" w:color="auto" w:fill="E7E7E3"/>
          </w:tcPr>
          <w:p>
            <w:pPr>
              <w:spacing w:after="0"/>
              <w:rPr>
                <w:sz w:val="20"/>
                <w:szCs w:val="20"/>
                <w:color w:val="auto"/>
              </w:rPr>
            </w:pPr>
          </w:p>
        </w:tc>
        <w:tc>
          <w:tcPr>
            <w:tcW w:w="340" w:type="dxa"/>
            <w:vAlign w:val="bottom"/>
            <w:tcBorders>
              <w:bottom w:val="single" w:sz="8" w:color="auto"/>
            </w:tcBorders>
            <w:shd w:val="clear" w:color="auto" w:fill="E7E7E3"/>
          </w:tcPr>
          <w:p>
            <w:pPr>
              <w:jc w:val="right"/>
              <w:ind w:right="147"/>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(30,788)</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800"/>
          </w:cols>
          <w:pgMar w:left="540" w:top="656" w:right="540" w:bottom="0" w:gutter="0" w:footer="0" w:header="0"/>
          <w:type w:val="continuous"/>
        </w:sectPr>
      </w:pPr>
    </w:p>
    <w:bookmarkStart w:id="56" w:name="page57"/>
    <w:bookmarkEnd w:id="56"/>
    <w:p>
      <w:pPr>
        <w:ind w:right="140"/>
        <w:spacing w:after="0" w:line="279" w:lineRule="auto"/>
        <w:rPr>
          <w:sz w:val="20"/>
          <w:szCs w:val="20"/>
          <w:color w:val="auto"/>
        </w:rPr>
      </w:pPr>
      <w:r>
        <w:rPr>
          <w:rFonts w:ascii="Times New Roman" w:cs="Times New Roman" w:eastAsia="Times New Roman" w:hAnsi="Times New Roman"/>
          <w:sz w:val="20"/>
          <w:szCs w:val="20"/>
          <w:color w:val="auto"/>
        </w:rPr>
        <w:t>The following is a reconciliation between the statutory and effective income tax rates in dollars for the provision (benefit) for income tax:</w:t>
      </w:r>
    </w:p>
    <w:p>
      <w:pPr>
        <w:spacing w:after="0" w:line="64" w:lineRule="exact"/>
        <w:rPr>
          <w:sz w:val="20"/>
          <w:szCs w:val="20"/>
          <w:color w:val="auto"/>
        </w:rPr>
      </w:pPr>
    </w:p>
    <w:tbl>
      <w:tblPr>
        <w:tblLayout w:type="fixed"/>
        <w:tblInd w:w="600" w:type="dxa"/>
        <w:tblCellMar>
          <w:top w:w="0" w:type="dxa"/>
          <w:left w:w="0" w:type="dxa"/>
          <w:bottom w:w="0" w:type="dxa"/>
          <w:right w:w="0" w:type="dxa"/>
        </w:tblCellMar>
      </w:tblPr>
      <w:tr>
        <w:trPr>
          <w:trHeight w:val="198"/>
        </w:trPr>
        <w:tc>
          <w:tcPr>
            <w:tcW w:w="55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740" w:type="dxa"/>
            <w:vAlign w:val="bottom"/>
            <w:gridSpan w:val="6"/>
            <w:shd w:val="clear" w:color="auto" w:fill="FEFEFE"/>
          </w:tcPr>
          <w:p>
            <w:pPr>
              <w:ind w:left="960"/>
              <w:spacing w:after="0"/>
              <w:rPr>
                <w:sz w:val="20"/>
                <w:szCs w:val="20"/>
                <w:color w:val="auto"/>
              </w:rPr>
            </w:pPr>
            <w:r>
              <w:rPr>
                <w:rFonts w:ascii="Times New Roman" w:cs="Times New Roman" w:eastAsia="Times New Roman" w:hAnsi="Times New Roman"/>
                <w:sz w:val="16"/>
                <w:szCs w:val="16"/>
                <w:color w:val="auto"/>
              </w:rPr>
              <w:t>FISCAL YEARS ENDED</w:t>
            </w:r>
          </w:p>
        </w:tc>
        <w:tc>
          <w:tcPr>
            <w:tcW w:w="10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r>
      <w:tr>
        <w:trPr>
          <w:trHeight w:val="201"/>
        </w:trPr>
        <w:tc>
          <w:tcPr>
            <w:tcW w:w="552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16"/>
                <w:szCs w:val="16"/>
                <w:color w:val="auto"/>
                <w:highlight w:val="white"/>
              </w:rPr>
              <w:t>February 1, 2025</w:t>
            </w:r>
          </w:p>
        </w:tc>
        <w:tc>
          <w:tcPr>
            <w:tcW w:w="24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6"/>
                <w:szCs w:val="16"/>
                <w:color w:val="auto"/>
                <w:highlight w:val="white"/>
              </w:rPr>
              <w:t>February 3, 2024</w:t>
            </w:r>
          </w:p>
        </w:tc>
        <w:tc>
          <w:tcPr>
            <w:tcW w:w="22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16"/>
                <w:szCs w:val="16"/>
                <w:color w:val="auto"/>
                <w:highlight w:val="white"/>
              </w:rPr>
              <w:t>January 28, 2023</w:t>
            </w:r>
          </w:p>
        </w:tc>
        <w:tc>
          <w:tcPr>
            <w:tcW w:w="80" w:type="dxa"/>
            <w:vAlign w:val="bottom"/>
            <w:tcBorders>
              <w:bottom w:val="single" w:sz="8" w:color="FEFEFE"/>
            </w:tcBorders>
            <w:shd w:val="clear" w:color="auto" w:fill="FEFEFE"/>
          </w:tcPr>
          <w:p>
            <w:pPr>
              <w:spacing w:after="0"/>
              <w:rPr>
                <w:sz w:val="17"/>
                <w:szCs w:val="17"/>
                <w:color w:val="auto"/>
              </w:rPr>
            </w:pPr>
          </w:p>
        </w:tc>
      </w:tr>
      <w:tr>
        <w:trPr>
          <w:trHeight w:val="425"/>
        </w:trPr>
        <w:tc>
          <w:tcPr>
            <w:tcW w:w="55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20" w:type="dxa"/>
            <w:vAlign w:val="bottom"/>
            <w:shd w:val="clear" w:color="auto" w:fill="FEFEFE"/>
          </w:tcPr>
          <w:p>
            <w:pPr>
              <w:spacing w:after="0"/>
              <w:rPr>
                <w:sz w:val="24"/>
                <w:szCs w:val="24"/>
                <w:color w:val="auto"/>
              </w:rPr>
            </w:pPr>
          </w:p>
        </w:tc>
        <w:tc>
          <w:tcPr>
            <w:tcW w:w="12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104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2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r>
      <w:tr>
        <w:trPr>
          <w:trHeight w:val="251"/>
        </w:trPr>
        <w:tc>
          <w:tcPr>
            <w:tcW w:w="55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Federal income tax at the statutory rate</w:t>
            </w: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2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8,086</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12,250</w:t>
            </w:r>
          </w:p>
        </w:tc>
        <w:tc>
          <w:tcPr>
            <w:tcW w:w="80" w:type="dxa"/>
            <w:vAlign w:val="bottom"/>
            <w:shd w:val="clear" w:color="auto" w:fill="FEFEFE"/>
          </w:tcPr>
          <w:p>
            <w:pPr>
              <w:spacing w:after="0"/>
              <w:rPr>
                <w:sz w:val="21"/>
                <w:szCs w:val="21"/>
                <w:color w:val="auto"/>
              </w:rPr>
            </w:pPr>
          </w:p>
        </w:tc>
      </w:tr>
      <w:tr>
        <w:trPr>
          <w:trHeight w:val="244"/>
        </w:trPr>
        <w:tc>
          <w:tcPr>
            <w:tcW w:w="552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State taxes, net of federal tax benefit</w:t>
            </w: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4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80" w:type="dxa"/>
            <w:vAlign w:val="bottom"/>
            <w:shd w:val="clear" w:color="auto" w:fill="E7E7E3"/>
          </w:tcPr>
          <w:p>
            <w:pPr>
              <w:spacing w:after="0"/>
              <w:rPr>
                <w:sz w:val="21"/>
                <w:szCs w:val="21"/>
                <w:color w:val="auto"/>
              </w:rPr>
            </w:pPr>
          </w:p>
        </w:tc>
      </w:tr>
      <w:tr>
        <w:trPr>
          <w:trHeight w:val="244"/>
        </w:trPr>
        <w:tc>
          <w:tcPr>
            <w:tcW w:w="55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State deferred taxes, net of federal benefit</w:t>
            </w: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2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1,558</w:t>
            </w:r>
          </w:p>
        </w:tc>
        <w:tc>
          <w:tcPr>
            <w:tcW w:w="80" w:type="dxa"/>
            <w:vAlign w:val="bottom"/>
            <w:shd w:val="clear" w:color="auto" w:fill="FEFEFE"/>
          </w:tcPr>
          <w:p>
            <w:pPr>
              <w:spacing w:after="0"/>
              <w:rPr>
                <w:sz w:val="21"/>
                <w:szCs w:val="21"/>
                <w:color w:val="auto"/>
              </w:rPr>
            </w:pPr>
          </w:p>
        </w:tc>
      </w:tr>
      <w:tr>
        <w:trPr>
          <w:trHeight w:val="244"/>
        </w:trPr>
        <w:tc>
          <w:tcPr>
            <w:tcW w:w="56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Section 162(m) limitation</w:t>
            </w:r>
          </w:p>
        </w:tc>
        <w:tc>
          <w:tcPr>
            <w:tcW w:w="120" w:type="dxa"/>
            <w:vAlign w:val="bottom"/>
            <w:shd w:val="clear" w:color="auto" w:fill="E7E7E3"/>
          </w:tcPr>
          <w:p>
            <w:pPr>
              <w:spacing w:after="0"/>
              <w:rPr>
                <w:sz w:val="21"/>
                <w:szCs w:val="21"/>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24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746</w:t>
            </w:r>
          </w:p>
        </w:tc>
        <w:tc>
          <w:tcPr>
            <w:tcW w:w="2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1,451</w:t>
            </w:r>
          </w:p>
        </w:tc>
        <w:tc>
          <w:tcPr>
            <w:tcW w:w="80" w:type="dxa"/>
            <w:vAlign w:val="bottom"/>
            <w:shd w:val="clear" w:color="auto" w:fill="E7E7E3"/>
          </w:tcPr>
          <w:p>
            <w:pPr>
              <w:spacing w:after="0"/>
              <w:rPr>
                <w:sz w:val="21"/>
                <w:szCs w:val="21"/>
                <w:color w:val="auto"/>
              </w:rPr>
            </w:pPr>
          </w:p>
        </w:tc>
      </w:tr>
      <w:tr>
        <w:trPr>
          <w:trHeight w:val="244"/>
        </w:trPr>
        <w:tc>
          <w:tcPr>
            <w:tcW w:w="56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120" w:type="dxa"/>
            <w:vAlign w:val="bottom"/>
            <w:shd w:val="clear" w:color="auto" w:fill="FEFEFE"/>
          </w:tcPr>
          <w:p>
            <w:pPr>
              <w:spacing w:after="0"/>
              <w:rPr>
                <w:sz w:val="21"/>
                <w:szCs w:val="21"/>
                <w:color w:val="auto"/>
              </w:rPr>
            </w:pPr>
          </w:p>
        </w:tc>
        <w:tc>
          <w:tcPr>
            <w:tcW w:w="126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FEFEFE"/>
          </w:tcPr>
          <w:p>
            <w:pPr>
              <w:spacing w:after="0"/>
              <w:rPr>
                <w:sz w:val="21"/>
                <w:szCs w:val="21"/>
                <w:color w:val="auto"/>
              </w:rPr>
            </w:pPr>
          </w:p>
        </w:tc>
        <w:tc>
          <w:tcPr>
            <w:tcW w:w="126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rPr>
              <w:t>(199)</w:t>
            </w:r>
          </w:p>
        </w:tc>
        <w:tc>
          <w:tcPr>
            <w:tcW w:w="120" w:type="dxa"/>
            <w:vAlign w:val="bottom"/>
            <w:shd w:val="clear" w:color="auto" w:fill="FEFEFE"/>
          </w:tcPr>
          <w:p>
            <w:pPr>
              <w:spacing w:after="0"/>
              <w:rPr>
                <w:sz w:val="21"/>
                <w:szCs w:val="21"/>
                <w:color w:val="auto"/>
              </w:rPr>
            </w:pPr>
          </w:p>
        </w:tc>
        <w:tc>
          <w:tcPr>
            <w:tcW w:w="110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(1,002)</w:t>
            </w:r>
          </w:p>
        </w:tc>
      </w:tr>
      <w:tr>
        <w:trPr>
          <w:trHeight w:val="244"/>
        </w:trPr>
        <w:tc>
          <w:tcPr>
            <w:tcW w:w="56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Taxes stranded in OCI released with termination of retirement plans</w:t>
            </w:r>
          </w:p>
        </w:tc>
        <w:tc>
          <w:tcPr>
            <w:tcW w:w="120" w:type="dxa"/>
            <w:vAlign w:val="bottom"/>
            <w:shd w:val="clear" w:color="auto" w:fill="E7E7E3"/>
          </w:tcPr>
          <w:p>
            <w:pPr>
              <w:spacing w:after="0"/>
              <w:rPr>
                <w:sz w:val="21"/>
                <w:szCs w:val="21"/>
                <w:color w:val="auto"/>
              </w:rPr>
            </w:pPr>
          </w:p>
        </w:tc>
        <w:tc>
          <w:tcPr>
            <w:tcW w:w="1260" w:type="dxa"/>
            <w:vAlign w:val="bottom"/>
            <w:gridSpan w:val="2"/>
            <w:shd w:val="clear" w:color="auto" w:fill="E7E7E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7E7E3"/>
          </w:tcPr>
          <w:p>
            <w:pPr>
              <w:spacing w:after="0"/>
              <w:rPr>
                <w:sz w:val="21"/>
                <w:szCs w:val="21"/>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2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10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 xml:space="preserve">Change in valuation allowance </w:t>
            </w:r>
            <w:r>
              <w:rPr>
                <w:rFonts w:ascii="Times New Roman" w:cs="Times New Roman" w:eastAsia="Times New Roman" w:hAnsi="Times New Roman"/>
                <w:sz w:val="13"/>
                <w:szCs w:val="13"/>
                <w:color w:val="auto"/>
              </w:rPr>
              <w:t>(1)</w:t>
            </w:r>
          </w:p>
        </w:tc>
        <w:tc>
          <w:tcPr>
            <w:tcW w:w="12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26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rPr>
              <w:t>(179)</w:t>
            </w:r>
          </w:p>
        </w:tc>
        <w:tc>
          <w:tcPr>
            <w:tcW w:w="120" w:type="dxa"/>
            <w:vAlign w:val="bottom"/>
            <w:shd w:val="clear" w:color="auto" w:fill="FEFEFE"/>
          </w:tcPr>
          <w:p>
            <w:pPr>
              <w:spacing w:after="0"/>
              <w:rPr>
                <w:sz w:val="21"/>
                <w:szCs w:val="21"/>
                <w:color w:val="auto"/>
              </w:rPr>
            </w:pPr>
          </w:p>
        </w:tc>
        <w:tc>
          <w:tcPr>
            <w:tcW w:w="110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(47,594)</w:t>
            </w:r>
          </w:p>
        </w:tc>
      </w:tr>
      <w:tr>
        <w:trPr>
          <w:trHeight w:val="244"/>
        </w:trPr>
        <w:tc>
          <w:tcPr>
            <w:tcW w:w="564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Adjustment to §382 NOLs</w:t>
            </w:r>
          </w:p>
        </w:tc>
        <w:tc>
          <w:tcPr>
            <w:tcW w:w="120" w:type="dxa"/>
            <w:vAlign w:val="bottom"/>
            <w:shd w:val="clear" w:color="auto" w:fill="E7E7E3"/>
          </w:tcPr>
          <w:p>
            <w:pPr>
              <w:spacing w:after="0"/>
              <w:rPr>
                <w:sz w:val="21"/>
                <w:szCs w:val="21"/>
                <w:color w:val="auto"/>
              </w:rPr>
            </w:pPr>
          </w:p>
        </w:tc>
        <w:tc>
          <w:tcPr>
            <w:tcW w:w="1260" w:type="dxa"/>
            <w:vAlign w:val="bottom"/>
            <w:gridSpan w:val="2"/>
            <w:shd w:val="clear" w:color="auto" w:fill="E7E7E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7E7E3"/>
          </w:tcPr>
          <w:p>
            <w:pPr>
              <w:spacing w:after="0"/>
              <w:rPr>
                <w:sz w:val="21"/>
                <w:szCs w:val="21"/>
                <w:color w:val="auto"/>
              </w:rPr>
            </w:pPr>
          </w:p>
        </w:tc>
        <w:tc>
          <w:tcPr>
            <w:tcW w:w="126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20"/>
                <w:szCs w:val="20"/>
                <w:color w:val="auto"/>
              </w:rPr>
              <w:t>(1,159)</w:t>
            </w:r>
          </w:p>
        </w:tc>
        <w:tc>
          <w:tcPr>
            <w:tcW w:w="120" w:type="dxa"/>
            <w:vAlign w:val="bottom"/>
            <w:shd w:val="clear" w:color="auto" w:fill="E7E7E3"/>
          </w:tcPr>
          <w:p>
            <w:pPr>
              <w:spacing w:after="0"/>
              <w:rPr>
                <w:sz w:val="21"/>
                <w:szCs w:val="21"/>
                <w:color w:val="auto"/>
              </w:rPr>
            </w:pPr>
          </w:p>
        </w:tc>
        <w:tc>
          <w:tcPr>
            <w:tcW w:w="10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80" w:type="dxa"/>
            <w:vAlign w:val="bottom"/>
            <w:shd w:val="clear" w:color="auto" w:fill="E7E7E3"/>
          </w:tcPr>
          <w:p>
            <w:pPr>
              <w:spacing w:after="0"/>
              <w:rPr>
                <w:sz w:val="21"/>
                <w:szCs w:val="21"/>
                <w:color w:val="auto"/>
              </w:rPr>
            </w:pPr>
          </w:p>
        </w:tc>
      </w:tr>
      <w:tr>
        <w:trPr>
          <w:trHeight w:val="244"/>
        </w:trPr>
        <w:tc>
          <w:tcPr>
            <w:tcW w:w="56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net</w:t>
            </w:r>
          </w:p>
        </w:tc>
        <w:tc>
          <w:tcPr>
            <w:tcW w:w="12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26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color w:val="auto"/>
              </w:rPr>
              <w:t>(66)</w:t>
            </w:r>
          </w:p>
        </w:tc>
        <w:tc>
          <w:tcPr>
            <w:tcW w:w="12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80" w:type="dxa"/>
            <w:vAlign w:val="bottom"/>
            <w:shd w:val="clear" w:color="auto" w:fill="FEFEFE"/>
          </w:tcPr>
          <w:p>
            <w:pPr>
              <w:spacing w:after="0"/>
              <w:rPr>
                <w:sz w:val="21"/>
                <w:szCs w:val="21"/>
                <w:color w:val="auto"/>
              </w:rPr>
            </w:pPr>
          </w:p>
        </w:tc>
      </w:tr>
      <w:tr>
        <w:trPr>
          <w:trHeight w:val="234"/>
        </w:trPr>
        <w:tc>
          <w:tcPr>
            <w:tcW w:w="5640" w:type="dxa"/>
            <w:vAlign w:val="bottom"/>
            <w:tcBorders>
              <w:top w:val="single" w:sz="8" w:color="E7E7E3"/>
            </w:tcBorders>
            <w:gridSpan w:val="2"/>
            <w:shd w:val="clear" w:color="auto" w:fill="E7E7E3"/>
          </w:tcPr>
          <w:p>
            <w:pPr>
              <w:spacing w:after="0"/>
              <w:rPr>
                <w:sz w:val="20"/>
                <w:szCs w:val="20"/>
                <w:color w:val="auto"/>
              </w:rPr>
            </w:pPr>
            <w:r>
              <w:rPr>
                <w:rFonts w:ascii="Times New Roman" w:cs="Times New Roman" w:eastAsia="Times New Roman" w:hAnsi="Times New Roman"/>
                <w:sz w:val="20"/>
                <w:szCs w:val="20"/>
                <w:color w:val="auto"/>
              </w:rPr>
              <w:t>Total provision (benefit)</w:t>
            </w:r>
          </w:p>
        </w:tc>
        <w:tc>
          <w:tcPr>
            <w:tcW w:w="12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240" w:type="dxa"/>
            <w:vAlign w:val="bottom"/>
            <w:tcBorders>
              <w:top w:val="single" w:sz="8" w:color="E7E7E3"/>
            </w:tcBorders>
            <w:shd w:val="clear" w:color="auto" w:fill="E7E7E3"/>
          </w:tcPr>
          <w:p>
            <w:pPr>
              <w:spacing w:after="0"/>
              <w:rPr>
                <w:sz w:val="20"/>
                <w:szCs w:val="20"/>
                <w:color w:val="auto"/>
              </w:rPr>
            </w:pPr>
          </w:p>
        </w:tc>
        <w:tc>
          <w:tcPr>
            <w:tcW w:w="10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10,537</w:t>
            </w:r>
          </w:p>
        </w:tc>
        <w:tc>
          <w:tcPr>
            <w:tcW w:w="220" w:type="dxa"/>
            <w:vAlign w:val="bottom"/>
            <w:tcBorders>
              <w:top w:val="single" w:sz="8" w:color="E7E7E3"/>
            </w:tcBorders>
            <w:shd w:val="clear" w:color="auto" w:fill="E7E7E3"/>
          </w:tcPr>
          <w:p>
            <w:pPr>
              <w:spacing w:after="0"/>
              <w:rPr>
                <w:sz w:val="20"/>
                <w:szCs w:val="20"/>
                <w:color w:val="auto"/>
              </w:rPr>
            </w:pPr>
          </w:p>
        </w:tc>
        <w:tc>
          <w:tcPr>
            <w:tcW w:w="120" w:type="dxa"/>
            <w:vAlign w:val="bottom"/>
            <w:tcBorders>
              <w:top w:val="single" w:sz="8" w:color="auto"/>
              <w:bottom w:val="single" w:sz="8" w:color="auto"/>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(30,788)</w:t>
            </w:r>
          </w:p>
        </w:tc>
        <w:tc>
          <w:tcPr>
            <w:tcW w:w="80" w:type="dxa"/>
            <w:vAlign w:val="bottom"/>
            <w:tcBorders>
              <w:top w:val="single" w:sz="8" w:color="E7E7E3"/>
            </w:tcBorders>
            <w:shd w:val="clear" w:color="auto" w:fill="E7E7E3"/>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left="500" w:right="220" w:hanging="500"/>
        <w:spacing w:after="0" w:line="249" w:lineRule="auto"/>
        <w:tabs>
          <w:tab w:leader="none" w:pos="5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change in the valuation allowance during the fiscal year ended February 1, 2025 excludes the portion of the change in the valuation allowance that related to expired NOLs that were previously fully reserved. The change in the valuation allowance during the fiscal year ended January 28, 2023 included a non-recurring income tax benefit of $31.6 million in connection with the Company’s substantial release of the valuation allowance in fiscal 2022 related to the deferred tax assets expected to be realized in future periods.</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As discussed in Note A, the Company’s financial statements reflect the expected future tax consequences of uncertain tax positions that the Company has taken or expects to take on a tax return, based solely on the technical merits of the tax position.</w:t>
      </w:r>
    </w:p>
    <w:p>
      <w:pPr>
        <w:spacing w:after="0" w:line="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fiscal 2022, the Company had a liability for unrecognized tax benefits of $2.0 million that was associated with a prior tax position related to exiting the Company’s direct business in Europe during fiscal 2013. The amount of unrecognized tax benefits was presented as a reduction in the reported amounts of the Company’s federal and state net operating losses carryforwards. No penalties or interest were accrued on this liability. In fiscal 2023, the Company changed this position in its tax return and determined that the liability was no longer necessary.</w:t>
      </w:r>
    </w:p>
    <w:p>
      <w:pPr>
        <w:spacing w:after="0" w:line="197" w:lineRule="exact"/>
        <w:rPr>
          <w:sz w:val="20"/>
          <w:szCs w:val="20"/>
          <w:color w:val="auto"/>
        </w:rPr>
      </w:pPr>
    </w:p>
    <w:p>
      <w:pPr>
        <w:ind w:right="760"/>
        <w:spacing w:after="0" w:line="279" w:lineRule="auto"/>
        <w:rPr>
          <w:sz w:val="20"/>
          <w:szCs w:val="20"/>
          <w:color w:val="auto"/>
        </w:rPr>
      </w:pPr>
      <w:r>
        <w:rPr>
          <w:rFonts w:ascii="Times New Roman" w:cs="Times New Roman" w:eastAsia="Times New Roman" w:hAnsi="Times New Roman"/>
          <w:sz w:val="20"/>
          <w:szCs w:val="20"/>
          <w:color w:val="auto"/>
        </w:rPr>
        <w:t>The Company made tax payments of $1.1 million, $1.6 million, and $0.5 million for fiscal 2024, fiscal 2023, and fiscal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COMMITMENTS AND CONTINGENCIES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At February 1, 2025 the Company was obligated under operating leases covering store and office space, and certain equipment for future minimum rentals. See Note E,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for the schedule of future remaining lease obligations. In addition to its lease obligations, the Company is also contractually committed pursuant to a merchandise purchase obligation to meet minimum purchases of $10.0 million annually through fiscal 2028.</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accruals at February 1, 2025 are adequate in light of the probable and estimable liabilities. The Company does not believe that any identified claims or litigation will be material to its results of operations, cash flows,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LONG-TERM INCENTIVE PLANS</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The following is a summary of the Company’s Long-Term Incentive Plan (“LTIP”). All equity awards granted under these long-term incentive plans were issued from the Company’s stockholder-approved 2016 Incentive Compensation Plan. See Note I, </w:t>
      </w:r>
      <w:r>
        <w:rPr>
          <w:rFonts w:ascii="Times New Roman" w:cs="Times New Roman" w:eastAsia="Times New Roman" w:hAnsi="Times New Roman"/>
          <w:sz w:val="20"/>
          <w:szCs w:val="20"/>
          <w:i w:val="1"/>
          <w:iCs w:val="1"/>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 Plans</w:t>
      </w:r>
      <w:r>
        <w:rPr>
          <w:rFonts w:ascii="Times New Roman" w:cs="Times New Roman" w:eastAsia="Times New Roman" w:hAnsi="Times New Roman"/>
          <w:sz w:val="20"/>
          <w:szCs w:val="20"/>
          <w:color w:val="auto"/>
        </w:rPr>
        <w:t>.</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February 1, 2025, the Company has three active LTIPs: 2022-2024 LTIP, 2023-2025 LTIP and 2024-2026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each of the LTIPs were granted in a combination of 50% RSUs and 50% cash.</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800"/>
          </w:cols>
          <w:pgMar w:left="540" w:top="656" w:right="540" w:bottom="0" w:gutter="0" w:footer="0" w:header="0"/>
          <w:type w:val="continuous"/>
        </w:sectPr>
      </w:pPr>
    </w:p>
    <w:bookmarkStart w:id="57" w:name="page58"/>
    <w:bookmarkEnd w:id="57"/>
    <w:p>
      <w:pPr>
        <w:jc w:val="both"/>
        <w:spacing w:after="0" w:line="247" w:lineRule="auto"/>
        <w:rPr>
          <w:sz w:val="20"/>
          <w:szCs w:val="20"/>
          <w:color w:val="auto"/>
        </w:rPr>
      </w:pPr>
      <w:r>
        <w:rPr>
          <w:rFonts w:ascii="Times New Roman" w:cs="Times New Roman" w:eastAsia="Times New Roman" w:hAnsi="Times New Roman"/>
          <w:sz w:val="20"/>
          <w:szCs w:val="20"/>
          <w:color w:val="auto"/>
        </w:rPr>
        <w:t>Performance targets for the 2022-2024 LTIP, 2023-2025 LTIP and the 2024-2026 LTIP were established and approved by the Compensation Committee on April 9, 2022, May 1, 2023, and April 1, 2024 respectively. The performance period for each LTIP is three years. Awards for any achievement of performance targets will not be granted until the performance targets are achieved and then will be subject to additional vesting through August 31, 2025, August 31, 2026 and August 31, 2027, respectively. The time-based awards under the 2022-2024 LTIP, 2023-2025 LTIP and 2024-2026 LTIP vest in four equal installments through April 1, 2026, April 1, 2027, and April 1, 2028, respectively.</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Assuming that the Company achieves the performance targets at target levels and all time-based awards vest, the compensation expense associated with the 2022-2024 LTIP, 2023-2025 LTIP and 2024-2026 LTIP is estimated to be approximately $4.8 million, $5.1 million and $5.3 million, respectively. Approximately half of the targeted compensation expense for each LTIP relates to the time-based awards, which are being expensed straight-line over 49 months.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performance target under the 2022-2024 LTIP was achieved at the end of fiscal 2024. Awards granted pursuant to this achievement will be subject to further vesting through August 31, 2025. Accordingly, at February 1, 2025, $2.0 million of the expected $2.4 million for the performance award has been accrued.</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At February 1, 2025, the Company accrued $0.3 million for the performance-based awards under the 2024-2026 LTIP. There is no accrual for performance-based awards under the 2023-2025 LTIP.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STOCK COMPENSATION PLANS</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has one active stock-based compensation plan, which is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February 1, 2025, 21,270,538 shares were authorized under the 2016 Plan, of which 7,481,525 shares remain available for grant.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stock option activity under the Company’s 2006 Incentive Compensation Plan ("2006 Plan") and</w:t>
      </w:r>
    </w:p>
    <w:p>
      <w:pPr>
        <w:spacing w:after="0"/>
        <w:rPr>
          <w:sz w:val="20"/>
          <w:szCs w:val="20"/>
          <w:color w:val="auto"/>
        </w:rPr>
      </w:pPr>
      <w:r>
        <w:rPr>
          <w:rFonts w:ascii="Times New Roman" w:cs="Times New Roman" w:eastAsia="Times New Roman" w:hAnsi="Times New Roman"/>
          <w:sz w:val="20"/>
          <w:szCs w:val="20"/>
          <w:color w:val="auto"/>
        </w:rPr>
        <w:t>2016 Plan, on an aggregate basis, for fiscal 2024:</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000" w:type="dxa"/>
            <w:vAlign w:val="bottom"/>
            <w:shd w:val="clear" w:color="auto" w:fill="FEFEFE"/>
          </w:tcPr>
          <w:p>
            <w:pPr>
              <w:spacing w:after="0"/>
              <w:rPr>
                <w:sz w:val="16"/>
                <w:szCs w:val="16"/>
                <w:color w:val="auto"/>
              </w:rPr>
            </w:pPr>
          </w:p>
        </w:tc>
        <w:tc>
          <w:tcPr>
            <w:tcW w:w="104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80" w:type="dxa"/>
            <w:vAlign w:val="bottom"/>
            <w:shd w:val="clear" w:color="auto" w:fill="FEFEFE"/>
          </w:tcPr>
          <w:p>
            <w:pPr>
              <w:jc w:val="center"/>
              <w:ind w:right="67"/>
              <w:spacing w:after="0"/>
              <w:rPr>
                <w:sz w:val="20"/>
                <w:szCs w:val="20"/>
                <w:color w:val="auto"/>
              </w:rPr>
            </w:pPr>
            <w:r>
              <w:rPr>
                <w:rFonts w:ascii="Times New Roman" w:cs="Times New Roman" w:eastAsia="Times New Roman" w:hAnsi="Times New Roman"/>
                <w:sz w:val="16"/>
                <w:szCs w:val="16"/>
                <w:color w:val="auto"/>
              </w:rPr>
              <w:t>Weighted-</w:t>
            </w:r>
          </w:p>
        </w:tc>
        <w:tc>
          <w:tcPr>
            <w:tcW w:w="200" w:type="dxa"/>
            <w:vAlign w:val="bottom"/>
            <w:shd w:val="clear" w:color="auto" w:fill="FEFEFE"/>
          </w:tcPr>
          <w:p>
            <w:pPr>
              <w:spacing w:after="0"/>
              <w:rPr>
                <w:sz w:val="16"/>
                <w:szCs w:val="16"/>
                <w:color w:val="auto"/>
              </w:rPr>
            </w:pPr>
          </w:p>
        </w:tc>
        <w:tc>
          <w:tcPr>
            <w:tcW w:w="11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Weighted-</w:t>
            </w:r>
          </w:p>
        </w:tc>
        <w:tc>
          <w:tcPr>
            <w:tcW w:w="1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r>
      <w:tr>
        <w:trPr>
          <w:trHeight w:val="184"/>
        </w:trPr>
        <w:tc>
          <w:tcPr>
            <w:tcW w:w="5000" w:type="dxa"/>
            <w:vAlign w:val="bottom"/>
            <w:shd w:val="clear" w:color="auto" w:fill="FEFEFE"/>
          </w:tcPr>
          <w:p>
            <w:pPr>
              <w:spacing w:after="0"/>
              <w:rPr>
                <w:sz w:val="15"/>
                <w:szCs w:val="15"/>
                <w:color w:val="auto"/>
              </w:rPr>
            </w:pPr>
          </w:p>
        </w:tc>
        <w:tc>
          <w:tcPr>
            <w:tcW w:w="104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87"/>
              <w:spacing w:after="0"/>
              <w:rPr>
                <w:sz w:val="20"/>
                <w:szCs w:val="20"/>
                <w:color w:val="auto"/>
              </w:rPr>
            </w:pPr>
            <w:r>
              <w:rPr>
                <w:rFonts w:ascii="Times New Roman" w:cs="Times New Roman" w:eastAsia="Times New Roman" w:hAnsi="Times New Roman"/>
                <w:sz w:val="16"/>
                <w:szCs w:val="16"/>
                <w:color w:val="auto"/>
              </w:rPr>
              <w:t>average</w:t>
            </w:r>
          </w:p>
        </w:tc>
        <w:tc>
          <w:tcPr>
            <w:tcW w:w="2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average</w:t>
            </w: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0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6"/>
                <w:szCs w:val="16"/>
                <w:color w:val="auto"/>
                <w:w w:val="98"/>
              </w:rPr>
              <w:t>Aggregate</w:t>
            </w:r>
          </w:p>
        </w:tc>
      </w:tr>
      <w:tr>
        <w:trPr>
          <w:trHeight w:val="184"/>
        </w:trPr>
        <w:tc>
          <w:tcPr>
            <w:tcW w:w="5000" w:type="dxa"/>
            <w:vAlign w:val="bottom"/>
            <w:shd w:val="clear" w:color="auto" w:fill="FEFEFE"/>
          </w:tcPr>
          <w:p>
            <w:pPr>
              <w:spacing w:after="0"/>
              <w:rPr>
                <w:sz w:val="15"/>
                <w:szCs w:val="15"/>
                <w:color w:val="auto"/>
              </w:rPr>
            </w:pPr>
          </w:p>
        </w:tc>
        <w:tc>
          <w:tcPr>
            <w:tcW w:w="1260" w:type="dxa"/>
            <w:vAlign w:val="bottom"/>
            <w:gridSpan w:val="2"/>
            <w:shd w:val="clear" w:color="auto" w:fill="FEFEFE"/>
          </w:tcPr>
          <w:p>
            <w:pPr>
              <w:jc w:val="right"/>
              <w:ind w:right="400"/>
              <w:spacing w:after="0"/>
              <w:rPr>
                <w:sz w:val="20"/>
                <w:szCs w:val="20"/>
                <w:color w:val="auto"/>
              </w:rPr>
            </w:pPr>
            <w:r>
              <w:rPr>
                <w:rFonts w:ascii="Times New Roman" w:cs="Times New Roman" w:eastAsia="Times New Roman" w:hAnsi="Times New Roman"/>
                <w:sz w:val="16"/>
                <w:szCs w:val="16"/>
                <w:color w:val="auto"/>
              </w:rPr>
              <w:t>Number of</w:t>
            </w:r>
          </w:p>
        </w:tc>
        <w:tc>
          <w:tcPr>
            <w:tcW w:w="10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w w:val="99"/>
              </w:rPr>
              <w:t>exercise price</w:t>
            </w:r>
          </w:p>
        </w:tc>
        <w:tc>
          <w:tcPr>
            <w:tcW w:w="200" w:type="dxa"/>
            <w:vAlign w:val="bottom"/>
            <w:shd w:val="clear" w:color="auto" w:fill="FEFEFE"/>
          </w:tcPr>
          <w:p>
            <w:pPr>
              <w:spacing w:after="0"/>
              <w:rPr>
                <w:sz w:val="15"/>
                <w:szCs w:val="15"/>
                <w:color w:val="auto"/>
              </w:rPr>
            </w:pPr>
          </w:p>
        </w:tc>
        <w:tc>
          <w:tcPr>
            <w:tcW w:w="11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w w:val="98"/>
              </w:rPr>
              <w:t>remaining</w:t>
            </w:r>
          </w:p>
        </w:tc>
        <w:tc>
          <w:tcPr>
            <w:tcW w:w="120" w:type="dxa"/>
            <w:vAlign w:val="bottom"/>
            <w:shd w:val="clear" w:color="auto" w:fill="FEFEFE"/>
          </w:tcPr>
          <w:p>
            <w:pPr>
              <w:spacing w:after="0"/>
              <w:rPr>
                <w:sz w:val="15"/>
                <w:szCs w:val="15"/>
                <w:color w:val="auto"/>
              </w:rPr>
            </w:pPr>
          </w:p>
        </w:tc>
        <w:tc>
          <w:tcPr>
            <w:tcW w:w="102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6"/>
                <w:szCs w:val="16"/>
                <w:color w:val="auto"/>
              </w:rPr>
              <w:t>intrinsic value</w:t>
            </w:r>
          </w:p>
        </w:tc>
      </w:tr>
      <w:tr>
        <w:trPr>
          <w:trHeight w:val="201"/>
        </w:trPr>
        <w:tc>
          <w:tcPr>
            <w:tcW w:w="5000" w:type="dxa"/>
            <w:vAlign w:val="bottom"/>
            <w:shd w:val="clear" w:color="auto" w:fill="FEFEFE"/>
          </w:tcPr>
          <w:p>
            <w:pPr>
              <w:spacing w:after="0"/>
              <w:rPr>
                <w:sz w:val="17"/>
                <w:szCs w:val="17"/>
                <w:color w:val="auto"/>
              </w:rPr>
            </w:pPr>
          </w:p>
        </w:tc>
        <w:tc>
          <w:tcPr>
            <w:tcW w:w="1260" w:type="dxa"/>
            <w:vAlign w:val="bottom"/>
            <w:gridSpan w:val="2"/>
            <w:shd w:val="clear" w:color="auto" w:fill="FEFEFE"/>
          </w:tcPr>
          <w:p>
            <w:pPr>
              <w:jc w:val="right"/>
              <w:ind w:right="520"/>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shd w:val="clear" w:color="auto" w:fill="FEFEFE"/>
          </w:tcPr>
          <w:p>
            <w:pPr>
              <w:spacing w:after="0"/>
              <w:rPr>
                <w:sz w:val="17"/>
                <w:szCs w:val="17"/>
                <w:color w:val="auto"/>
              </w:rPr>
            </w:pPr>
          </w:p>
        </w:tc>
        <w:tc>
          <w:tcPr>
            <w:tcW w:w="880" w:type="dxa"/>
            <w:vAlign w:val="bottom"/>
            <w:shd w:val="clear" w:color="auto" w:fill="FEFEFE"/>
          </w:tcPr>
          <w:p>
            <w:pPr>
              <w:jc w:val="center"/>
              <w:ind w:right="67"/>
              <w:spacing w:after="0"/>
              <w:rPr>
                <w:sz w:val="20"/>
                <w:szCs w:val="20"/>
                <w:color w:val="auto"/>
              </w:rPr>
            </w:pPr>
            <w:r>
              <w:rPr>
                <w:rFonts w:ascii="Times New Roman" w:cs="Times New Roman" w:eastAsia="Times New Roman" w:hAnsi="Times New Roman"/>
                <w:sz w:val="16"/>
                <w:szCs w:val="16"/>
                <w:color w:val="auto"/>
                <w:w w:val="97"/>
              </w:rPr>
              <w:t>per option</w:t>
            </w:r>
          </w:p>
        </w:tc>
        <w:tc>
          <w:tcPr>
            <w:tcW w:w="200" w:type="dxa"/>
            <w:vAlign w:val="bottom"/>
            <w:shd w:val="clear" w:color="auto" w:fill="FEFEFE"/>
          </w:tcPr>
          <w:p>
            <w:pPr>
              <w:spacing w:after="0"/>
              <w:rPr>
                <w:sz w:val="17"/>
                <w:szCs w:val="17"/>
                <w:color w:val="auto"/>
              </w:rPr>
            </w:pPr>
          </w:p>
        </w:tc>
        <w:tc>
          <w:tcPr>
            <w:tcW w:w="11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w w:val="99"/>
              </w:rPr>
              <w:t>contractual term</w:t>
            </w:r>
          </w:p>
        </w:tc>
        <w:tc>
          <w:tcPr>
            <w:tcW w:w="1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90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6"/>
                <w:szCs w:val="16"/>
                <w:color w:val="auto"/>
              </w:rPr>
              <w:t>(000's)</w:t>
            </w:r>
          </w:p>
        </w:tc>
      </w:tr>
      <w:tr>
        <w:trPr>
          <w:trHeight w:val="234"/>
        </w:trPr>
        <w:tc>
          <w:tcPr>
            <w:tcW w:w="500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040" w:type="dxa"/>
            <w:vAlign w:val="bottom"/>
            <w:tcBorders>
              <w:top w:val="single" w:sz="8" w:color="auto"/>
            </w:tcBorders>
            <w:shd w:val="clear" w:color="auto" w:fill="E7E7E3"/>
          </w:tcPr>
          <w:p>
            <w:pPr>
              <w:spacing w:after="0"/>
              <w:rPr>
                <w:sz w:val="20"/>
                <w:szCs w:val="20"/>
                <w:color w:val="auto"/>
              </w:rPr>
            </w:pPr>
          </w:p>
        </w:tc>
        <w:tc>
          <w:tcPr>
            <w:tcW w:w="220" w:type="dxa"/>
            <w:vAlign w:val="bottom"/>
            <w:tcBorders>
              <w:top w:val="single" w:sz="8" w:color="E7E7E3"/>
            </w:tcBorders>
            <w:shd w:val="clear" w:color="auto" w:fill="E7E7E3"/>
          </w:tcPr>
          <w:p>
            <w:pPr>
              <w:spacing w:after="0"/>
              <w:rPr>
                <w:sz w:val="20"/>
                <w:szCs w:val="20"/>
                <w:color w:val="auto"/>
              </w:rPr>
            </w:pPr>
          </w:p>
        </w:tc>
        <w:tc>
          <w:tcPr>
            <w:tcW w:w="140" w:type="dxa"/>
            <w:vAlign w:val="bottom"/>
            <w:tcBorders>
              <w:top w:val="single" w:sz="8" w:color="auto"/>
            </w:tcBorders>
            <w:shd w:val="clear" w:color="auto" w:fill="E7E7E3"/>
          </w:tcPr>
          <w:p>
            <w:pPr>
              <w:spacing w:after="0"/>
              <w:rPr>
                <w:sz w:val="20"/>
                <w:szCs w:val="20"/>
                <w:color w:val="auto"/>
              </w:rPr>
            </w:pPr>
          </w:p>
        </w:tc>
        <w:tc>
          <w:tcPr>
            <w:tcW w:w="880" w:type="dxa"/>
            <w:vAlign w:val="bottom"/>
            <w:tcBorders>
              <w:top w:val="single" w:sz="8" w:color="auto"/>
            </w:tcBorders>
            <w:shd w:val="clear" w:color="auto" w:fill="E7E7E3"/>
          </w:tcPr>
          <w:p>
            <w:pPr>
              <w:spacing w:after="0"/>
              <w:rPr>
                <w:sz w:val="20"/>
                <w:szCs w:val="20"/>
                <w:color w:val="auto"/>
              </w:rPr>
            </w:pPr>
          </w:p>
        </w:tc>
        <w:tc>
          <w:tcPr>
            <w:tcW w:w="200" w:type="dxa"/>
            <w:vAlign w:val="bottom"/>
            <w:tcBorders>
              <w:top w:val="single" w:sz="8" w:color="E7E7E3"/>
            </w:tcBorders>
            <w:shd w:val="clear" w:color="auto" w:fill="E7E7E3"/>
          </w:tcPr>
          <w:p>
            <w:pPr>
              <w:spacing w:after="0"/>
              <w:rPr>
                <w:sz w:val="20"/>
                <w:szCs w:val="20"/>
                <w:color w:val="auto"/>
              </w:rPr>
            </w:pPr>
          </w:p>
        </w:tc>
        <w:tc>
          <w:tcPr>
            <w:tcW w:w="1100" w:type="dxa"/>
            <w:vAlign w:val="bottom"/>
            <w:tcBorders>
              <w:top w:val="single" w:sz="8" w:color="auto"/>
            </w:tcBorders>
            <w:shd w:val="clear" w:color="auto" w:fill="E7E7E3"/>
          </w:tcPr>
          <w:p>
            <w:pPr>
              <w:spacing w:after="0"/>
              <w:rPr>
                <w:sz w:val="20"/>
                <w:szCs w:val="20"/>
                <w:color w:val="auto"/>
              </w:rPr>
            </w:pPr>
          </w:p>
        </w:tc>
        <w:tc>
          <w:tcPr>
            <w:tcW w:w="120" w:type="dxa"/>
            <w:vAlign w:val="bottom"/>
            <w:tcBorders>
              <w:top w:val="single" w:sz="8" w:color="E7E7E3"/>
            </w:tcBorders>
            <w:shd w:val="clear" w:color="auto" w:fill="E7E7E3"/>
          </w:tcPr>
          <w:p>
            <w:pPr>
              <w:spacing w:after="0"/>
              <w:rPr>
                <w:sz w:val="20"/>
                <w:szCs w:val="20"/>
                <w:color w:val="auto"/>
              </w:rPr>
            </w:pPr>
          </w:p>
        </w:tc>
        <w:tc>
          <w:tcPr>
            <w:tcW w:w="120" w:type="dxa"/>
            <w:vAlign w:val="bottom"/>
            <w:tcBorders>
              <w:top w:val="single" w:sz="8" w:color="auto"/>
            </w:tcBorders>
            <w:shd w:val="clear" w:color="auto" w:fill="E7E7E3"/>
          </w:tcPr>
          <w:p>
            <w:pPr>
              <w:spacing w:after="0"/>
              <w:rPr>
                <w:sz w:val="20"/>
                <w:szCs w:val="20"/>
                <w:color w:val="auto"/>
              </w:rPr>
            </w:pPr>
          </w:p>
        </w:tc>
        <w:tc>
          <w:tcPr>
            <w:tcW w:w="800" w:type="dxa"/>
            <w:vAlign w:val="bottom"/>
            <w:tcBorders>
              <w:top w:val="single" w:sz="8" w:color="auto"/>
            </w:tcBorders>
            <w:shd w:val="clear" w:color="auto" w:fill="E7E7E3"/>
          </w:tcPr>
          <w:p>
            <w:pPr>
              <w:spacing w:after="0"/>
              <w:rPr>
                <w:sz w:val="20"/>
                <w:szCs w:val="20"/>
                <w:color w:val="auto"/>
              </w:rPr>
            </w:pPr>
          </w:p>
        </w:tc>
        <w:tc>
          <w:tcPr>
            <w:tcW w:w="100" w:type="dxa"/>
            <w:vAlign w:val="bottom"/>
            <w:tcBorders>
              <w:top w:val="single" w:sz="8" w:color="E7E7E3"/>
            </w:tcBorders>
            <w:shd w:val="clear" w:color="auto" w:fill="E7E7E3"/>
          </w:tcPr>
          <w:p>
            <w:pPr>
              <w:spacing w:after="0"/>
              <w:rPr>
                <w:sz w:val="20"/>
                <w:szCs w:val="20"/>
                <w:color w:val="auto"/>
              </w:rPr>
            </w:pPr>
          </w:p>
        </w:tc>
      </w:tr>
      <w:tr>
        <w:trPr>
          <w:trHeight w:val="244"/>
        </w:trPr>
        <w:tc>
          <w:tcPr>
            <w:tcW w:w="50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Outstanding options at beginning of year</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3,180,739</w:t>
            </w:r>
          </w:p>
        </w:tc>
        <w:tc>
          <w:tcPr>
            <w:tcW w:w="22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0.75</w:t>
            </w:r>
          </w:p>
        </w:tc>
        <w:tc>
          <w:tcPr>
            <w:tcW w:w="20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10,962</w:t>
            </w:r>
          </w:p>
        </w:tc>
        <w:tc>
          <w:tcPr>
            <w:tcW w:w="100" w:type="dxa"/>
            <w:vAlign w:val="bottom"/>
            <w:shd w:val="clear" w:color="auto" w:fill="FEFEFE"/>
          </w:tcPr>
          <w:p>
            <w:pPr>
              <w:spacing w:after="0"/>
              <w:rPr>
                <w:sz w:val="21"/>
                <w:szCs w:val="21"/>
                <w:color w:val="auto"/>
              </w:rPr>
            </w:pPr>
          </w:p>
        </w:tc>
      </w:tr>
      <w:tr>
        <w:trPr>
          <w:trHeight w:val="244"/>
        </w:trPr>
        <w:tc>
          <w:tcPr>
            <w:tcW w:w="500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1260" w:type="dxa"/>
            <w:vAlign w:val="bottom"/>
            <w:gridSpan w:val="2"/>
            <w:shd w:val="clear" w:color="auto" w:fill="E7E7E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7E7E3"/>
          </w:tcPr>
          <w:p>
            <w:pPr>
              <w:spacing w:after="0"/>
              <w:rPr>
                <w:sz w:val="21"/>
                <w:szCs w:val="21"/>
                <w:color w:val="auto"/>
              </w:rPr>
            </w:pPr>
          </w:p>
        </w:tc>
        <w:tc>
          <w:tcPr>
            <w:tcW w:w="88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0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Options canceled or expired</w:t>
            </w:r>
          </w:p>
        </w:tc>
        <w:tc>
          <w:tcPr>
            <w:tcW w:w="126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20"/>
                <w:szCs w:val="20"/>
                <w:color w:val="auto"/>
              </w:rPr>
              <w:t>(69,612)</w:t>
            </w:r>
          </w:p>
        </w:tc>
        <w:tc>
          <w:tcPr>
            <w:tcW w:w="14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20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FEFEFE"/>
          </w:tcPr>
          <w:p>
            <w:pPr>
              <w:spacing w:after="0"/>
              <w:rPr>
                <w:sz w:val="21"/>
                <w:szCs w:val="21"/>
                <w:color w:val="auto"/>
              </w:rPr>
            </w:pPr>
          </w:p>
        </w:tc>
      </w:tr>
      <w:tr>
        <w:trPr>
          <w:trHeight w:val="244"/>
        </w:trPr>
        <w:tc>
          <w:tcPr>
            <w:tcW w:w="500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Options exercised</w:t>
            </w:r>
          </w:p>
        </w:tc>
        <w:tc>
          <w:tcPr>
            <w:tcW w:w="126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20"/>
                <w:szCs w:val="20"/>
                <w:color w:val="auto"/>
              </w:rPr>
              <w:t>(139,667)</w:t>
            </w:r>
          </w:p>
        </w:tc>
        <w:tc>
          <w:tcPr>
            <w:tcW w:w="140" w:type="dxa"/>
            <w:vAlign w:val="bottom"/>
            <w:shd w:val="clear" w:color="auto" w:fill="E7E7E3"/>
          </w:tcPr>
          <w:p>
            <w:pPr>
              <w:spacing w:after="0"/>
              <w:rPr>
                <w:sz w:val="21"/>
                <w:szCs w:val="21"/>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200" w:type="dxa"/>
            <w:vAlign w:val="bottom"/>
            <w:shd w:val="clear" w:color="auto" w:fill="E7E7E3"/>
          </w:tcPr>
          <w:p>
            <w:pPr>
              <w:spacing w:after="0"/>
              <w:rPr>
                <w:sz w:val="21"/>
                <w:szCs w:val="21"/>
                <w:color w:val="auto"/>
              </w:rPr>
            </w:pPr>
          </w:p>
        </w:tc>
        <w:tc>
          <w:tcPr>
            <w:tcW w:w="110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00" w:type="dxa"/>
            <w:vAlign w:val="bottom"/>
            <w:shd w:val="clear" w:color="auto" w:fill="E7E7E3"/>
          </w:tcPr>
          <w:p>
            <w:pPr>
              <w:spacing w:after="0"/>
              <w:rPr>
                <w:sz w:val="21"/>
                <w:szCs w:val="21"/>
                <w:color w:val="auto"/>
              </w:rPr>
            </w:pPr>
          </w:p>
        </w:tc>
      </w:tr>
      <w:tr>
        <w:trPr>
          <w:trHeight w:val="234"/>
        </w:trPr>
        <w:tc>
          <w:tcPr>
            <w:tcW w:w="5000" w:type="dxa"/>
            <w:vAlign w:val="bottom"/>
            <w:tcBorders>
              <w:top w:val="single" w:sz="8" w:color="FEFEFE"/>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Outstanding options at end of year</w:t>
            </w:r>
          </w:p>
        </w:tc>
        <w:tc>
          <w:tcPr>
            <w:tcW w:w="10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2,971,460</w:t>
            </w:r>
          </w:p>
        </w:tc>
        <w:tc>
          <w:tcPr>
            <w:tcW w:w="220" w:type="dxa"/>
            <w:vAlign w:val="bottom"/>
            <w:tcBorders>
              <w:top w:val="single" w:sz="8" w:color="FEFEFE"/>
            </w:tcBorders>
            <w:shd w:val="clear" w:color="auto" w:fill="FEFEFE"/>
          </w:tcPr>
          <w:p>
            <w:pPr>
              <w:spacing w:after="0"/>
              <w:rPr>
                <w:sz w:val="20"/>
                <w:szCs w:val="20"/>
                <w:color w:val="auto"/>
              </w:rPr>
            </w:pPr>
          </w:p>
        </w:tc>
        <w:tc>
          <w:tcPr>
            <w:tcW w:w="1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0.65</w:t>
            </w:r>
          </w:p>
        </w:tc>
        <w:tc>
          <w:tcPr>
            <w:tcW w:w="200" w:type="dxa"/>
            <w:vAlign w:val="bottom"/>
            <w:tcBorders>
              <w:top w:val="single" w:sz="8" w:color="FEFEFE"/>
            </w:tcBorders>
            <w:shd w:val="clear" w:color="auto" w:fill="FEFEFE"/>
          </w:tcPr>
          <w:p>
            <w:pPr>
              <w:spacing w:after="0"/>
              <w:rPr>
                <w:sz w:val="20"/>
                <w:szCs w:val="20"/>
                <w:color w:val="auto"/>
              </w:rPr>
            </w:pPr>
          </w:p>
        </w:tc>
        <w:tc>
          <w:tcPr>
            <w:tcW w:w="1100" w:type="dxa"/>
            <w:vAlign w:val="bottom"/>
            <w:tcBorders>
              <w:top w:val="single" w:sz="8" w:color="auto"/>
            </w:tcBorders>
            <w:shd w:val="clear" w:color="auto" w:fill="FEFEFE"/>
          </w:tcPr>
          <w:p>
            <w:pPr>
              <w:ind w:left="500"/>
              <w:spacing w:after="0"/>
              <w:rPr>
                <w:sz w:val="20"/>
                <w:szCs w:val="20"/>
                <w:color w:val="auto"/>
              </w:rPr>
            </w:pPr>
            <w:r>
              <w:rPr>
                <w:rFonts w:ascii="Times New Roman" w:cs="Times New Roman" w:eastAsia="Times New Roman" w:hAnsi="Times New Roman"/>
                <w:sz w:val="20"/>
                <w:szCs w:val="20"/>
                <w:color w:val="auto"/>
                <w:w w:val="97"/>
              </w:rPr>
              <w:t>5.6 yrs.</w:t>
            </w:r>
          </w:p>
        </w:tc>
        <w:tc>
          <w:tcPr>
            <w:tcW w:w="120" w:type="dxa"/>
            <w:vAlign w:val="bottom"/>
            <w:tcBorders>
              <w:top w:val="single" w:sz="8" w:color="FEFEFE"/>
            </w:tcBorders>
            <w:shd w:val="clear" w:color="auto" w:fill="FEFEFE"/>
          </w:tcPr>
          <w:p>
            <w:pPr>
              <w:spacing w:after="0"/>
              <w:rPr>
                <w:sz w:val="20"/>
                <w:szCs w:val="20"/>
                <w:color w:val="auto"/>
              </w:rPr>
            </w:pPr>
          </w:p>
        </w:tc>
        <w:tc>
          <w:tcPr>
            <w:tcW w:w="120" w:type="dxa"/>
            <w:vAlign w:val="bottom"/>
            <w:tcBorders>
              <w:top w:val="single" w:sz="8" w:color="auto"/>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highlight w:val="white"/>
                <w:w w:val="99"/>
              </w:rPr>
              <w:t>$</w:t>
            </w:r>
          </w:p>
        </w:tc>
        <w:tc>
          <w:tcPr>
            <w:tcW w:w="8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highlight w:val="white"/>
              </w:rPr>
              <w:t>6,207</w:t>
            </w:r>
          </w:p>
        </w:tc>
        <w:tc>
          <w:tcPr>
            <w:tcW w:w="100" w:type="dxa"/>
            <w:vAlign w:val="bottom"/>
            <w:tcBorders>
              <w:top w:val="single" w:sz="8" w:color="FEFEFE"/>
            </w:tcBorders>
            <w:shd w:val="clear" w:color="auto" w:fill="FEFEFE"/>
          </w:tcPr>
          <w:p>
            <w:pPr>
              <w:spacing w:after="0"/>
              <w:rPr>
                <w:sz w:val="20"/>
                <w:szCs w:val="20"/>
                <w:color w:val="auto"/>
              </w:rPr>
            </w:pPr>
          </w:p>
        </w:tc>
      </w:tr>
      <w:tr>
        <w:trPr>
          <w:trHeight w:val="244"/>
        </w:trPr>
        <w:tc>
          <w:tcPr>
            <w:tcW w:w="500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Options exercisable at end of year</w:t>
            </w: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2,731,268</w:t>
            </w:r>
          </w:p>
        </w:tc>
        <w:tc>
          <w:tcPr>
            <w:tcW w:w="220" w:type="dxa"/>
            <w:vAlign w:val="bottom"/>
            <w:shd w:val="clear" w:color="auto" w:fill="E7E7E3"/>
          </w:tcPr>
          <w:p>
            <w:pPr>
              <w:spacing w:after="0"/>
              <w:rPr>
                <w:sz w:val="21"/>
                <w:szCs w:val="21"/>
                <w:color w:val="auto"/>
              </w:rPr>
            </w:pPr>
          </w:p>
        </w:tc>
        <w:tc>
          <w:tcPr>
            <w:tcW w:w="1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200" w:type="dxa"/>
            <w:vAlign w:val="bottom"/>
            <w:shd w:val="clear" w:color="auto" w:fill="E7E7E3"/>
          </w:tcPr>
          <w:p>
            <w:pPr>
              <w:spacing w:after="0"/>
              <w:rPr>
                <w:sz w:val="21"/>
                <w:szCs w:val="21"/>
                <w:color w:val="auto"/>
              </w:rPr>
            </w:pPr>
          </w:p>
        </w:tc>
        <w:tc>
          <w:tcPr>
            <w:tcW w:w="1100" w:type="dxa"/>
            <w:vAlign w:val="bottom"/>
            <w:shd w:val="clear" w:color="auto" w:fill="E7E7E3"/>
          </w:tcPr>
          <w:p>
            <w:pPr>
              <w:ind w:left="500"/>
              <w:spacing w:after="0"/>
              <w:rPr>
                <w:sz w:val="20"/>
                <w:szCs w:val="20"/>
                <w:color w:val="auto"/>
              </w:rPr>
            </w:pPr>
            <w:r>
              <w:rPr>
                <w:rFonts w:ascii="Times New Roman" w:cs="Times New Roman" w:eastAsia="Times New Roman" w:hAnsi="Times New Roman"/>
                <w:sz w:val="20"/>
                <w:szCs w:val="20"/>
                <w:color w:val="auto"/>
                <w:w w:val="97"/>
              </w:rPr>
              <w:t>5.6 yrs.</w:t>
            </w: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5,727</w:t>
            </w:r>
          </w:p>
        </w:tc>
        <w:tc>
          <w:tcPr>
            <w:tcW w:w="100" w:type="dxa"/>
            <w:vAlign w:val="bottom"/>
            <w:shd w:val="clear" w:color="auto" w:fill="E7E7E3"/>
          </w:tcPr>
          <w:p>
            <w:pPr>
              <w:spacing w:after="0"/>
              <w:rPr>
                <w:sz w:val="21"/>
                <w:szCs w:val="21"/>
                <w:color w:val="auto"/>
              </w:rPr>
            </w:pPr>
          </w:p>
        </w:tc>
      </w:tr>
      <w:tr>
        <w:trPr>
          <w:trHeight w:val="244"/>
        </w:trPr>
        <w:tc>
          <w:tcPr>
            <w:tcW w:w="50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Vested and expected to vest at end of year</w:t>
            </w:r>
          </w:p>
        </w:tc>
        <w:tc>
          <w:tcPr>
            <w:tcW w:w="10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2,971,460</w:t>
            </w:r>
          </w:p>
        </w:tc>
        <w:tc>
          <w:tcPr>
            <w:tcW w:w="22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0.65</w:t>
            </w:r>
          </w:p>
        </w:tc>
        <w:tc>
          <w:tcPr>
            <w:tcW w:w="200" w:type="dxa"/>
            <w:vAlign w:val="bottom"/>
            <w:shd w:val="clear" w:color="auto" w:fill="FEFEFE"/>
          </w:tcPr>
          <w:p>
            <w:pPr>
              <w:spacing w:after="0"/>
              <w:rPr>
                <w:sz w:val="21"/>
                <w:szCs w:val="21"/>
                <w:color w:val="auto"/>
              </w:rPr>
            </w:pPr>
          </w:p>
        </w:tc>
        <w:tc>
          <w:tcPr>
            <w:tcW w:w="1100" w:type="dxa"/>
            <w:vAlign w:val="bottom"/>
            <w:shd w:val="clear" w:color="auto" w:fill="FEFEFE"/>
          </w:tcPr>
          <w:p>
            <w:pPr>
              <w:ind w:left="500"/>
              <w:spacing w:after="0"/>
              <w:rPr>
                <w:sz w:val="20"/>
                <w:szCs w:val="20"/>
                <w:color w:val="auto"/>
              </w:rPr>
            </w:pPr>
            <w:r>
              <w:rPr>
                <w:rFonts w:ascii="Times New Roman" w:cs="Times New Roman" w:eastAsia="Times New Roman" w:hAnsi="Times New Roman"/>
                <w:sz w:val="20"/>
                <w:szCs w:val="20"/>
                <w:color w:val="auto"/>
                <w:w w:val="97"/>
              </w:rPr>
              <w:t>5.6 yrs.</w:t>
            </w:r>
          </w:p>
        </w:tc>
        <w:tc>
          <w:tcPr>
            <w:tcW w:w="240" w:type="dxa"/>
            <w:vAlign w:val="bottom"/>
            <w:gridSpan w:val="2"/>
            <w:shd w:val="clear" w:color="auto" w:fill="FEFEFE"/>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6,207</w:t>
            </w:r>
          </w:p>
        </w:tc>
        <w:tc>
          <w:tcPr>
            <w:tcW w:w="100" w:type="dxa"/>
            <w:vAlign w:val="bottom"/>
            <w:shd w:val="clear" w:color="auto" w:fill="FEFEFE"/>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656" w:right="5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Non-Vested Share Activity</w:t>
      </w:r>
    </w:p>
    <w:p>
      <w:pPr>
        <w:spacing w:after="0" w:line="118"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The following table summarizes activity for non-vested shares under the Company’s 2006 Plan, 2016 Plan and Inducement Awards, on an aggregate basis, for fiscal 2024:</w:t>
      </w:r>
    </w:p>
    <w:tbl>
      <w:tblPr>
        <w:tblLayout w:type="fixed"/>
        <w:tblInd w:w="0" w:type="dxa"/>
        <w:tblCellMar>
          <w:top w:w="0" w:type="dxa"/>
          <w:left w:w="0" w:type="dxa"/>
          <w:bottom w:w="0" w:type="dxa"/>
          <w:right w:w="0" w:type="dxa"/>
        </w:tblCellMar>
      </w:tblPr>
      <w:tr>
        <w:trPr>
          <w:trHeight w:val="184"/>
        </w:trPr>
        <w:tc>
          <w:tcPr>
            <w:tcW w:w="438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8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8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78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92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8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color w:val="auto"/>
              </w:rPr>
              <w:t>Weighted-</w:t>
            </w:r>
          </w:p>
        </w:tc>
      </w:tr>
      <w:tr>
        <w:trPr>
          <w:trHeight w:val="184"/>
        </w:trPr>
        <w:tc>
          <w:tcPr>
            <w:tcW w:w="43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8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Performance</w:t>
            </w:r>
          </w:p>
        </w:tc>
        <w:tc>
          <w:tcPr>
            <w:tcW w:w="20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9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8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color w:val="auto"/>
                <w:w w:val="96"/>
              </w:rPr>
              <w:t>average</w:t>
            </w:r>
          </w:p>
        </w:tc>
      </w:tr>
      <w:tr>
        <w:trPr>
          <w:trHeight w:val="184"/>
        </w:trPr>
        <w:tc>
          <w:tcPr>
            <w:tcW w:w="43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880" w:type="dxa"/>
            <w:vAlign w:val="bottom"/>
            <w:shd w:val="clear" w:color="auto" w:fill="FEFEFE"/>
          </w:tcPr>
          <w:p>
            <w:pPr>
              <w:jc w:val="right"/>
              <w:ind w:right="67"/>
              <w:spacing w:after="0"/>
              <w:rPr>
                <w:sz w:val="20"/>
                <w:szCs w:val="20"/>
                <w:color w:val="auto"/>
              </w:rPr>
            </w:pPr>
            <w:r>
              <w:rPr>
                <w:rFonts w:ascii="Times New Roman" w:cs="Times New Roman" w:eastAsia="Times New Roman" w:hAnsi="Times New Roman"/>
                <w:sz w:val="16"/>
                <w:szCs w:val="16"/>
                <w:color w:val="auto"/>
              </w:rPr>
              <w:t>Deferred</w:t>
            </w:r>
          </w:p>
        </w:tc>
        <w:tc>
          <w:tcPr>
            <w:tcW w:w="200" w:type="dxa"/>
            <w:vAlign w:val="bottom"/>
            <w:shd w:val="clear" w:color="auto" w:fill="FEFEFE"/>
          </w:tcPr>
          <w:p>
            <w:pPr>
              <w:spacing w:after="0"/>
              <w:rPr>
                <w:sz w:val="15"/>
                <w:szCs w:val="15"/>
                <w:color w:val="auto"/>
              </w:rPr>
            </w:pPr>
          </w:p>
        </w:tc>
        <w:tc>
          <w:tcPr>
            <w:tcW w:w="8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200" w:type="dxa"/>
            <w:vAlign w:val="bottom"/>
            <w:shd w:val="clear" w:color="auto" w:fill="FEFEFE"/>
          </w:tcPr>
          <w:p>
            <w:pPr>
              <w:spacing w:after="0"/>
              <w:rPr>
                <w:sz w:val="15"/>
                <w:szCs w:val="15"/>
                <w:color w:val="auto"/>
              </w:rPr>
            </w:pPr>
          </w:p>
        </w:tc>
        <w:tc>
          <w:tcPr>
            <w:tcW w:w="980" w:type="dxa"/>
            <w:vAlign w:val="bottom"/>
            <w:gridSpan w:val="2"/>
            <w:shd w:val="clear" w:color="auto" w:fill="FEFEFE"/>
          </w:tcPr>
          <w:p>
            <w:pPr>
              <w:jc w:val="right"/>
              <w:ind w:right="260"/>
              <w:spacing w:after="0"/>
              <w:rPr>
                <w:sz w:val="20"/>
                <w:szCs w:val="20"/>
                <w:color w:val="auto"/>
              </w:rPr>
            </w:pPr>
            <w:r>
              <w:rPr>
                <w:rFonts w:ascii="Times New Roman" w:cs="Times New Roman" w:eastAsia="Times New Roman" w:hAnsi="Times New Roman"/>
                <w:sz w:val="16"/>
                <w:szCs w:val="16"/>
                <w:color w:val="auto"/>
              </w:rPr>
              <w:t>Fully-vest</w:t>
            </w:r>
          </w:p>
        </w:tc>
        <w:tc>
          <w:tcPr>
            <w:tcW w:w="1120" w:type="dxa"/>
            <w:vAlign w:val="bottom"/>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16"/>
                <w:szCs w:val="16"/>
                <w:color w:val="auto"/>
              </w:rPr>
              <w:t>Total number</w:t>
            </w:r>
          </w:p>
        </w:tc>
        <w:tc>
          <w:tcPr>
            <w:tcW w:w="100" w:type="dxa"/>
            <w:vAlign w:val="bottom"/>
            <w:shd w:val="clear" w:color="auto" w:fill="FEFEFE"/>
          </w:tcPr>
          <w:p>
            <w:pPr>
              <w:spacing w:after="0"/>
              <w:rPr>
                <w:sz w:val="15"/>
                <w:szCs w:val="15"/>
                <w:color w:val="auto"/>
              </w:rPr>
            </w:pPr>
          </w:p>
        </w:tc>
        <w:tc>
          <w:tcPr>
            <w:tcW w:w="88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color w:val="auto"/>
                <w:w w:val="98"/>
              </w:rPr>
              <w:t>grant-date</w:t>
            </w:r>
          </w:p>
        </w:tc>
      </w:tr>
      <w:tr>
        <w:trPr>
          <w:trHeight w:val="201"/>
        </w:trPr>
        <w:tc>
          <w:tcPr>
            <w:tcW w:w="43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1080" w:type="dxa"/>
            <w:vAlign w:val="bottom"/>
            <w:gridSpan w:val="2"/>
            <w:shd w:val="clear" w:color="auto" w:fill="FEFEFE"/>
          </w:tcPr>
          <w:p>
            <w:pPr>
              <w:jc w:val="right"/>
              <w:ind w:right="380"/>
              <w:spacing w:after="0"/>
              <w:rPr>
                <w:sz w:val="20"/>
                <w:szCs w:val="20"/>
                <w:color w:val="auto"/>
              </w:rPr>
            </w:pPr>
            <w:r>
              <w:rPr>
                <w:rFonts w:ascii="Times New Roman" w:cs="Times New Roman" w:eastAsia="Times New Roman" w:hAnsi="Times New Roman"/>
                <w:sz w:val="16"/>
                <w:szCs w:val="16"/>
                <w:color w:val="auto"/>
              </w:rPr>
              <w:t xml:space="preserve">RSUs </w:t>
            </w:r>
            <w:r>
              <w:rPr>
                <w:rFonts w:ascii="Times New Roman" w:cs="Times New Roman" w:eastAsia="Times New Roman" w:hAnsi="Times New Roman"/>
                <w:sz w:val="10"/>
                <w:szCs w:val="10"/>
                <w:color w:val="auto"/>
              </w:rPr>
              <w:t>(1)</w:t>
            </w:r>
          </w:p>
        </w:tc>
        <w:tc>
          <w:tcPr>
            <w:tcW w:w="880" w:type="dxa"/>
            <w:vAlign w:val="bottom"/>
            <w:shd w:val="clear" w:color="auto" w:fill="FEFEFE"/>
          </w:tcPr>
          <w:p>
            <w:pPr>
              <w:jc w:val="right"/>
              <w:ind w:right="67"/>
              <w:spacing w:after="0"/>
              <w:rPr>
                <w:sz w:val="20"/>
                <w:szCs w:val="20"/>
                <w:color w:val="auto"/>
              </w:rPr>
            </w:pPr>
            <w:r>
              <w:rPr>
                <w:rFonts w:ascii="Times New Roman" w:cs="Times New Roman" w:eastAsia="Times New Roman" w:hAnsi="Times New Roman"/>
                <w:sz w:val="16"/>
                <w:szCs w:val="16"/>
                <w:color w:val="auto"/>
              </w:rPr>
              <w:t xml:space="preserve">shares </w:t>
            </w:r>
            <w:r>
              <w:rPr>
                <w:rFonts w:ascii="Times New Roman" w:cs="Times New Roman" w:eastAsia="Times New Roman" w:hAnsi="Times New Roman"/>
                <w:sz w:val="10"/>
                <w:szCs w:val="10"/>
                <w:color w:val="auto"/>
              </w:rPr>
              <w:t>(2)</w:t>
            </w:r>
          </w:p>
        </w:tc>
        <w:tc>
          <w:tcPr>
            <w:tcW w:w="200" w:type="dxa"/>
            <w:vAlign w:val="bottom"/>
            <w:shd w:val="clear" w:color="auto" w:fill="FEFEFE"/>
          </w:tcPr>
          <w:p>
            <w:pPr>
              <w:spacing w:after="0"/>
              <w:rPr>
                <w:sz w:val="17"/>
                <w:szCs w:val="17"/>
                <w:color w:val="auto"/>
              </w:rPr>
            </w:pPr>
          </w:p>
        </w:tc>
        <w:tc>
          <w:tcPr>
            <w:tcW w:w="880" w:type="dxa"/>
            <w:vAlign w:val="bottom"/>
            <w:shd w:val="clear" w:color="auto" w:fill="FEFEFE"/>
          </w:tcPr>
          <w:p>
            <w:pPr>
              <w:ind w:left="220"/>
              <w:spacing w:after="0"/>
              <w:rPr>
                <w:sz w:val="20"/>
                <w:szCs w:val="20"/>
                <w:color w:val="auto"/>
              </w:rPr>
            </w:pPr>
            <w:r>
              <w:rPr>
                <w:rFonts w:ascii="Times New Roman" w:cs="Times New Roman" w:eastAsia="Times New Roman" w:hAnsi="Times New Roman"/>
                <w:sz w:val="16"/>
                <w:szCs w:val="16"/>
                <w:color w:val="auto"/>
              </w:rPr>
              <w:t xml:space="preserve">units </w:t>
            </w:r>
            <w:r>
              <w:rPr>
                <w:rFonts w:ascii="Times New Roman" w:cs="Times New Roman" w:eastAsia="Times New Roman" w:hAnsi="Times New Roman"/>
                <w:sz w:val="10"/>
                <w:szCs w:val="10"/>
                <w:color w:val="auto"/>
              </w:rPr>
              <w:t>(3)</w:t>
            </w:r>
          </w:p>
        </w:tc>
        <w:tc>
          <w:tcPr>
            <w:tcW w:w="200" w:type="dxa"/>
            <w:vAlign w:val="bottom"/>
            <w:shd w:val="clear" w:color="auto" w:fill="FEFEFE"/>
          </w:tcPr>
          <w:p>
            <w:pPr>
              <w:spacing w:after="0"/>
              <w:rPr>
                <w:sz w:val="17"/>
                <w:szCs w:val="17"/>
                <w:color w:val="auto"/>
              </w:rPr>
            </w:pPr>
          </w:p>
        </w:tc>
        <w:tc>
          <w:tcPr>
            <w:tcW w:w="980" w:type="dxa"/>
            <w:vAlign w:val="bottom"/>
            <w:gridSpan w:val="2"/>
            <w:shd w:val="clear" w:color="auto" w:fill="FEFEFE"/>
          </w:tcPr>
          <w:p>
            <w:pPr>
              <w:jc w:val="right"/>
              <w:ind w:right="320"/>
              <w:spacing w:after="0"/>
              <w:rPr>
                <w:sz w:val="20"/>
                <w:szCs w:val="20"/>
                <w:color w:val="auto"/>
              </w:rPr>
            </w:pPr>
            <w:r>
              <w:rPr>
                <w:rFonts w:ascii="Times New Roman" w:cs="Times New Roman" w:eastAsia="Times New Roman" w:hAnsi="Times New Roman"/>
                <w:sz w:val="16"/>
                <w:szCs w:val="16"/>
                <w:color w:val="auto"/>
              </w:rPr>
              <w:t xml:space="preserve">shares </w:t>
            </w:r>
            <w:r>
              <w:rPr>
                <w:rFonts w:ascii="Times New Roman" w:cs="Times New Roman" w:eastAsia="Times New Roman" w:hAnsi="Times New Roman"/>
                <w:sz w:val="10"/>
                <w:szCs w:val="10"/>
                <w:color w:val="auto"/>
              </w:rPr>
              <w:t>(4)</w:t>
            </w:r>
          </w:p>
        </w:tc>
        <w:tc>
          <w:tcPr>
            <w:tcW w:w="1120" w:type="dxa"/>
            <w:vAlign w:val="bottom"/>
            <w:gridSpan w:val="2"/>
            <w:shd w:val="clear" w:color="auto" w:fill="FEFEFE"/>
          </w:tcPr>
          <w:p>
            <w:pPr>
              <w:jc w:val="right"/>
              <w:ind w:right="380"/>
              <w:spacing w:after="0"/>
              <w:rPr>
                <w:sz w:val="20"/>
                <w:szCs w:val="20"/>
                <w:color w:val="auto"/>
              </w:rPr>
            </w:pPr>
            <w:r>
              <w:rPr>
                <w:rFonts w:ascii="Times New Roman" w:cs="Times New Roman" w:eastAsia="Times New Roman" w:hAnsi="Times New Roman"/>
                <w:sz w:val="16"/>
                <w:szCs w:val="16"/>
                <w:color w:val="auto"/>
              </w:rPr>
              <w:t>of shares</w:t>
            </w:r>
          </w:p>
        </w:tc>
        <w:tc>
          <w:tcPr>
            <w:tcW w:w="100" w:type="dxa"/>
            <w:vAlign w:val="bottom"/>
            <w:shd w:val="clear" w:color="auto" w:fill="FEFEFE"/>
          </w:tcPr>
          <w:p>
            <w:pPr>
              <w:spacing w:after="0"/>
              <w:rPr>
                <w:sz w:val="17"/>
                <w:szCs w:val="17"/>
                <w:color w:val="auto"/>
              </w:rPr>
            </w:pPr>
          </w:p>
        </w:tc>
        <w:tc>
          <w:tcPr>
            <w:tcW w:w="88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color w:val="auto"/>
                <w:w w:val="98"/>
              </w:rPr>
              <w:t>fair value</w:t>
            </w:r>
          </w:p>
        </w:tc>
      </w:tr>
      <w:tr>
        <w:trPr>
          <w:trHeight w:val="220"/>
        </w:trPr>
        <w:tc>
          <w:tcPr>
            <w:tcW w:w="4380" w:type="dxa"/>
            <w:vAlign w:val="bottom"/>
            <w:tcBorders>
              <w:top w:val="single" w:sz="8" w:color="FEFEFE"/>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78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92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auto"/>
            </w:tcBorders>
            <w:shd w:val="clear" w:color="auto" w:fill="FEFEFE"/>
          </w:tcPr>
          <w:p>
            <w:pPr>
              <w:spacing w:after="0"/>
              <w:rPr>
                <w:sz w:val="19"/>
                <w:szCs w:val="19"/>
                <w:color w:val="auto"/>
              </w:rPr>
            </w:pPr>
          </w:p>
        </w:tc>
        <w:tc>
          <w:tcPr>
            <w:tcW w:w="780" w:type="dxa"/>
            <w:vAlign w:val="bottom"/>
            <w:tcBorders>
              <w:top w:val="single" w:sz="8" w:color="auto"/>
            </w:tcBorders>
            <w:shd w:val="clear" w:color="auto" w:fill="FEFEFE"/>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r>
      <w:tr>
        <w:trPr>
          <w:trHeight w:val="230"/>
        </w:trPr>
        <w:tc>
          <w:tcPr>
            <w:tcW w:w="438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Outstanding non-vested shares at beginning of year</w:t>
            </w:r>
          </w:p>
        </w:tc>
        <w:tc>
          <w:tcPr>
            <w:tcW w:w="100" w:type="dxa"/>
            <w:vAlign w:val="bottom"/>
            <w:shd w:val="clear" w:color="auto" w:fill="E7E7E3"/>
          </w:tcPr>
          <w:p>
            <w:pPr>
              <w:spacing w:after="0"/>
              <w:rPr>
                <w:sz w:val="19"/>
                <w:szCs w:val="19"/>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536,285</w:t>
            </w: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435,568</w:t>
            </w: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ind w:left="220"/>
              <w:spacing w:after="0"/>
              <w:rPr>
                <w:sz w:val="20"/>
                <w:szCs w:val="20"/>
                <w:color w:val="auto"/>
              </w:rPr>
            </w:pPr>
            <w:r>
              <w:rPr>
                <w:rFonts w:ascii="Times New Roman" w:cs="Times New Roman" w:eastAsia="Times New Roman" w:hAnsi="Times New Roman"/>
                <w:sz w:val="20"/>
                <w:szCs w:val="20"/>
                <w:color w:val="auto"/>
                <w:w w:val="98"/>
              </w:rPr>
              <w:t>573,000</w:t>
            </w:r>
          </w:p>
        </w:tc>
        <w:tc>
          <w:tcPr>
            <w:tcW w:w="20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9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1,544,853</w:t>
            </w:r>
          </w:p>
        </w:tc>
        <w:tc>
          <w:tcPr>
            <w:tcW w:w="200" w:type="dxa"/>
            <w:vAlign w:val="bottom"/>
            <w:shd w:val="clear" w:color="auto" w:fill="E7E7E3"/>
          </w:tcPr>
          <w:p>
            <w:pPr>
              <w:spacing w:after="0"/>
              <w:rPr>
                <w:sz w:val="19"/>
                <w:szCs w:val="19"/>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00" w:type="dxa"/>
            <w:vAlign w:val="bottom"/>
            <w:shd w:val="clear" w:color="auto" w:fill="E7E7E3"/>
          </w:tcPr>
          <w:p>
            <w:pPr>
              <w:spacing w:after="0"/>
              <w:rPr>
                <w:sz w:val="19"/>
                <w:szCs w:val="19"/>
                <w:color w:val="auto"/>
              </w:rPr>
            </w:pPr>
          </w:p>
        </w:tc>
      </w:tr>
      <w:tr>
        <w:trPr>
          <w:trHeight w:val="230"/>
        </w:trPr>
        <w:tc>
          <w:tcPr>
            <w:tcW w:w="43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Shares granted</w:t>
            </w: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388,650</w:t>
            </w:r>
          </w:p>
        </w:tc>
        <w:tc>
          <w:tcPr>
            <w:tcW w:w="200" w:type="dxa"/>
            <w:vAlign w:val="bottom"/>
            <w:shd w:val="clear" w:color="auto" w:fill="FEFEFE"/>
          </w:tcPr>
          <w:p>
            <w:pPr>
              <w:spacing w:after="0"/>
              <w:rPr>
                <w:sz w:val="19"/>
                <w:szCs w:val="19"/>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44,132</w:t>
            </w:r>
          </w:p>
        </w:tc>
        <w:tc>
          <w:tcPr>
            <w:tcW w:w="20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9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49,304</w:t>
            </w:r>
          </w:p>
        </w:tc>
        <w:tc>
          <w:tcPr>
            <w:tcW w:w="200" w:type="dxa"/>
            <w:vAlign w:val="bottom"/>
            <w:shd w:val="clear" w:color="auto" w:fill="FEFEFE"/>
          </w:tcPr>
          <w:p>
            <w:pPr>
              <w:spacing w:after="0"/>
              <w:rPr>
                <w:sz w:val="19"/>
                <w:szCs w:val="19"/>
                <w:color w:val="auto"/>
              </w:rPr>
            </w:pPr>
          </w:p>
        </w:tc>
        <w:tc>
          <w:tcPr>
            <w:tcW w:w="9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482,086</w:t>
            </w: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100" w:type="dxa"/>
            <w:vAlign w:val="bottom"/>
            <w:shd w:val="clear" w:color="auto" w:fill="FEFEFE"/>
          </w:tcPr>
          <w:p>
            <w:pPr>
              <w:spacing w:after="0"/>
              <w:rPr>
                <w:sz w:val="19"/>
                <w:szCs w:val="19"/>
                <w:color w:val="auto"/>
              </w:rPr>
            </w:pPr>
          </w:p>
        </w:tc>
      </w:tr>
      <w:tr>
        <w:trPr>
          <w:trHeight w:val="230"/>
        </w:trPr>
        <w:tc>
          <w:tcPr>
            <w:tcW w:w="438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Shares forfeited</w:t>
            </w:r>
          </w:p>
        </w:tc>
        <w:tc>
          <w:tcPr>
            <w:tcW w:w="10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92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43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Shares expired</w:t>
            </w:r>
          </w:p>
        </w:tc>
        <w:tc>
          <w:tcPr>
            <w:tcW w:w="10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9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7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438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Shares vested/issued</w:t>
            </w:r>
          </w:p>
        </w:tc>
        <w:tc>
          <w:tcPr>
            <w:tcW w:w="1180" w:type="dxa"/>
            <w:vAlign w:val="bottom"/>
            <w:gridSpan w:val="3"/>
            <w:shd w:val="clear" w:color="auto" w:fill="E7E7E3"/>
          </w:tcPr>
          <w:p>
            <w:pPr>
              <w:jc w:val="right"/>
              <w:ind w:right="140"/>
              <w:spacing w:after="0"/>
              <w:rPr>
                <w:sz w:val="20"/>
                <w:szCs w:val="20"/>
                <w:color w:val="auto"/>
              </w:rPr>
            </w:pPr>
            <w:r>
              <w:rPr>
                <w:rFonts w:ascii="Times New Roman" w:cs="Times New Roman" w:eastAsia="Times New Roman" w:hAnsi="Times New Roman"/>
                <w:sz w:val="20"/>
                <w:szCs w:val="20"/>
                <w:color w:val="auto"/>
              </w:rPr>
              <w:t>(163,854)</w:t>
            </w:r>
          </w:p>
        </w:tc>
        <w:tc>
          <w:tcPr>
            <w:tcW w:w="8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1180" w:type="dxa"/>
            <w:vAlign w:val="bottom"/>
            <w:gridSpan w:val="3"/>
            <w:shd w:val="clear" w:color="auto" w:fill="E7E7E3"/>
          </w:tcPr>
          <w:p>
            <w:pPr>
              <w:jc w:val="right"/>
              <w:ind w:right="140"/>
              <w:spacing w:after="0"/>
              <w:rPr>
                <w:sz w:val="20"/>
                <w:szCs w:val="20"/>
                <w:color w:val="auto"/>
              </w:rPr>
            </w:pPr>
            <w:r>
              <w:rPr>
                <w:rFonts w:ascii="Times New Roman" w:cs="Times New Roman" w:eastAsia="Times New Roman" w:hAnsi="Times New Roman"/>
                <w:sz w:val="20"/>
                <w:szCs w:val="20"/>
                <w:color w:val="auto"/>
              </w:rPr>
              <w:t>(49,304)</w:t>
            </w:r>
          </w:p>
        </w:tc>
        <w:tc>
          <w:tcPr>
            <w:tcW w:w="112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20"/>
                <w:szCs w:val="20"/>
                <w:color w:val="auto"/>
              </w:rPr>
              <w:t>(213,158)</w:t>
            </w: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00" w:type="dxa"/>
            <w:vAlign w:val="bottom"/>
            <w:shd w:val="clear" w:color="auto" w:fill="E7E7E3"/>
          </w:tcPr>
          <w:p>
            <w:pPr>
              <w:spacing w:after="0"/>
              <w:rPr>
                <w:sz w:val="19"/>
                <w:szCs w:val="19"/>
                <w:color w:val="auto"/>
              </w:rPr>
            </w:pPr>
          </w:p>
        </w:tc>
      </w:tr>
      <w:tr>
        <w:trPr>
          <w:trHeight w:val="220"/>
        </w:trPr>
        <w:tc>
          <w:tcPr>
            <w:tcW w:w="4380" w:type="dxa"/>
            <w:vAlign w:val="bottom"/>
            <w:tcBorders>
              <w:top w:val="single" w:sz="8" w:color="FEFEFE"/>
            </w:tcBorders>
            <w:shd w:val="clear" w:color="auto" w:fill="FEFEFE"/>
          </w:tcPr>
          <w:p>
            <w:pPr>
              <w:ind w:left="200"/>
              <w:spacing w:after="0" w:line="220" w:lineRule="exact"/>
              <w:rPr>
                <w:sz w:val="20"/>
                <w:szCs w:val="20"/>
                <w:color w:val="auto"/>
              </w:rPr>
            </w:pPr>
            <w:r>
              <w:rPr>
                <w:rFonts w:ascii="Times New Roman" w:cs="Times New Roman" w:eastAsia="Times New Roman" w:hAnsi="Times New Roman"/>
                <w:sz w:val="20"/>
                <w:szCs w:val="20"/>
                <w:color w:val="auto"/>
              </w:rPr>
              <w:t>Outstanding non-vested shares at end of year</w:t>
            </w:r>
          </w:p>
        </w:tc>
        <w:tc>
          <w:tcPr>
            <w:tcW w:w="1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761,081</w:t>
            </w:r>
          </w:p>
        </w:tc>
        <w:tc>
          <w:tcPr>
            <w:tcW w:w="2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479,700</w:t>
            </w:r>
          </w:p>
        </w:tc>
        <w:tc>
          <w:tcPr>
            <w:tcW w:w="200" w:type="dxa"/>
            <w:vAlign w:val="bottom"/>
            <w:tcBorders>
              <w:top w:val="single" w:sz="8" w:color="FEFEFE"/>
            </w:tcBorders>
            <w:shd w:val="clear" w:color="auto" w:fill="FEFEFE"/>
          </w:tcPr>
          <w:p>
            <w:pPr>
              <w:spacing w:after="0"/>
              <w:rPr>
                <w:sz w:val="19"/>
                <w:szCs w:val="19"/>
                <w:color w:val="auto"/>
              </w:rPr>
            </w:pPr>
          </w:p>
        </w:tc>
        <w:tc>
          <w:tcPr>
            <w:tcW w:w="880" w:type="dxa"/>
            <w:vAlign w:val="bottom"/>
            <w:tcBorders>
              <w:top w:val="single" w:sz="8" w:color="auto"/>
            </w:tcBorders>
            <w:shd w:val="clear" w:color="auto" w:fill="FEFEFE"/>
          </w:tcPr>
          <w:p>
            <w:pPr>
              <w:ind w:left="220"/>
              <w:spacing w:after="0" w:line="220" w:lineRule="exact"/>
              <w:rPr>
                <w:sz w:val="20"/>
                <w:szCs w:val="20"/>
                <w:color w:val="auto"/>
              </w:rPr>
            </w:pPr>
            <w:r>
              <w:rPr>
                <w:rFonts w:ascii="Times New Roman" w:cs="Times New Roman" w:eastAsia="Times New Roman" w:hAnsi="Times New Roman"/>
                <w:sz w:val="20"/>
                <w:szCs w:val="20"/>
                <w:color w:val="auto"/>
                <w:w w:val="98"/>
              </w:rPr>
              <w:t>573,000</w:t>
            </w:r>
          </w:p>
        </w:tc>
        <w:tc>
          <w:tcPr>
            <w:tcW w:w="200" w:type="dxa"/>
            <w:vAlign w:val="bottom"/>
            <w:tcBorders>
              <w:top w:val="single" w:sz="8" w:color="FEFEFE"/>
            </w:tcBorders>
            <w:shd w:val="clear" w:color="auto" w:fill="FEFEFE"/>
          </w:tcPr>
          <w:p>
            <w:pPr>
              <w:spacing w:after="0"/>
              <w:rPr>
                <w:sz w:val="19"/>
                <w:szCs w:val="19"/>
                <w:color w:val="auto"/>
              </w:rPr>
            </w:pPr>
          </w:p>
        </w:tc>
        <w:tc>
          <w:tcPr>
            <w:tcW w:w="780" w:type="dxa"/>
            <w:vAlign w:val="bottom"/>
            <w:tcBorders>
              <w:top w:val="single" w:sz="8" w:color="auto"/>
            </w:tcBorders>
            <w:shd w:val="clear" w:color="auto" w:fill="FEFEFE"/>
          </w:tcPr>
          <w:p>
            <w:pPr>
              <w:spacing w:after="0"/>
              <w:rPr>
                <w:sz w:val="19"/>
                <w:szCs w:val="19"/>
                <w:color w:val="auto"/>
              </w:rPr>
            </w:pPr>
          </w:p>
        </w:tc>
        <w:tc>
          <w:tcPr>
            <w:tcW w:w="200" w:type="dxa"/>
            <w:vAlign w:val="bottom"/>
            <w:tcBorders>
              <w:top w:val="single" w:sz="8" w:color="FEFEFE"/>
            </w:tcBorders>
            <w:shd w:val="clear" w:color="auto" w:fill="FEFEFE"/>
          </w:tcPr>
          <w:p>
            <w:pPr>
              <w:spacing w:after="0"/>
              <w:rPr>
                <w:sz w:val="19"/>
                <w:szCs w:val="19"/>
                <w:color w:val="auto"/>
              </w:rPr>
            </w:pPr>
          </w:p>
        </w:tc>
        <w:tc>
          <w:tcPr>
            <w:tcW w:w="92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1,813,781</w:t>
            </w:r>
          </w:p>
        </w:tc>
        <w:tc>
          <w:tcPr>
            <w:tcW w:w="200" w:type="dxa"/>
            <w:vAlign w:val="bottom"/>
            <w:tcBorders>
              <w:top w:val="single" w:sz="8" w:color="FEFEFE"/>
            </w:tcBorders>
            <w:shd w:val="clear" w:color="auto" w:fill="FEFEFE"/>
          </w:tcPr>
          <w:p>
            <w:pPr>
              <w:spacing w:after="0"/>
              <w:rPr>
                <w:sz w:val="19"/>
                <w:szCs w:val="19"/>
                <w:color w:val="auto"/>
              </w:rPr>
            </w:pPr>
          </w:p>
        </w:tc>
        <w:tc>
          <w:tcPr>
            <w:tcW w:w="10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3.41</w:t>
            </w:r>
          </w:p>
        </w:tc>
        <w:tc>
          <w:tcPr>
            <w:tcW w:w="100" w:type="dxa"/>
            <w:vAlign w:val="bottom"/>
            <w:tcBorders>
              <w:top w:val="single" w:sz="8" w:color="FEFEFE"/>
            </w:tcBorders>
            <w:shd w:val="clear" w:color="auto" w:fill="FEFEFE"/>
          </w:tcPr>
          <w:p>
            <w:pPr>
              <w:spacing w:after="0"/>
              <w:rPr>
                <w:sz w:val="19"/>
                <w:szCs w:val="19"/>
                <w:color w:val="auto"/>
              </w:rPr>
            </w:pPr>
          </w:p>
        </w:tc>
      </w:tr>
      <w:tr>
        <w:trPr>
          <w:trHeight w:val="230"/>
        </w:trPr>
        <w:tc>
          <w:tcPr>
            <w:tcW w:w="4380" w:type="dxa"/>
            <w:vAlign w:val="bottom"/>
            <w:shd w:val="clear" w:color="auto" w:fill="E7E7E3"/>
          </w:tcPr>
          <w:p>
            <w:pPr>
              <w:ind w:left="200"/>
              <w:spacing w:after="0"/>
              <w:rPr>
                <w:sz w:val="20"/>
                <w:szCs w:val="20"/>
                <w:color w:val="auto"/>
              </w:rPr>
            </w:pPr>
            <w:r>
              <w:rPr>
                <w:rFonts w:ascii="Times New Roman" w:cs="Times New Roman" w:eastAsia="Times New Roman" w:hAnsi="Times New Roman"/>
                <w:sz w:val="20"/>
                <w:szCs w:val="20"/>
                <w:color w:val="auto"/>
              </w:rPr>
              <w:t>Vested and expected to vest at end of year</w:t>
            </w:r>
          </w:p>
        </w:tc>
        <w:tc>
          <w:tcPr>
            <w:tcW w:w="100" w:type="dxa"/>
            <w:vAlign w:val="bottom"/>
            <w:shd w:val="clear" w:color="auto" w:fill="E7E7E3"/>
          </w:tcPr>
          <w:p>
            <w:pPr>
              <w:spacing w:after="0"/>
              <w:rPr>
                <w:sz w:val="19"/>
                <w:szCs w:val="19"/>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761,081</w:t>
            </w: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479,700</w:t>
            </w:r>
          </w:p>
        </w:tc>
        <w:tc>
          <w:tcPr>
            <w:tcW w:w="200" w:type="dxa"/>
            <w:vAlign w:val="bottom"/>
            <w:shd w:val="clear" w:color="auto" w:fill="E7E7E3"/>
          </w:tcPr>
          <w:p>
            <w:pPr>
              <w:spacing w:after="0"/>
              <w:rPr>
                <w:sz w:val="19"/>
                <w:szCs w:val="19"/>
                <w:color w:val="auto"/>
              </w:rPr>
            </w:pPr>
          </w:p>
        </w:tc>
        <w:tc>
          <w:tcPr>
            <w:tcW w:w="8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9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1,240,781</w:t>
            </w:r>
          </w:p>
        </w:tc>
        <w:tc>
          <w:tcPr>
            <w:tcW w:w="200" w:type="dxa"/>
            <w:vAlign w:val="bottom"/>
            <w:shd w:val="clear" w:color="auto" w:fill="E7E7E3"/>
          </w:tcPr>
          <w:p>
            <w:pPr>
              <w:spacing w:after="0"/>
              <w:rPr>
                <w:sz w:val="19"/>
                <w:szCs w:val="19"/>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00" w:type="dxa"/>
            <w:vAlign w:val="bottom"/>
            <w:shd w:val="clear" w:color="auto" w:fill="E7E7E3"/>
          </w:tcPr>
          <w:p>
            <w:pPr>
              <w:spacing w:after="0"/>
              <w:rPr>
                <w:sz w:val="19"/>
                <w:szCs w:val="19"/>
                <w:color w:val="auto"/>
              </w:rPr>
            </w:pPr>
          </w:p>
        </w:tc>
      </w:tr>
    </w:tbl>
    <w:p>
      <w:pPr>
        <w:spacing w:after="0" w:line="329" w:lineRule="exact"/>
        <w:rPr>
          <w:sz w:val="20"/>
          <w:szCs w:val="20"/>
          <w:color w:val="auto"/>
        </w:rPr>
      </w:pPr>
    </w:p>
    <w:p>
      <w:pPr>
        <w:jc w:val="both"/>
        <w:ind w:left="980" w:hanging="491"/>
        <w:spacing w:after="0" w:line="259"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fiscal 2024, grants primarily related to the grant of time-based RSUs under its 2024-2026 LTIP. See Note H, </w:t>
      </w:r>
      <w:r>
        <w:rPr>
          <w:rFonts w:ascii="Times New Roman" w:cs="Times New Roman" w:eastAsia="Times New Roman" w:hAnsi="Times New Roman"/>
          <w:sz w:val="20"/>
          <w:szCs w:val="20"/>
          <w:i w:val="1"/>
          <w:iCs w:val="1"/>
          <w:color w:val="auto"/>
        </w:rPr>
        <w:t>Long-Term Incentive Plans</w:t>
      </w:r>
      <w:r>
        <w:rPr>
          <w:rFonts w:ascii="Times New Roman" w:cs="Times New Roman" w:eastAsia="Times New Roman" w:hAnsi="Times New Roman"/>
          <w:sz w:val="20"/>
          <w:szCs w:val="20"/>
          <w:color w:val="auto"/>
        </w:rPr>
        <w:t>. As a result of net share settlements, of the 163,854 RSUs that vested, 138,390 shares of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were issued.</w:t>
      </w:r>
    </w:p>
    <w:p>
      <w:pPr>
        <w:spacing w:after="0" w:line="65" w:lineRule="exact"/>
        <w:rPr>
          <w:rFonts w:ascii="Times New Roman" w:cs="Times New Roman" w:eastAsia="Times New Roman" w:hAnsi="Times New Roman"/>
          <w:sz w:val="20"/>
          <w:szCs w:val="20"/>
          <w:color w:val="auto"/>
        </w:rPr>
      </w:pPr>
    </w:p>
    <w:p>
      <w:pPr>
        <w:jc w:val="both"/>
        <w:ind w:left="980" w:hanging="491"/>
        <w:spacing w:after="0" w:line="259"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44,132 shares of deferred stock, with a fair value of $144,991 represent director compensation in lieu of cash, in accordance with the director's irrevocable election. The shares of deferred stock will be issued upon the director's separation from service.</w:t>
      </w:r>
    </w:p>
    <w:p>
      <w:pPr>
        <w:spacing w:after="0" w:line="65" w:lineRule="exact"/>
        <w:rPr>
          <w:rFonts w:ascii="Times New Roman" w:cs="Times New Roman" w:eastAsia="Times New Roman" w:hAnsi="Times New Roman"/>
          <w:sz w:val="20"/>
          <w:szCs w:val="20"/>
          <w:color w:val="auto"/>
        </w:rPr>
      </w:pPr>
    </w:p>
    <w:p>
      <w:pPr>
        <w:jc w:val="both"/>
        <w:ind w:left="980" w:hanging="491"/>
        <w:spacing w:after="0" w:line="244"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The $2.4 million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5" w:lineRule="exact"/>
        <w:rPr>
          <w:rFonts w:ascii="Times New Roman" w:cs="Times New Roman" w:eastAsia="Times New Roman" w:hAnsi="Times New Roman"/>
          <w:sz w:val="20"/>
          <w:szCs w:val="20"/>
          <w:color w:val="auto"/>
        </w:rPr>
      </w:pPr>
    </w:p>
    <w:p>
      <w:pPr>
        <w:jc w:val="both"/>
        <w:ind w:left="980" w:hanging="491"/>
        <w:spacing w:after="0" w:line="259"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Represented compensation, with a fair value of $161,983,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20"/>
          <w:szCs w:val="20"/>
          <w:i w:val="1"/>
          <w:iCs w:val="1"/>
          <w:color w:val="auto"/>
        </w:rPr>
        <w:t>Non-Employee Director Compensation Plan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Non-Employee Director Compensation Plan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Seventh Amended and Restated Non-Employee Director Compensation Plan, as amended, the "Non-Employee Director Compensation Plan," provides a convenient method for its non-employee directors to acquire shares of the Company’s common stock at fair market value by voluntarily electing to receive shares of common stock in lieu of cash for service as a director.</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Non-Employee Director Compensation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w:t>
      </w:r>
    </w:p>
    <w:p>
      <w:pPr>
        <w:sectPr>
          <w:pgSz w:w="11880" w:h="15480" w:orient="portrait"/>
          <w:cols w:equalWidth="0" w:num="1">
            <w:col w:w="10800"/>
          </w:cols>
          <w:pgMar w:left="540" w:top="11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800"/>
          </w:cols>
          <w:pgMar w:left="540" w:top="1128" w:right="540" w:bottom="0" w:gutter="0" w:footer="0" w:header="0"/>
          <w:type w:val="continuous"/>
        </w:sectPr>
      </w:pPr>
    </w:p>
    <w:bookmarkStart w:id="59" w:name="page60"/>
    <w:bookmarkEnd w:id="59"/>
    <w:p>
      <w:pPr>
        <w:ind w:right="280"/>
        <w:spacing w:after="0" w:line="279" w:lineRule="auto"/>
        <w:rPr>
          <w:sz w:val="20"/>
          <w:szCs w:val="20"/>
          <w:color w:val="auto"/>
        </w:rPr>
      </w:pPr>
      <w:r>
        <w:rPr>
          <w:rFonts w:ascii="Times New Roman" w:cs="Times New Roman" w:eastAsia="Times New Roman" w:hAnsi="Times New Roman"/>
          <w:sz w:val="20"/>
          <w:szCs w:val="20"/>
          <w:color w:val="auto"/>
        </w:rPr>
        <w:t>The following shares of common stock, with the respective fair value, were issued from the Non-Employee Director Compensation Plan to its non-employee directors as compensation for fiscal 2024, fiscal 2023 and fiscal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shd w:val="clear" w:color="auto" w:fill="FEFEFE"/>
          </w:tcPr>
          <w:p>
            <w:pPr>
              <w:spacing w:after="0"/>
              <w:rPr>
                <w:sz w:val="16"/>
                <w:szCs w:val="16"/>
                <w:color w:val="auto"/>
              </w:rPr>
            </w:pPr>
          </w:p>
        </w:tc>
        <w:tc>
          <w:tcPr>
            <w:tcW w:w="1740" w:type="dxa"/>
            <w:vAlign w:val="bottom"/>
            <w:shd w:val="clear" w:color="auto" w:fill="FEFEFE"/>
          </w:tcPr>
          <w:p>
            <w:pPr>
              <w:jc w:val="right"/>
              <w:ind w:right="108"/>
              <w:spacing w:after="0"/>
              <w:rPr>
                <w:sz w:val="20"/>
                <w:szCs w:val="20"/>
                <w:color w:val="auto"/>
              </w:rPr>
            </w:pPr>
            <w:r>
              <w:rPr>
                <w:rFonts w:ascii="Times New Roman" w:cs="Times New Roman" w:eastAsia="Times New Roman" w:hAnsi="Times New Roman"/>
                <w:sz w:val="16"/>
                <w:szCs w:val="16"/>
                <w:color w:val="auto"/>
              </w:rPr>
              <w:t>Number of shares of</w:t>
            </w:r>
          </w:p>
        </w:tc>
        <w:tc>
          <w:tcPr>
            <w:tcW w:w="30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720" w:type="dxa"/>
            <w:vAlign w:val="bottom"/>
            <w:gridSpan w:val="2"/>
            <w:shd w:val="clear" w:color="auto" w:fill="FEFEFE"/>
          </w:tcPr>
          <w:p>
            <w:pPr>
              <w:jc w:val="center"/>
              <w:ind w:right="260"/>
              <w:spacing w:after="0"/>
              <w:rPr>
                <w:sz w:val="20"/>
                <w:szCs w:val="20"/>
                <w:color w:val="auto"/>
              </w:rPr>
            </w:pPr>
            <w:r>
              <w:rPr>
                <w:rFonts w:ascii="Times New Roman" w:cs="Times New Roman" w:eastAsia="Times New Roman" w:hAnsi="Times New Roman"/>
                <w:sz w:val="16"/>
                <w:szCs w:val="16"/>
                <w:color w:val="auto"/>
              </w:rPr>
              <w:t>Fair value of</w:t>
            </w:r>
          </w:p>
        </w:tc>
      </w:tr>
      <w:tr>
        <w:trPr>
          <w:trHeight w:val="209"/>
        </w:trPr>
        <w:tc>
          <w:tcPr>
            <w:tcW w:w="6900" w:type="dxa"/>
            <w:vAlign w:val="bottom"/>
            <w:shd w:val="clear" w:color="auto" w:fill="FEFEFE"/>
          </w:tcPr>
          <w:p>
            <w:pPr>
              <w:spacing w:after="0"/>
              <w:rPr>
                <w:sz w:val="18"/>
                <w:szCs w:val="18"/>
                <w:color w:val="auto"/>
              </w:rPr>
            </w:pPr>
          </w:p>
        </w:tc>
        <w:tc>
          <w:tcPr>
            <w:tcW w:w="1740" w:type="dxa"/>
            <w:vAlign w:val="bottom"/>
            <w:shd w:val="clear" w:color="auto" w:fill="FEFEFE"/>
          </w:tcPr>
          <w:p>
            <w:pPr>
              <w:jc w:val="right"/>
              <w:ind w:right="88"/>
              <w:spacing w:after="0"/>
              <w:rPr>
                <w:sz w:val="20"/>
                <w:szCs w:val="20"/>
                <w:color w:val="auto"/>
              </w:rPr>
            </w:pPr>
            <w:r>
              <w:rPr>
                <w:rFonts w:ascii="Times New Roman" w:cs="Times New Roman" w:eastAsia="Times New Roman" w:hAnsi="Times New Roman"/>
                <w:sz w:val="16"/>
                <w:szCs w:val="16"/>
                <w:color w:val="auto"/>
              </w:rPr>
              <w:t>common stock issued</w:t>
            </w:r>
          </w:p>
        </w:tc>
        <w:tc>
          <w:tcPr>
            <w:tcW w:w="30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720" w:type="dxa"/>
            <w:vAlign w:val="bottom"/>
            <w:gridSpan w:val="2"/>
            <w:shd w:val="clear" w:color="auto" w:fill="FEFEFE"/>
          </w:tcPr>
          <w:p>
            <w:pPr>
              <w:jc w:val="center"/>
              <w:ind w:right="260"/>
              <w:spacing w:after="0"/>
              <w:rPr>
                <w:sz w:val="20"/>
                <w:szCs w:val="20"/>
                <w:color w:val="auto"/>
              </w:rPr>
            </w:pPr>
            <w:r>
              <w:rPr>
                <w:rFonts w:ascii="Times New Roman" w:cs="Times New Roman" w:eastAsia="Times New Roman" w:hAnsi="Times New Roman"/>
                <w:sz w:val="16"/>
                <w:szCs w:val="16"/>
                <w:color w:val="auto"/>
              </w:rPr>
              <w:t>common stock issued</w:t>
            </w:r>
          </w:p>
        </w:tc>
      </w:tr>
      <w:tr>
        <w:trPr>
          <w:trHeight w:val="220"/>
        </w:trPr>
        <w:tc>
          <w:tcPr>
            <w:tcW w:w="6900" w:type="dxa"/>
            <w:vAlign w:val="bottom"/>
            <w:tcBorders>
              <w:top w:val="single" w:sz="8" w:color="E7E7E3"/>
            </w:tcBorders>
            <w:shd w:val="clear" w:color="auto" w:fill="E7E7E3"/>
          </w:tcPr>
          <w:p>
            <w:pPr>
              <w:spacing w:after="0" w:line="220" w:lineRule="exact"/>
              <w:rPr>
                <w:sz w:val="20"/>
                <w:szCs w:val="20"/>
                <w:color w:val="auto"/>
              </w:rPr>
            </w:pPr>
            <w:r>
              <w:rPr>
                <w:rFonts w:ascii="Times New Roman" w:cs="Times New Roman" w:eastAsia="Times New Roman" w:hAnsi="Times New Roman"/>
                <w:sz w:val="20"/>
                <w:szCs w:val="20"/>
                <w:color w:val="auto"/>
              </w:rPr>
              <w:t>Fiscal 2024</w:t>
            </w:r>
          </w:p>
        </w:tc>
        <w:tc>
          <w:tcPr>
            <w:tcW w:w="174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42,609</w:t>
            </w:r>
          </w:p>
        </w:tc>
        <w:tc>
          <w:tcPr>
            <w:tcW w:w="300" w:type="dxa"/>
            <w:vAlign w:val="bottom"/>
            <w:tcBorders>
              <w:top w:val="single" w:sz="8" w:color="E7E7E3"/>
            </w:tcBorders>
            <w:shd w:val="clear" w:color="auto" w:fill="E7E7E3"/>
          </w:tcPr>
          <w:p>
            <w:pPr>
              <w:spacing w:after="0"/>
              <w:rPr>
                <w:sz w:val="19"/>
                <w:szCs w:val="19"/>
                <w:color w:val="auto"/>
              </w:rPr>
            </w:pPr>
          </w:p>
        </w:tc>
        <w:tc>
          <w:tcPr>
            <w:tcW w:w="14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top w:val="single" w:sz="8" w:color="auto"/>
            </w:tcBorders>
            <w:shd w:val="clear" w:color="auto" w:fill="E7E7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139,987</w:t>
            </w: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69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Fiscal 2023</w:t>
            </w:r>
          </w:p>
        </w:tc>
        <w:tc>
          <w:tcPr>
            <w:tcW w:w="1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59,532</w:t>
            </w:r>
          </w:p>
        </w:tc>
        <w:tc>
          <w:tcPr>
            <w:tcW w:w="300" w:type="dxa"/>
            <w:vAlign w:val="bottom"/>
            <w:shd w:val="clear" w:color="auto" w:fill="FEFEFE"/>
          </w:tcPr>
          <w:p>
            <w:pPr>
              <w:spacing w:after="0"/>
              <w:rPr>
                <w:sz w:val="19"/>
                <w:szCs w:val="19"/>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301,578</w:t>
            </w:r>
          </w:p>
        </w:tc>
        <w:tc>
          <w:tcPr>
            <w:tcW w:w="100" w:type="dxa"/>
            <w:vAlign w:val="bottom"/>
            <w:shd w:val="clear" w:color="auto" w:fill="FEFEFE"/>
          </w:tcPr>
          <w:p>
            <w:pPr>
              <w:spacing w:after="0"/>
              <w:rPr>
                <w:sz w:val="19"/>
                <w:szCs w:val="19"/>
                <w:color w:val="auto"/>
              </w:rPr>
            </w:pPr>
          </w:p>
        </w:tc>
      </w:tr>
      <w:tr>
        <w:trPr>
          <w:trHeight w:val="230"/>
        </w:trPr>
        <w:tc>
          <w:tcPr>
            <w:tcW w:w="690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Fiscal 2022</w:t>
            </w:r>
          </w:p>
        </w:tc>
        <w:tc>
          <w:tcPr>
            <w:tcW w:w="17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73,024</w:t>
            </w:r>
          </w:p>
        </w:tc>
        <w:tc>
          <w:tcPr>
            <w:tcW w:w="4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359,208</w:t>
            </w:r>
          </w:p>
        </w:tc>
        <w:tc>
          <w:tcPr>
            <w:tcW w:w="100" w:type="dxa"/>
            <w:vAlign w:val="bottom"/>
            <w:shd w:val="clear" w:color="auto" w:fill="E7E7E3"/>
          </w:tcPr>
          <w:p>
            <w:pPr>
              <w:spacing w:after="0"/>
              <w:rPr>
                <w:sz w:val="19"/>
                <w:szCs w:val="19"/>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February 1, 2025, 591,925 shares remained available for grant under the Non-Employee Director Compensation Plan.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EMPLOYEE BENEFIT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of Retirement Plans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acquisition of Casual Male Corp. in May 2002, the Company assumed the assets and liabilities of the frozen Casual Male Noncontributory Pension Plan “Casual Male Corp. Retirement Plan,” which was previously known as the J. Baker, Inc. Qualified Plan (the “Pension Plan”) and the frozen Casual Male Supplemental Executive Retirement Plan ("SERP"). In the second quarter of fiscal 2023, the Company's Board of Directors (the "Board") approved the termination of these frozen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Pension Plan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3, 2023, the Audit Committee approved the termination of the Pension Plan, which was then approved and ratified by the Board on May 4, 2023 with a final termination approval on June 8, 2023. By the end of fiscal 2023, the Company completed the settlement of all plan assets. Results for fiscal 2023 included a charge of $5.6 million, representing recognition of the unrealized loss in "Accumulated Other Comprehensive Loss" on the Consolidated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SERP</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May 3, 2023, the Audit Committee approved the termination of the SERP, which was then approved and ratified by the Board on May 4, 2023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During fiscal 2023, the Company completed the termination of the SERP through the purchase of a nonparticipating annuity. In connection with that termination, the Company made a cash contribution of $0.4 million and recognized a loss on the termination of the plan of $57,000, which included the recognition of the unrealized loss of $31,000 in Accumulated Other Comprehensive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one defined contribution plan, the Destination XL Group, Inc. 401(k) Savings Plan (the “401(k) Plan”). Under the 401(k) Plan, the Company offers a qualified automatic contribution arrangement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recognized $2.3 million, $2.4 million and $2.1 million of expense under the 401(k) Plan in fiscal 2024, 2023 and 2022, respectively.</w:t>
      </w:r>
    </w:p>
    <w:p>
      <w:pPr>
        <w:sectPr>
          <w:pgSz w:w="11880" w:h="15480" w:orient="portrait"/>
          <w:cols w:equalWidth="0" w:num="1">
            <w:col w:w="10800"/>
          </w:cols>
          <w:pgMar w:left="540" w:top="6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656" w:right="5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K. FAIR VALUE MEASUREMENT</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0"/>
          <w:szCs w:val="20"/>
          <w:color w:val="auto"/>
        </w:rPr>
        <w:t>At February 1, 2025 and February 3, 2024, the Company held U.S. treasury bills, which were classified as held-to maturity and carried at amortized cost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6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76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520" w:type="dxa"/>
            <w:vAlign w:val="bottom"/>
            <w:shd w:val="clear" w:color="auto" w:fill="FEFEFE"/>
          </w:tcPr>
          <w:p>
            <w:pPr>
              <w:ind w:left="160"/>
              <w:spacing w:after="0"/>
              <w:rPr>
                <w:sz w:val="20"/>
                <w:szCs w:val="20"/>
                <w:color w:val="auto"/>
              </w:rPr>
            </w:pPr>
            <w:r>
              <w:rPr>
                <w:rFonts w:ascii="Times New Roman" w:cs="Times New Roman" w:eastAsia="Times New Roman" w:hAnsi="Times New Roman"/>
                <w:sz w:val="20"/>
                <w:szCs w:val="20"/>
                <w:color w:val="auto"/>
              </w:rPr>
              <w:t>Fair Value</w:t>
            </w:r>
          </w:p>
        </w:tc>
        <w:tc>
          <w:tcPr>
            <w:tcW w:w="220" w:type="dxa"/>
            <w:vAlign w:val="bottom"/>
            <w:shd w:val="clear" w:color="auto" w:fill="FEFEFE"/>
          </w:tcPr>
          <w:p>
            <w:pPr>
              <w:spacing w:after="0"/>
              <w:rPr>
                <w:sz w:val="21"/>
                <w:szCs w:val="21"/>
                <w:color w:val="auto"/>
              </w:rPr>
            </w:pPr>
          </w:p>
        </w:tc>
        <w:tc>
          <w:tcPr>
            <w:tcW w:w="146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r>
        <w:trPr>
          <w:trHeight w:val="233"/>
        </w:trPr>
        <w:tc>
          <w:tcPr>
            <w:tcW w:w="3960" w:type="dxa"/>
            <w:vAlign w:val="bottom"/>
            <w:shd w:val="clear" w:color="auto" w:fill="FEFEFE"/>
          </w:tcPr>
          <w:p>
            <w:pPr>
              <w:spacing w:after="0"/>
              <w:rPr>
                <w:sz w:val="20"/>
                <w:szCs w:val="20"/>
                <w:color w:val="auto"/>
              </w:rPr>
            </w:pPr>
          </w:p>
        </w:tc>
        <w:tc>
          <w:tcPr>
            <w:tcW w:w="13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7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Quoted Prices in</w:t>
            </w:r>
          </w:p>
        </w:tc>
        <w:tc>
          <w:tcPr>
            <w:tcW w:w="260" w:type="dxa"/>
            <w:vAlign w:val="bottom"/>
            <w:shd w:val="clear" w:color="auto" w:fill="FEFEFE"/>
          </w:tcPr>
          <w:p>
            <w:pPr>
              <w:spacing w:after="0"/>
              <w:rPr>
                <w:sz w:val="20"/>
                <w:szCs w:val="20"/>
                <w:color w:val="auto"/>
              </w:rPr>
            </w:pPr>
          </w:p>
        </w:tc>
        <w:tc>
          <w:tcPr>
            <w:tcW w:w="15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4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Significant</w:t>
            </w:r>
          </w:p>
        </w:tc>
        <w:tc>
          <w:tcPr>
            <w:tcW w:w="100" w:type="dxa"/>
            <w:vAlign w:val="bottom"/>
            <w:shd w:val="clear" w:color="auto" w:fill="FEFEFE"/>
          </w:tcPr>
          <w:p>
            <w:pPr>
              <w:spacing w:after="0"/>
              <w:rPr>
                <w:sz w:val="20"/>
                <w:szCs w:val="20"/>
                <w:color w:val="auto"/>
              </w:rPr>
            </w:pPr>
          </w:p>
        </w:tc>
      </w:tr>
      <w:tr>
        <w:trPr>
          <w:trHeight w:val="230"/>
        </w:trPr>
        <w:tc>
          <w:tcPr>
            <w:tcW w:w="396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7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Active Markets for</w:t>
            </w:r>
          </w:p>
        </w:tc>
        <w:tc>
          <w:tcPr>
            <w:tcW w:w="26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Significant</w:t>
            </w:r>
          </w:p>
        </w:tc>
        <w:tc>
          <w:tcPr>
            <w:tcW w:w="220" w:type="dxa"/>
            <w:vAlign w:val="bottom"/>
            <w:shd w:val="clear" w:color="auto" w:fill="FEFEFE"/>
          </w:tcPr>
          <w:p>
            <w:pPr>
              <w:spacing w:after="0"/>
              <w:rPr>
                <w:sz w:val="19"/>
                <w:szCs w:val="19"/>
                <w:color w:val="auto"/>
              </w:rPr>
            </w:pPr>
          </w:p>
        </w:tc>
        <w:tc>
          <w:tcPr>
            <w:tcW w:w="14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Unobservable</w:t>
            </w:r>
          </w:p>
        </w:tc>
        <w:tc>
          <w:tcPr>
            <w:tcW w:w="100" w:type="dxa"/>
            <w:vAlign w:val="bottom"/>
            <w:shd w:val="clear" w:color="auto" w:fill="FEFEFE"/>
          </w:tcPr>
          <w:p>
            <w:pPr>
              <w:spacing w:after="0"/>
              <w:rPr>
                <w:sz w:val="19"/>
                <w:szCs w:val="19"/>
                <w:color w:val="auto"/>
              </w:rPr>
            </w:pPr>
          </w:p>
        </w:tc>
      </w:tr>
      <w:tr>
        <w:trPr>
          <w:trHeight w:val="230"/>
        </w:trPr>
        <w:tc>
          <w:tcPr>
            <w:tcW w:w="396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7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Identical Assets</w:t>
            </w:r>
          </w:p>
        </w:tc>
        <w:tc>
          <w:tcPr>
            <w:tcW w:w="260" w:type="dxa"/>
            <w:vAlign w:val="bottom"/>
            <w:shd w:val="clear" w:color="auto" w:fill="FEFEFE"/>
          </w:tcPr>
          <w:p>
            <w:pPr>
              <w:spacing w:after="0"/>
              <w:rPr>
                <w:sz w:val="19"/>
                <w:szCs w:val="19"/>
                <w:color w:val="auto"/>
              </w:rPr>
            </w:pPr>
          </w:p>
        </w:tc>
        <w:tc>
          <w:tcPr>
            <w:tcW w:w="15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Observable Inputs</w:t>
            </w:r>
          </w:p>
        </w:tc>
        <w:tc>
          <w:tcPr>
            <w:tcW w:w="220" w:type="dxa"/>
            <w:vAlign w:val="bottom"/>
            <w:shd w:val="clear" w:color="auto" w:fill="FEFEFE"/>
          </w:tcPr>
          <w:p>
            <w:pPr>
              <w:spacing w:after="0"/>
              <w:rPr>
                <w:sz w:val="19"/>
                <w:szCs w:val="19"/>
                <w:color w:val="auto"/>
              </w:rPr>
            </w:pPr>
          </w:p>
        </w:tc>
        <w:tc>
          <w:tcPr>
            <w:tcW w:w="14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Inputs</w:t>
            </w:r>
          </w:p>
        </w:tc>
        <w:tc>
          <w:tcPr>
            <w:tcW w:w="100" w:type="dxa"/>
            <w:vAlign w:val="bottom"/>
            <w:shd w:val="clear" w:color="auto" w:fill="FEFEFE"/>
          </w:tcPr>
          <w:p>
            <w:pPr>
              <w:spacing w:after="0"/>
              <w:rPr>
                <w:sz w:val="19"/>
                <w:szCs w:val="19"/>
                <w:color w:val="auto"/>
              </w:rPr>
            </w:pPr>
          </w:p>
        </w:tc>
      </w:tr>
      <w:tr>
        <w:trPr>
          <w:trHeight w:val="251"/>
        </w:trPr>
        <w:tc>
          <w:tcPr>
            <w:tcW w:w="396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Carrying value</w:t>
            </w:r>
          </w:p>
        </w:tc>
        <w:tc>
          <w:tcPr>
            <w:tcW w:w="220" w:type="dxa"/>
            <w:vAlign w:val="bottom"/>
            <w:tcBorders>
              <w:bottom w:val="single" w:sz="8" w:color="E7E7E3"/>
            </w:tcBorders>
            <w:shd w:val="clear" w:color="auto" w:fill="FEFEFE"/>
          </w:tcPr>
          <w:p>
            <w:pPr>
              <w:spacing w:after="0"/>
              <w:rPr>
                <w:sz w:val="21"/>
                <w:szCs w:val="21"/>
                <w:color w:val="auto"/>
              </w:rPr>
            </w:pPr>
          </w:p>
        </w:tc>
        <w:tc>
          <w:tcPr>
            <w:tcW w:w="1760" w:type="dxa"/>
            <w:vAlign w:val="bottom"/>
            <w:tcBorders>
              <w:bottom w:val="single" w:sz="8" w:color="auto"/>
            </w:tcBorders>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color w:val="auto"/>
              </w:rPr>
              <w:t>(Level 1)</w:t>
            </w:r>
          </w:p>
        </w:tc>
        <w:tc>
          <w:tcPr>
            <w:tcW w:w="260" w:type="dxa"/>
            <w:vAlign w:val="bottom"/>
            <w:tcBorders>
              <w:bottom w:val="single" w:sz="8" w:color="E7E7E3"/>
            </w:tcBorders>
            <w:shd w:val="clear" w:color="auto" w:fill="FEFEFE"/>
          </w:tcPr>
          <w:p>
            <w:pPr>
              <w:spacing w:after="0"/>
              <w:rPr>
                <w:sz w:val="21"/>
                <w:szCs w:val="21"/>
                <w:color w:val="auto"/>
              </w:rPr>
            </w:pPr>
          </w:p>
        </w:tc>
        <w:tc>
          <w:tcPr>
            <w:tcW w:w="152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(Level 2)</w:t>
            </w:r>
          </w:p>
        </w:tc>
        <w:tc>
          <w:tcPr>
            <w:tcW w:w="220" w:type="dxa"/>
            <w:vAlign w:val="bottom"/>
            <w:tcBorders>
              <w:bottom w:val="single" w:sz="8" w:color="E7E7E3"/>
            </w:tcBorders>
            <w:shd w:val="clear" w:color="auto" w:fill="FEFEFE"/>
          </w:tcPr>
          <w:p>
            <w:pPr>
              <w:spacing w:after="0"/>
              <w:rPr>
                <w:sz w:val="21"/>
                <w:szCs w:val="21"/>
                <w:color w:val="auto"/>
              </w:rPr>
            </w:pPr>
          </w:p>
        </w:tc>
        <w:tc>
          <w:tcPr>
            <w:tcW w:w="146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(Level 3)</w:t>
            </w:r>
          </w:p>
        </w:tc>
        <w:tc>
          <w:tcPr>
            <w:tcW w:w="100" w:type="dxa"/>
            <w:vAlign w:val="bottom"/>
            <w:tcBorders>
              <w:bottom w:val="single" w:sz="8" w:color="E7E7E3"/>
            </w:tcBorders>
            <w:shd w:val="clear" w:color="auto" w:fill="FEFEFE"/>
          </w:tcPr>
          <w:p>
            <w:pPr>
              <w:spacing w:after="0"/>
              <w:rPr>
                <w:sz w:val="21"/>
                <w:szCs w:val="21"/>
                <w:color w:val="auto"/>
              </w:rPr>
            </w:pPr>
          </w:p>
        </w:tc>
      </w:tr>
      <w:tr>
        <w:trPr>
          <w:trHeight w:val="234"/>
        </w:trPr>
        <w:tc>
          <w:tcPr>
            <w:tcW w:w="39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At February 1, 2025:</w:t>
            </w:r>
          </w:p>
        </w:tc>
        <w:tc>
          <w:tcPr>
            <w:tcW w:w="130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1760" w:type="dxa"/>
            <w:vAlign w:val="bottom"/>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52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146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44"/>
        </w:trPr>
        <w:tc>
          <w:tcPr>
            <w:tcW w:w="39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Short-term investments</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36,516</w:t>
            </w:r>
          </w:p>
        </w:tc>
        <w:tc>
          <w:tcPr>
            <w:tcW w:w="220" w:type="dxa"/>
            <w:vAlign w:val="bottom"/>
            <w:shd w:val="clear" w:color="auto" w:fill="FEFEFE"/>
          </w:tcPr>
          <w:p>
            <w:pPr>
              <w:spacing w:after="0"/>
              <w:rPr>
                <w:sz w:val="21"/>
                <w:szCs w:val="21"/>
                <w:color w:val="auto"/>
              </w:rPr>
            </w:pPr>
          </w:p>
        </w:tc>
        <w:tc>
          <w:tcPr>
            <w:tcW w:w="1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36,560</w:t>
            </w:r>
          </w:p>
        </w:tc>
        <w:tc>
          <w:tcPr>
            <w:tcW w:w="260" w:type="dxa"/>
            <w:vAlign w:val="bottom"/>
            <w:shd w:val="clear" w:color="auto" w:fill="FEFEFE"/>
          </w:tcPr>
          <w:p>
            <w:pPr>
              <w:spacing w:after="0"/>
              <w:rPr>
                <w:sz w:val="21"/>
                <w:szCs w:val="21"/>
                <w:color w:val="auto"/>
              </w:rPr>
            </w:pPr>
          </w:p>
        </w:tc>
        <w:tc>
          <w:tcPr>
            <w:tcW w:w="1520" w:type="dxa"/>
            <w:vAlign w:val="bottom"/>
            <w:shd w:val="clear" w:color="auto" w:fill="FEFEFE"/>
          </w:tcPr>
          <w:p>
            <w:pPr>
              <w:ind w:left="13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FEFEFE"/>
          </w:tcPr>
          <w:p>
            <w:pPr>
              <w:spacing w:after="0"/>
              <w:rPr>
                <w:sz w:val="21"/>
                <w:szCs w:val="21"/>
                <w:color w:val="auto"/>
              </w:rPr>
            </w:pPr>
          </w:p>
        </w:tc>
        <w:tc>
          <w:tcPr>
            <w:tcW w:w="1460" w:type="dxa"/>
            <w:vAlign w:val="bottom"/>
            <w:shd w:val="clear" w:color="auto" w:fill="FEFEFE"/>
          </w:tcPr>
          <w:p>
            <w:pPr>
              <w:ind w:left="1240"/>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shd w:val="clear" w:color="auto" w:fill="FEFEFE"/>
          </w:tcPr>
          <w:p>
            <w:pPr>
              <w:spacing w:after="0"/>
              <w:rPr>
                <w:sz w:val="21"/>
                <w:szCs w:val="21"/>
                <w:color w:val="auto"/>
              </w:rPr>
            </w:pPr>
          </w:p>
        </w:tc>
      </w:tr>
      <w:tr>
        <w:trPr>
          <w:trHeight w:val="244"/>
        </w:trPr>
        <w:tc>
          <w:tcPr>
            <w:tcW w:w="3960" w:type="dxa"/>
            <w:vAlign w:val="bottom"/>
            <w:shd w:val="clear" w:color="auto" w:fill="E7E7E3"/>
          </w:tcPr>
          <w:p>
            <w:pPr>
              <w:spacing w:after="0"/>
              <w:rPr>
                <w:sz w:val="21"/>
                <w:szCs w:val="21"/>
                <w:color w:val="auto"/>
              </w:rPr>
            </w:pPr>
          </w:p>
        </w:tc>
        <w:tc>
          <w:tcPr>
            <w:tcW w:w="130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76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52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46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44"/>
        </w:trPr>
        <w:tc>
          <w:tcPr>
            <w:tcW w:w="39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At February 3, 2024:</w:t>
            </w:r>
          </w:p>
        </w:tc>
        <w:tc>
          <w:tcPr>
            <w:tcW w:w="130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76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5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46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r>
        <w:trPr>
          <w:trHeight w:val="244"/>
        </w:trPr>
        <w:tc>
          <w:tcPr>
            <w:tcW w:w="3960" w:type="dxa"/>
            <w:vAlign w:val="bottom"/>
            <w:shd w:val="clear" w:color="auto" w:fill="E7E7E3"/>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6,047</w:t>
            </w:r>
          </w:p>
        </w:tc>
        <w:tc>
          <w:tcPr>
            <w:tcW w:w="220" w:type="dxa"/>
            <w:vAlign w:val="bottom"/>
            <w:shd w:val="clear" w:color="auto" w:fill="E7E7E3"/>
          </w:tcPr>
          <w:p>
            <w:pPr>
              <w:spacing w:after="0"/>
              <w:rPr>
                <w:sz w:val="21"/>
                <w:szCs w:val="21"/>
                <w:color w:val="auto"/>
              </w:rPr>
            </w:pPr>
          </w:p>
        </w:tc>
        <w:tc>
          <w:tcPr>
            <w:tcW w:w="1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6,052</w:t>
            </w:r>
          </w:p>
        </w:tc>
        <w:tc>
          <w:tcPr>
            <w:tcW w:w="260" w:type="dxa"/>
            <w:vAlign w:val="bottom"/>
            <w:shd w:val="clear" w:color="auto" w:fill="E7E7E3"/>
          </w:tcPr>
          <w:p>
            <w:pPr>
              <w:spacing w:after="0"/>
              <w:rPr>
                <w:sz w:val="21"/>
                <w:szCs w:val="21"/>
                <w:color w:val="auto"/>
              </w:rPr>
            </w:pPr>
          </w:p>
        </w:tc>
        <w:tc>
          <w:tcPr>
            <w:tcW w:w="1520" w:type="dxa"/>
            <w:vAlign w:val="bottom"/>
            <w:shd w:val="clear" w:color="auto" w:fill="E7E7E3"/>
          </w:tcPr>
          <w:p>
            <w:pPr>
              <w:ind w:left="13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7E7E3"/>
          </w:tcPr>
          <w:p>
            <w:pPr>
              <w:spacing w:after="0"/>
              <w:rPr>
                <w:sz w:val="21"/>
                <w:szCs w:val="21"/>
                <w:color w:val="auto"/>
              </w:rPr>
            </w:pPr>
          </w:p>
        </w:tc>
        <w:tc>
          <w:tcPr>
            <w:tcW w:w="1460" w:type="dxa"/>
            <w:vAlign w:val="bottom"/>
            <w:shd w:val="clear" w:color="auto" w:fill="E7E7E3"/>
          </w:tcPr>
          <w:p>
            <w:pPr>
              <w:ind w:left="1240"/>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shd w:val="clear" w:color="auto" w:fill="E7E7E3"/>
          </w:tcPr>
          <w:p>
            <w:pPr>
              <w:spacing w:after="0"/>
              <w:rPr>
                <w:sz w:val="21"/>
                <w:szCs w:val="21"/>
                <w:color w:val="auto"/>
              </w:rPr>
            </w:pPr>
          </w:p>
        </w:tc>
      </w:tr>
      <w:tr>
        <w:trPr>
          <w:trHeight w:val="244"/>
        </w:trPr>
        <w:tc>
          <w:tcPr>
            <w:tcW w:w="396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Short-term investments</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32,459</w:t>
            </w:r>
          </w:p>
        </w:tc>
        <w:tc>
          <w:tcPr>
            <w:tcW w:w="220" w:type="dxa"/>
            <w:vAlign w:val="bottom"/>
            <w:shd w:val="clear" w:color="auto" w:fill="FEFEFE"/>
          </w:tcPr>
          <w:p>
            <w:pPr>
              <w:spacing w:after="0"/>
              <w:rPr>
                <w:sz w:val="21"/>
                <w:szCs w:val="21"/>
                <w:color w:val="auto"/>
              </w:rPr>
            </w:pPr>
          </w:p>
        </w:tc>
        <w:tc>
          <w:tcPr>
            <w:tcW w:w="1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32,479</w:t>
            </w:r>
          </w:p>
        </w:tc>
        <w:tc>
          <w:tcPr>
            <w:tcW w:w="260" w:type="dxa"/>
            <w:vAlign w:val="bottom"/>
            <w:shd w:val="clear" w:color="auto" w:fill="FEFEFE"/>
          </w:tcPr>
          <w:p>
            <w:pPr>
              <w:spacing w:after="0"/>
              <w:rPr>
                <w:sz w:val="21"/>
                <w:szCs w:val="21"/>
                <w:color w:val="auto"/>
              </w:rPr>
            </w:pPr>
          </w:p>
        </w:tc>
        <w:tc>
          <w:tcPr>
            <w:tcW w:w="1520" w:type="dxa"/>
            <w:vAlign w:val="bottom"/>
            <w:shd w:val="clear" w:color="auto" w:fill="FEFEFE"/>
          </w:tcPr>
          <w:p>
            <w:pPr>
              <w:ind w:left="13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FEFEFE"/>
          </w:tcPr>
          <w:p>
            <w:pPr>
              <w:spacing w:after="0"/>
              <w:rPr>
                <w:sz w:val="21"/>
                <w:szCs w:val="21"/>
                <w:color w:val="auto"/>
              </w:rPr>
            </w:pPr>
          </w:p>
        </w:tc>
        <w:tc>
          <w:tcPr>
            <w:tcW w:w="1460" w:type="dxa"/>
            <w:vAlign w:val="bottom"/>
            <w:shd w:val="clear" w:color="auto" w:fill="FEFEFE"/>
          </w:tcPr>
          <w:p>
            <w:pPr>
              <w:ind w:left="1240"/>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shd w:val="clear" w:color="auto" w:fill="FEFEFE"/>
          </w:tcPr>
          <w:p>
            <w:pPr>
              <w:spacing w:after="0"/>
              <w:rPr>
                <w:sz w:val="21"/>
                <w:szCs w:val="21"/>
                <w:color w:val="auto"/>
              </w:rPr>
            </w:pPr>
          </w:p>
        </w:tc>
      </w:tr>
      <w:tr>
        <w:trPr>
          <w:trHeight w:val="244"/>
        </w:trPr>
        <w:tc>
          <w:tcPr>
            <w:tcW w:w="3960" w:type="dxa"/>
            <w:vAlign w:val="bottom"/>
            <w:shd w:val="clear" w:color="auto" w:fill="E7E7E3"/>
          </w:tcPr>
          <w:p>
            <w:pPr>
              <w:spacing w:after="0"/>
              <w:rPr>
                <w:sz w:val="21"/>
                <w:szCs w:val="21"/>
                <w:color w:val="auto"/>
              </w:rPr>
            </w:pPr>
          </w:p>
        </w:tc>
        <w:tc>
          <w:tcPr>
            <w:tcW w:w="130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760" w:type="dxa"/>
            <w:vAlign w:val="bottom"/>
            <w:shd w:val="clear" w:color="auto" w:fill="E7E7E3"/>
          </w:tcPr>
          <w:p>
            <w:pPr>
              <w:spacing w:after="0"/>
              <w:rPr>
                <w:sz w:val="21"/>
                <w:szCs w:val="21"/>
                <w:color w:val="auto"/>
              </w:rPr>
            </w:pPr>
          </w:p>
        </w:tc>
        <w:tc>
          <w:tcPr>
            <w:tcW w:w="260" w:type="dxa"/>
            <w:vAlign w:val="bottom"/>
            <w:shd w:val="clear" w:color="auto" w:fill="E7E7E3"/>
          </w:tcPr>
          <w:p>
            <w:pPr>
              <w:spacing w:after="0"/>
              <w:rPr>
                <w:sz w:val="21"/>
                <w:szCs w:val="21"/>
                <w:color w:val="auto"/>
              </w:rPr>
            </w:pPr>
          </w:p>
        </w:tc>
        <w:tc>
          <w:tcPr>
            <w:tcW w:w="152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146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-1702435</wp:posOffset>
            </wp:positionV>
            <wp:extent cx="333819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38195" cy="3175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STOCK REPURCHASE PROGRAM</w:t>
      </w:r>
    </w:p>
    <w:p>
      <w:pPr>
        <w:spacing w:after="0" w:line="12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During the first quarter of fiscal 2024, the Company repurchased 52,802 shares at a total cost, including fees, of $211,182, completing its stock repurchase program that was approved by the Board in March 2023.</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3, 2024, the Board approved a new stock repurchase program pursuant to which the Company was authorized to repurchase up to $15.0 million of its common stock, including excise tax, through open market and privately negotiated transactions. The stock repurchase program expired on February 1, 2025. During fiscal 2024, the Company repurchased 4.8 million shares at a total cost, including fees, of $13.5 million under this stock repurchase program.</w:t>
      </w:r>
    </w:p>
    <w:p>
      <w:pPr>
        <w:spacing w:after="0" w:line="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Inflation Reduction Act of 2022 imposed a nondeductible 1% excise tax on the net value of certain share repurchases made after December 31, 2022. The applicable excise tax is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February 1, 2025, the Company had accrued $0.1 million for the payment of excise taxes.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SEGMENT DISCLOSURES</w:t>
      </w:r>
    </w:p>
    <w:p>
      <w:pPr>
        <w:spacing w:after="0" w:line="23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The Company sells clothing, footwear and accessories to big + tall men through its 288 store locations and its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CODM evaluates the performance of its operating segments and allocates resources based on sales performance, merchandise margins and 4-wall contribution (a Non-GAAP measure). The accounting policies are the same as those described in the “Summary of Significant Accounting Policies” for the Company. The Company defines 4-wall contribution, which the CODM considers the performance measure for segment profitability, as segment revenues less cost of goods sold, occupancy costs and selling expenses.</w:t>
      </w:r>
    </w:p>
    <w:p>
      <w:pPr>
        <w:spacing w:after="0" w:line="18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9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The following table is a summary of our segment disclosures and a reconciliation of 4-wall contribution (a Non-GAAP measure) to net income (a GAAP measure):</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653" w:right="54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51"/>
        </w:trPr>
        <w:tc>
          <w:tcPr>
            <w:tcW w:w="5460" w:type="dxa"/>
            <w:vAlign w:val="bottom"/>
            <w:tcBorders>
              <w:bottom w:val="single" w:sz="8" w:color="E7E7E3"/>
            </w:tcBorders>
            <w:shd w:val="clear" w:color="auto" w:fill="FEFEFE"/>
          </w:tcPr>
          <w:p>
            <w:pPr>
              <w:spacing w:after="0"/>
              <w:rPr>
                <w:sz w:val="21"/>
                <w:szCs w:val="21"/>
                <w:color w:val="auto"/>
              </w:rPr>
            </w:pPr>
          </w:p>
        </w:tc>
        <w:tc>
          <w:tcPr>
            <w:tcW w:w="160" w:type="dxa"/>
            <w:vAlign w:val="bottom"/>
            <w:tcBorders>
              <w:bottom w:val="single" w:sz="8" w:color="E7E7E3"/>
            </w:tcBorders>
            <w:shd w:val="clear" w:color="auto" w:fill="FEFEFE"/>
          </w:tcPr>
          <w:p>
            <w:pPr>
              <w:spacing w:after="0"/>
              <w:rPr>
                <w:sz w:val="21"/>
                <w:szCs w:val="21"/>
                <w:color w:val="auto"/>
              </w:rPr>
            </w:pPr>
          </w:p>
        </w:tc>
        <w:tc>
          <w:tcPr>
            <w:tcW w:w="2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Fiscal 2024</w:t>
            </w:r>
          </w:p>
        </w:tc>
        <w:tc>
          <w:tcPr>
            <w:tcW w:w="120" w:type="dxa"/>
            <w:vAlign w:val="bottom"/>
            <w:tcBorders>
              <w:bottom w:val="single" w:sz="8" w:color="E7E7E3"/>
            </w:tcBorders>
            <w:shd w:val="clear" w:color="auto" w:fill="FEFEFE"/>
          </w:tcPr>
          <w:p>
            <w:pPr>
              <w:spacing w:after="0"/>
              <w:rPr>
                <w:sz w:val="21"/>
                <w:szCs w:val="21"/>
                <w:color w:val="auto"/>
              </w:rPr>
            </w:pPr>
          </w:p>
        </w:tc>
        <w:tc>
          <w:tcPr>
            <w:tcW w:w="160" w:type="dxa"/>
            <w:vAlign w:val="bottom"/>
            <w:tcBorders>
              <w:bottom w:val="single" w:sz="8" w:color="E7E7E3"/>
            </w:tcBorders>
            <w:shd w:val="clear" w:color="auto" w:fill="FEFEFE"/>
          </w:tcPr>
          <w:p>
            <w:pPr>
              <w:spacing w:after="0"/>
              <w:rPr>
                <w:sz w:val="21"/>
                <w:szCs w:val="21"/>
                <w:color w:val="auto"/>
              </w:rPr>
            </w:pPr>
          </w:p>
        </w:tc>
        <w:tc>
          <w:tcPr>
            <w:tcW w:w="180" w:type="dxa"/>
            <w:vAlign w:val="bottom"/>
            <w:tcBorders>
              <w:bottom w:val="single" w:sz="8" w:color="auto"/>
            </w:tcBorders>
            <w:shd w:val="clear" w:color="auto" w:fill="FEFEFE"/>
          </w:tcPr>
          <w:p>
            <w:pPr>
              <w:spacing w:after="0"/>
              <w:rPr>
                <w:sz w:val="21"/>
                <w:szCs w:val="21"/>
                <w:color w:val="auto"/>
              </w:rPr>
            </w:pPr>
          </w:p>
        </w:tc>
        <w:tc>
          <w:tcPr>
            <w:tcW w:w="1320" w:type="dxa"/>
            <w:vAlign w:val="bottom"/>
            <w:tcBorders>
              <w:bottom w:val="single" w:sz="8" w:color="auto"/>
            </w:tcBorders>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Fiscal 2023</w:t>
            </w:r>
          </w:p>
        </w:tc>
        <w:tc>
          <w:tcPr>
            <w:tcW w:w="120" w:type="dxa"/>
            <w:vAlign w:val="bottom"/>
            <w:tcBorders>
              <w:bottom w:val="single" w:sz="8" w:color="E7E7E3"/>
            </w:tcBorders>
            <w:shd w:val="clear" w:color="auto" w:fill="FEFEFE"/>
          </w:tcPr>
          <w:p>
            <w:pPr>
              <w:spacing w:after="0"/>
              <w:rPr>
                <w:sz w:val="21"/>
                <w:szCs w:val="21"/>
                <w:color w:val="auto"/>
              </w:rPr>
            </w:pPr>
          </w:p>
        </w:tc>
        <w:tc>
          <w:tcPr>
            <w:tcW w:w="180" w:type="dxa"/>
            <w:vAlign w:val="bottom"/>
            <w:tcBorders>
              <w:bottom w:val="single" w:sz="8" w:color="E7E7E3"/>
            </w:tcBorders>
            <w:shd w:val="clear" w:color="auto" w:fill="FEFEFE"/>
          </w:tcPr>
          <w:p>
            <w:pPr>
              <w:spacing w:after="0"/>
              <w:rPr>
                <w:sz w:val="21"/>
                <w:szCs w:val="21"/>
                <w:color w:val="auto"/>
              </w:rPr>
            </w:pPr>
          </w:p>
        </w:tc>
        <w:tc>
          <w:tcPr>
            <w:tcW w:w="180" w:type="dxa"/>
            <w:vAlign w:val="bottom"/>
            <w:tcBorders>
              <w:bottom w:val="single" w:sz="8" w:color="auto"/>
            </w:tcBorders>
            <w:shd w:val="clear" w:color="auto" w:fill="FEFEFE"/>
          </w:tcPr>
          <w:p>
            <w:pPr>
              <w:spacing w:after="0"/>
              <w:rPr>
                <w:sz w:val="21"/>
                <w:szCs w:val="21"/>
                <w:color w:val="auto"/>
              </w:rPr>
            </w:pPr>
          </w:p>
        </w:tc>
        <w:tc>
          <w:tcPr>
            <w:tcW w:w="1320" w:type="dxa"/>
            <w:vAlign w:val="bottom"/>
            <w:tcBorders>
              <w:bottom w:val="single" w:sz="8" w:color="auto"/>
            </w:tcBorders>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color w:val="auto"/>
              </w:rPr>
              <w:t>Fiscal 2022</w:t>
            </w:r>
          </w:p>
        </w:tc>
        <w:tc>
          <w:tcPr>
            <w:tcW w:w="100" w:type="dxa"/>
            <w:vAlign w:val="bottom"/>
            <w:tcBorders>
              <w:bottom w:val="single" w:sz="8" w:color="E7E7E3"/>
            </w:tcBorders>
            <w:shd w:val="clear" w:color="auto" w:fill="FEFEFE"/>
          </w:tcPr>
          <w:p>
            <w:pPr>
              <w:spacing w:after="0"/>
              <w:rPr>
                <w:sz w:val="21"/>
                <w:szCs w:val="21"/>
                <w:color w:val="auto"/>
              </w:rPr>
            </w:pPr>
          </w:p>
        </w:tc>
      </w:tr>
      <w:tr>
        <w:trPr>
          <w:trHeight w:val="23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60" w:type="dxa"/>
            <w:vAlign w:val="bottom"/>
            <w:shd w:val="clear" w:color="auto" w:fill="E7E7E3"/>
          </w:tcPr>
          <w:p>
            <w:pPr>
              <w:spacing w:after="0"/>
              <w:rPr>
                <w:sz w:val="20"/>
                <w:szCs w:val="20"/>
                <w:color w:val="auto"/>
              </w:rPr>
            </w:pPr>
          </w:p>
        </w:tc>
        <w:tc>
          <w:tcPr>
            <w:tcW w:w="200" w:type="dxa"/>
            <w:vAlign w:val="bottom"/>
            <w:shd w:val="clear" w:color="auto" w:fill="E7E7E3"/>
          </w:tcPr>
          <w:p>
            <w:pPr>
              <w:spacing w:after="0"/>
              <w:rPr>
                <w:sz w:val="20"/>
                <w:szCs w:val="20"/>
                <w:color w:val="auto"/>
              </w:rPr>
            </w:pPr>
          </w:p>
        </w:tc>
        <w:tc>
          <w:tcPr>
            <w:tcW w:w="13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80" w:type="dxa"/>
            <w:vAlign w:val="bottom"/>
            <w:shd w:val="clear" w:color="auto" w:fill="E7E7E3"/>
          </w:tcPr>
          <w:p>
            <w:pPr>
              <w:spacing w:after="0"/>
              <w:rPr>
                <w:sz w:val="20"/>
                <w:szCs w:val="20"/>
                <w:color w:val="auto"/>
              </w:rPr>
            </w:pPr>
          </w:p>
        </w:tc>
        <w:tc>
          <w:tcPr>
            <w:tcW w:w="13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80" w:type="dxa"/>
            <w:vAlign w:val="bottom"/>
            <w:shd w:val="clear" w:color="auto" w:fill="E7E7E3"/>
          </w:tcPr>
          <w:p>
            <w:pPr>
              <w:spacing w:after="0"/>
              <w:rPr>
                <w:sz w:val="20"/>
                <w:szCs w:val="20"/>
                <w:color w:val="auto"/>
              </w:rPr>
            </w:pPr>
          </w:p>
        </w:tc>
        <w:tc>
          <w:tcPr>
            <w:tcW w:w="180" w:type="dxa"/>
            <w:vAlign w:val="bottom"/>
            <w:shd w:val="clear" w:color="auto" w:fill="E7E7E3"/>
          </w:tcPr>
          <w:p>
            <w:pPr>
              <w:spacing w:after="0"/>
              <w:rPr>
                <w:sz w:val="20"/>
                <w:szCs w:val="20"/>
                <w:color w:val="auto"/>
              </w:rPr>
            </w:pPr>
          </w:p>
        </w:tc>
        <w:tc>
          <w:tcPr>
            <w:tcW w:w="132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Sales</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467,015</w:t>
            </w:r>
          </w:p>
        </w:tc>
        <w:tc>
          <w:tcPr>
            <w:tcW w:w="1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521,815</w:t>
            </w:r>
          </w:p>
        </w:tc>
        <w:tc>
          <w:tcPr>
            <w:tcW w:w="1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545,838</w:t>
            </w:r>
          </w:p>
        </w:tc>
        <w:tc>
          <w:tcPr>
            <w:tcW w:w="100" w:type="dxa"/>
            <w:vAlign w:val="bottom"/>
            <w:shd w:val="clear" w:color="auto" w:fill="FEFEFE"/>
          </w:tcPr>
          <w:p>
            <w:pPr>
              <w:spacing w:after="0"/>
              <w:rPr>
                <w:sz w:val="21"/>
                <w:szCs w:val="21"/>
                <w:color w:val="auto"/>
              </w:rPr>
            </w:pPr>
          </w:p>
        </w:tc>
      </w:tr>
      <w:tr>
        <w:trPr>
          <w:trHeight w:val="24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(186,235)</w:t>
            </w: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(210,340)</w:t>
            </w: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(215,857)</w:t>
            </w: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Occupancy costs</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(63,585)</w:t>
            </w: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4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(59,053)</w:t>
            </w: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(57,383)</w:t>
            </w:r>
          </w:p>
        </w:tc>
      </w:tr>
      <w:tr>
        <w:trPr>
          <w:trHeight w:val="244"/>
        </w:trPr>
        <w:tc>
          <w:tcPr>
            <w:tcW w:w="546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spacing w:after="0"/>
              <w:rPr>
                <w:sz w:val="21"/>
                <w:szCs w:val="21"/>
                <w:color w:val="auto"/>
              </w:rPr>
            </w:pPr>
          </w:p>
        </w:tc>
      </w:tr>
      <w:tr>
        <w:trPr>
          <w:trHeight w:val="244"/>
        </w:trPr>
        <w:tc>
          <w:tcPr>
            <w:tcW w:w="546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Store compensation</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(53,765)</w:t>
            </w: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4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(54,103)</w:t>
            </w: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(55,423)</w:t>
            </w:r>
          </w:p>
        </w:tc>
      </w:tr>
      <w:tr>
        <w:trPr>
          <w:trHeight w:val="264"/>
        </w:trPr>
        <w:tc>
          <w:tcPr>
            <w:tcW w:w="5460" w:type="dxa"/>
            <w:vAlign w:val="bottom"/>
            <w:tcBorders>
              <w:bottom w:val="single" w:sz="8" w:color="E7E7E3"/>
            </w:tcBorders>
            <w:shd w:val="clear" w:color="auto" w:fill="E7E7E3"/>
          </w:tcPr>
          <w:p>
            <w:pPr>
              <w:ind w:left="60"/>
              <w:spacing w:after="0"/>
              <w:rPr>
                <w:sz w:val="20"/>
                <w:szCs w:val="20"/>
                <w:color w:val="auto"/>
              </w:rPr>
            </w:pPr>
            <w:r>
              <w:rPr>
                <w:rFonts w:ascii="Times New Roman" w:cs="Times New Roman" w:eastAsia="Times New Roman" w:hAnsi="Times New Roman"/>
                <w:sz w:val="20"/>
                <w:szCs w:val="20"/>
                <w:color w:val="auto"/>
              </w:rPr>
              <w:t>Other selling expenses</w:t>
            </w:r>
          </w:p>
        </w:tc>
        <w:tc>
          <w:tcPr>
            <w:tcW w:w="160" w:type="dxa"/>
            <w:vAlign w:val="bottom"/>
            <w:tcBorders>
              <w:bottom w:val="single" w:sz="8" w:color="E7E7E3"/>
            </w:tcBorders>
            <w:shd w:val="clear" w:color="auto" w:fill="E7E7E3"/>
          </w:tcPr>
          <w:p>
            <w:pPr>
              <w:spacing w:after="0"/>
              <w:rPr>
                <w:sz w:val="22"/>
                <w:szCs w:val="22"/>
                <w:color w:val="auto"/>
              </w:rPr>
            </w:pPr>
          </w:p>
        </w:tc>
        <w:tc>
          <w:tcPr>
            <w:tcW w:w="200" w:type="dxa"/>
            <w:vAlign w:val="bottom"/>
            <w:tcBorders>
              <w:bottom w:val="single" w:sz="8" w:color="auto"/>
            </w:tcBorders>
            <w:shd w:val="clear" w:color="auto" w:fill="E7E7E3"/>
          </w:tcPr>
          <w:p>
            <w:pPr>
              <w:spacing w:after="0"/>
              <w:rPr>
                <w:sz w:val="22"/>
                <w:szCs w:val="22"/>
                <w:color w:val="auto"/>
              </w:rPr>
            </w:pPr>
          </w:p>
        </w:tc>
        <w:tc>
          <w:tcPr>
            <w:tcW w:w="13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(26,928)</w:t>
            </w:r>
          </w:p>
        </w:tc>
        <w:tc>
          <w:tcPr>
            <w:tcW w:w="120" w:type="dxa"/>
            <w:vAlign w:val="bottom"/>
            <w:tcBorders>
              <w:bottom w:val="single" w:sz="8" w:color="E7E7E3"/>
            </w:tcBorders>
            <w:shd w:val="clear" w:color="auto" w:fill="E7E7E3"/>
          </w:tcPr>
          <w:p>
            <w:pPr>
              <w:spacing w:after="0"/>
              <w:rPr>
                <w:sz w:val="22"/>
                <w:szCs w:val="22"/>
                <w:color w:val="auto"/>
              </w:rPr>
            </w:pPr>
          </w:p>
        </w:tc>
        <w:tc>
          <w:tcPr>
            <w:tcW w:w="160" w:type="dxa"/>
            <w:vAlign w:val="bottom"/>
            <w:tcBorders>
              <w:bottom w:val="single" w:sz="8" w:color="auto"/>
            </w:tcBorders>
            <w:shd w:val="clear" w:color="auto" w:fill="E7E7E3"/>
          </w:tcPr>
          <w:p>
            <w:pPr>
              <w:spacing w:after="0"/>
              <w:rPr>
                <w:sz w:val="22"/>
                <w:szCs w:val="22"/>
                <w:color w:val="auto"/>
              </w:rPr>
            </w:pPr>
          </w:p>
        </w:tc>
        <w:tc>
          <w:tcPr>
            <w:tcW w:w="180" w:type="dxa"/>
            <w:vAlign w:val="bottom"/>
            <w:tcBorders>
              <w:bottom w:val="single" w:sz="8" w:color="auto"/>
            </w:tcBorders>
            <w:shd w:val="clear" w:color="auto" w:fill="E7E7E3"/>
          </w:tcPr>
          <w:p>
            <w:pPr>
              <w:spacing w:after="0"/>
              <w:rPr>
                <w:sz w:val="22"/>
                <w:szCs w:val="22"/>
                <w:color w:val="auto"/>
              </w:rPr>
            </w:pPr>
          </w:p>
        </w:tc>
        <w:tc>
          <w:tcPr>
            <w:tcW w:w="13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(25,790)</w:t>
            </w:r>
          </w:p>
        </w:tc>
        <w:tc>
          <w:tcPr>
            <w:tcW w:w="120" w:type="dxa"/>
            <w:vAlign w:val="bottom"/>
            <w:tcBorders>
              <w:bottom w:val="single" w:sz="8" w:color="E7E7E3"/>
            </w:tcBorders>
            <w:shd w:val="clear" w:color="auto" w:fill="E7E7E3"/>
          </w:tcPr>
          <w:p>
            <w:pPr>
              <w:spacing w:after="0"/>
              <w:rPr>
                <w:sz w:val="22"/>
                <w:szCs w:val="22"/>
                <w:color w:val="auto"/>
              </w:rPr>
            </w:pPr>
          </w:p>
        </w:tc>
        <w:tc>
          <w:tcPr>
            <w:tcW w:w="180" w:type="dxa"/>
            <w:vAlign w:val="bottom"/>
            <w:shd w:val="clear" w:color="auto" w:fill="E7E7E3"/>
          </w:tcPr>
          <w:p>
            <w:pPr>
              <w:spacing w:after="0"/>
              <w:rPr>
                <w:sz w:val="22"/>
                <w:szCs w:val="22"/>
                <w:color w:val="auto"/>
              </w:rPr>
            </w:pPr>
          </w:p>
        </w:tc>
        <w:tc>
          <w:tcPr>
            <w:tcW w:w="180" w:type="dxa"/>
            <w:vAlign w:val="bottom"/>
            <w:shd w:val="clear" w:color="auto" w:fill="E7E7E3"/>
          </w:tcPr>
          <w:p>
            <w:pPr>
              <w:spacing w:after="0"/>
              <w:rPr>
                <w:sz w:val="22"/>
                <w:szCs w:val="22"/>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(25,626)</w:t>
            </w:r>
          </w:p>
        </w:tc>
        <w:tc>
          <w:tcPr>
            <w:tcW w:w="100" w:type="dxa"/>
            <w:vAlign w:val="bottom"/>
            <w:tcBorders>
              <w:bottom w:val="single" w:sz="8" w:color="E7E7E3"/>
            </w:tcBorders>
            <w:shd w:val="clear" w:color="auto" w:fill="E7E7E3"/>
          </w:tcPr>
          <w:p>
            <w:pPr>
              <w:spacing w:after="0"/>
              <w:rPr>
                <w:sz w:val="22"/>
                <w:szCs w:val="22"/>
                <w:color w:val="auto"/>
              </w:rPr>
            </w:pPr>
          </w:p>
        </w:tc>
      </w:tr>
      <w:tr>
        <w:trPr>
          <w:trHeight w:val="214"/>
        </w:trPr>
        <w:tc>
          <w:tcPr>
            <w:tcW w:w="5460" w:type="dxa"/>
            <w:vAlign w:val="bottom"/>
            <w:tcBorders>
              <w:top w:val="single" w:sz="8" w:color="FEFEFE"/>
            </w:tcBorders>
            <w:shd w:val="clear" w:color="auto" w:fill="FEFEF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4-wall contribution (Non-GAAP)</w:t>
            </w:r>
          </w:p>
        </w:tc>
        <w:tc>
          <w:tcPr>
            <w:tcW w:w="160" w:type="dxa"/>
            <w:vAlign w:val="bottom"/>
            <w:tcBorders>
              <w:top w:val="single" w:sz="8" w:color="FEFEFE"/>
            </w:tcBorders>
            <w:shd w:val="clear" w:color="auto" w:fill="FEFEFE"/>
          </w:tcPr>
          <w:p>
            <w:pPr>
              <w:spacing w:after="0"/>
              <w:rPr>
                <w:sz w:val="18"/>
                <w:szCs w:val="18"/>
                <w:color w:val="auto"/>
              </w:rPr>
            </w:pPr>
          </w:p>
        </w:tc>
        <w:tc>
          <w:tcPr>
            <w:tcW w:w="200" w:type="dxa"/>
            <w:vAlign w:val="bottom"/>
            <w:tcBorders>
              <w:top w:val="single" w:sz="8" w:color="auto"/>
            </w:tcBorders>
            <w:shd w:val="clear" w:color="auto" w:fill="FEFEFE"/>
          </w:tcPr>
          <w:p>
            <w:pPr>
              <w:spacing w:after="0"/>
              <w:rPr>
                <w:sz w:val="18"/>
                <w:szCs w:val="18"/>
                <w:color w:val="auto"/>
              </w:rPr>
            </w:pPr>
          </w:p>
        </w:tc>
        <w:tc>
          <w:tcPr>
            <w:tcW w:w="1300" w:type="dxa"/>
            <w:vAlign w:val="bottom"/>
            <w:tcBorders>
              <w:top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136,502</w:t>
            </w:r>
          </w:p>
        </w:tc>
        <w:tc>
          <w:tcPr>
            <w:tcW w:w="120" w:type="dxa"/>
            <w:vAlign w:val="bottom"/>
            <w:tcBorders>
              <w:top w:val="single" w:sz="8" w:color="FEFEFE"/>
            </w:tcBorders>
            <w:shd w:val="clear" w:color="auto" w:fill="FEFEFE"/>
          </w:tcPr>
          <w:p>
            <w:pPr>
              <w:spacing w:after="0"/>
              <w:rPr>
                <w:sz w:val="18"/>
                <w:szCs w:val="18"/>
                <w:color w:val="auto"/>
              </w:rPr>
            </w:pPr>
          </w:p>
        </w:tc>
        <w:tc>
          <w:tcPr>
            <w:tcW w:w="160" w:type="dxa"/>
            <w:vAlign w:val="bottom"/>
            <w:tcBorders>
              <w:top w:val="single" w:sz="8" w:color="auto"/>
            </w:tcBorders>
            <w:shd w:val="clear" w:color="auto" w:fill="FEFEFE"/>
          </w:tcPr>
          <w:p>
            <w:pPr>
              <w:spacing w:after="0"/>
              <w:rPr>
                <w:sz w:val="18"/>
                <w:szCs w:val="18"/>
                <w:color w:val="auto"/>
              </w:rPr>
            </w:pPr>
          </w:p>
        </w:tc>
        <w:tc>
          <w:tcPr>
            <w:tcW w:w="180" w:type="dxa"/>
            <w:vAlign w:val="bottom"/>
            <w:tcBorders>
              <w:top w:val="single" w:sz="8" w:color="auto"/>
            </w:tcBorders>
            <w:shd w:val="clear" w:color="auto" w:fill="FEFEFE"/>
          </w:tcPr>
          <w:p>
            <w:pPr>
              <w:spacing w:after="0"/>
              <w:rPr>
                <w:sz w:val="18"/>
                <w:szCs w:val="18"/>
                <w:color w:val="auto"/>
              </w:rPr>
            </w:pPr>
          </w:p>
        </w:tc>
        <w:tc>
          <w:tcPr>
            <w:tcW w:w="1320" w:type="dxa"/>
            <w:vAlign w:val="bottom"/>
            <w:tcBorders>
              <w:top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172,529</w:t>
            </w:r>
          </w:p>
        </w:tc>
        <w:tc>
          <w:tcPr>
            <w:tcW w:w="120" w:type="dxa"/>
            <w:vAlign w:val="bottom"/>
            <w:tcBorders>
              <w:top w:val="single" w:sz="8" w:color="FEFEFE"/>
            </w:tcBorders>
            <w:shd w:val="clear" w:color="auto" w:fill="FEFEFE"/>
          </w:tcPr>
          <w:p>
            <w:pPr>
              <w:spacing w:after="0"/>
              <w:rPr>
                <w:sz w:val="18"/>
                <w:szCs w:val="18"/>
                <w:color w:val="auto"/>
              </w:rPr>
            </w:pPr>
          </w:p>
        </w:tc>
        <w:tc>
          <w:tcPr>
            <w:tcW w:w="180" w:type="dxa"/>
            <w:vAlign w:val="bottom"/>
            <w:tcBorders>
              <w:top w:val="single" w:sz="8" w:color="auto"/>
            </w:tcBorders>
            <w:shd w:val="clear" w:color="auto" w:fill="FEFEFE"/>
          </w:tcPr>
          <w:p>
            <w:pPr>
              <w:spacing w:after="0"/>
              <w:rPr>
                <w:sz w:val="18"/>
                <w:szCs w:val="18"/>
                <w:color w:val="auto"/>
              </w:rPr>
            </w:pPr>
          </w:p>
        </w:tc>
        <w:tc>
          <w:tcPr>
            <w:tcW w:w="180" w:type="dxa"/>
            <w:vAlign w:val="bottom"/>
            <w:tcBorders>
              <w:top w:val="single" w:sz="8" w:color="auto"/>
            </w:tcBorders>
            <w:shd w:val="clear" w:color="auto" w:fill="FEFEFE"/>
          </w:tcPr>
          <w:p>
            <w:pPr>
              <w:spacing w:after="0"/>
              <w:rPr>
                <w:sz w:val="18"/>
                <w:szCs w:val="18"/>
                <w:color w:val="auto"/>
              </w:rPr>
            </w:pPr>
          </w:p>
        </w:tc>
        <w:tc>
          <w:tcPr>
            <w:tcW w:w="1320" w:type="dxa"/>
            <w:vAlign w:val="bottom"/>
            <w:tcBorders>
              <w:top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191,549</w:t>
            </w:r>
          </w:p>
        </w:tc>
        <w:tc>
          <w:tcPr>
            <w:tcW w:w="100" w:type="dxa"/>
            <w:vAlign w:val="bottom"/>
            <w:tcBorders>
              <w:top w:val="single" w:sz="8" w:color="FEFEFE"/>
            </w:tcBorders>
            <w:shd w:val="clear" w:color="auto" w:fill="FEFEFE"/>
          </w:tcPr>
          <w:p>
            <w:pPr>
              <w:spacing w:after="0"/>
              <w:rPr>
                <w:sz w:val="18"/>
                <w:szCs w:val="18"/>
                <w:color w:val="auto"/>
              </w:rPr>
            </w:pPr>
          </w:p>
        </w:tc>
      </w:tr>
      <w:tr>
        <w:trPr>
          <w:trHeight w:val="244"/>
        </w:trPr>
        <w:tc>
          <w:tcPr>
            <w:tcW w:w="546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spacing w:after="0"/>
              <w:rPr>
                <w:sz w:val="21"/>
                <w:szCs w:val="21"/>
                <w:color w:val="auto"/>
              </w:rPr>
            </w:pP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Advertising</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(31,844)</w:t>
            </w: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4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(30,932)</w:t>
            </w: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(32,503)</w:t>
            </w:r>
          </w:p>
        </w:tc>
      </w:tr>
      <w:tr>
        <w:trPr>
          <w:trHeight w:val="24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Corporate G&amp;A</w:t>
            </w: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(54,374)</w:t>
            </w: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(54,144)</w:t>
            </w: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(56,490)</w:t>
            </w: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Distributing and supporting G&amp;A</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(31,371)</w:t>
            </w: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4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(31,560)</w:t>
            </w: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(28,748)</w:t>
            </w:r>
          </w:p>
        </w:tc>
      </w:tr>
      <w:tr>
        <w:trPr>
          <w:trHeight w:val="24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(13,878)</w:t>
            </w: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(13,833)</w:t>
            </w: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2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20"/>
                <w:szCs w:val="20"/>
                <w:color w:val="auto"/>
              </w:rPr>
              <w:t>(15,381)</w:t>
            </w: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(Impairment) gain of assets</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(1,303)</w:t>
            </w: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4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(116)</w:t>
            </w: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00" w:type="dxa"/>
            <w:vAlign w:val="bottom"/>
            <w:shd w:val="clear" w:color="auto" w:fill="FEFEFE"/>
          </w:tcPr>
          <w:p>
            <w:pPr>
              <w:spacing w:after="0"/>
              <w:rPr>
                <w:sz w:val="21"/>
                <w:szCs w:val="21"/>
                <w:color w:val="auto"/>
              </w:rPr>
            </w:pPr>
          </w:p>
        </w:tc>
      </w:tr>
      <w:tr>
        <w:trPr>
          <w:trHeight w:val="24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color w:val="auto"/>
              </w:rPr>
              <w:t>Loss from termination of retirement plans</w:t>
            </w:r>
          </w:p>
        </w:tc>
        <w:tc>
          <w:tcPr>
            <w:tcW w:w="160" w:type="dxa"/>
            <w:vAlign w:val="bottom"/>
            <w:shd w:val="clear" w:color="auto" w:fill="E7E7E3"/>
          </w:tcPr>
          <w:p>
            <w:pPr>
              <w:spacing w:after="0"/>
              <w:rPr>
                <w:sz w:val="21"/>
                <w:szCs w:val="21"/>
                <w:color w:val="auto"/>
              </w:rPr>
            </w:pPr>
          </w:p>
        </w:tc>
        <w:tc>
          <w:tcPr>
            <w:tcW w:w="200" w:type="dxa"/>
            <w:vAlign w:val="bottom"/>
            <w:shd w:val="clear" w:color="auto" w:fill="E7E7E3"/>
          </w:tcPr>
          <w:p>
            <w:pPr>
              <w:spacing w:after="0"/>
              <w:rPr>
                <w:sz w:val="21"/>
                <w:szCs w:val="21"/>
                <w:color w:val="auto"/>
              </w:rPr>
            </w:pP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440" w:type="dxa"/>
            <w:vAlign w:val="bottom"/>
            <w:gridSpan w:val="2"/>
            <w:shd w:val="clear" w:color="auto" w:fill="E7E7E3"/>
          </w:tcPr>
          <w:p>
            <w:pPr>
              <w:jc w:val="right"/>
              <w:ind w:right="60"/>
              <w:spacing w:after="0"/>
              <w:rPr>
                <w:sz w:val="20"/>
                <w:szCs w:val="20"/>
                <w:color w:val="auto"/>
              </w:rPr>
            </w:pPr>
            <w:r>
              <w:rPr>
                <w:rFonts w:ascii="Times New Roman" w:cs="Times New Roman" w:eastAsia="Times New Roman" w:hAnsi="Times New Roman"/>
                <w:sz w:val="20"/>
                <w:szCs w:val="20"/>
                <w:color w:val="auto"/>
              </w:rPr>
              <w:t>(5,690)</w:t>
            </w:r>
          </w:p>
        </w:tc>
        <w:tc>
          <w:tcPr>
            <w:tcW w:w="18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7E7E3"/>
          </w:tcPr>
          <w:p>
            <w:pPr>
              <w:spacing w:after="0"/>
              <w:rPr>
                <w:sz w:val="21"/>
                <w:szCs w:val="21"/>
                <w:color w:val="auto"/>
              </w:rPr>
            </w:pPr>
          </w:p>
        </w:tc>
      </w:tr>
      <w:tr>
        <w:trPr>
          <w:trHeight w:val="244"/>
        </w:trPr>
        <w:tc>
          <w:tcPr>
            <w:tcW w:w="54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income (expense)</w:t>
            </w: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2,084</w:t>
            </w:r>
          </w:p>
        </w:tc>
        <w:tc>
          <w:tcPr>
            <w:tcW w:w="1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2,137</w:t>
            </w:r>
          </w:p>
        </w:tc>
        <w:tc>
          <w:tcPr>
            <w:tcW w:w="1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42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(251)</w:t>
            </w:r>
          </w:p>
        </w:tc>
      </w:tr>
      <w:tr>
        <w:trPr>
          <w:trHeight w:val="234"/>
        </w:trPr>
        <w:tc>
          <w:tcPr>
            <w:tcW w:w="546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20"/>
                <w:szCs w:val="20"/>
                <w:color w:val="auto"/>
              </w:rPr>
              <w:t>Income before provision (benefit) for income taxes</w:t>
            </w:r>
          </w:p>
        </w:tc>
        <w:tc>
          <w:tcPr>
            <w:tcW w:w="160" w:type="dxa"/>
            <w:vAlign w:val="bottom"/>
            <w:tcBorders>
              <w:top w:val="single" w:sz="8" w:color="E7E7E3"/>
            </w:tcBorders>
            <w:shd w:val="clear" w:color="auto" w:fill="E7E7E3"/>
          </w:tcPr>
          <w:p>
            <w:pPr>
              <w:spacing w:after="0"/>
              <w:rPr>
                <w:sz w:val="20"/>
                <w:szCs w:val="20"/>
                <w:color w:val="auto"/>
              </w:rPr>
            </w:pPr>
          </w:p>
        </w:tc>
        <w:tc>
          <w:tcPr>
            <w:tcW w:w="2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5,816</w:t>
            </w:r>
          </w:p>
        </w:tc>
        <w:tc>
          <w:tcPr>
            <w:tcW w:w="120" w:type="dxa"/>
            <w:vAlign w:val="bottom"/>
            <w:tcBorders>
              <w:top w:val="single" w:sz="8" w:color="E7E7E3"/>
            </w:tcBorders>
            <w:shd w:val="clear" w:color="auto" w:fill="E7E7E3"/>
          </w:tcPr>
          <w:p>
            <w:pPr>
              <w:spacing w:after="0"/>
              <w:rPr>
                <w:sz w:val="20"/>
                <w:szCs w:val="20"/>
                <w:color w:val="auto"/>
              </w:rPr>
            </w:pPr>
          </w:p>
        </w:tc>
        <w:tc>
          <w:tcPr>
            <w:tcW w:w="160" w:type="dxa"/>
            <w:vAlign w:val="bottom"/>
            <w:tcBorders>
              <w:top w:val="single" w:sz="8" w:color="auto"/>
            </w:tcBorders>
            <w:shd w:val="clear" w:color="auto" w:fill="E7E7E3"/>
          </w:tcPr>
          <w:p>
            <w:pPr>
              <w:spacing w:after="0"/>
              <w:rPr>
                <w:sz w:val="20"/>
                <w:szCs w:val="20"/>
                <w:color w:val="auto"/>
              </w:rPr>
            </w:pPr>
          </w:p>
        </w:tc>
        <w:tc>
          <w:tcPr>
            <w:tcW w:w="1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38,391</w:t>
            </w:r>
          </w:p>
        </w:tc>
        <w:tc>
          <w:tcPr>
            <w:tcW w:w="120" w:type="dxa"/>
            <w:vAlign w:val="bottom"/>
            <w:tcBorders>
              <w:top w:val="single" w:sz="8" w:color="E7E7E3"/>
            </w:tcBorders>
            <w:shd w:val="clear" w:color="auto" w:fill="E7E7E3"/>
          </w:tcPr>
          <w:p>
            <w:pPr>
              <w:spacing w:after="0"/>
              <w:rPr>
                <w:sz w:val="20"/>
                <w:szCs w:val="20"/>
                <w:color w:val="auto"/>
              </w:rPr>
            </w:pPr>
          </w:p>
        </w:tc>
        <w:tc>
          <w:tcPr>
            <w:tcW w:w="180" w:type="dxa"/>
            <w:vAlign w:val="bottom"/>
            <w:tcBorders>
              <w:top w:val="single" w:sz="8" w:color="auto"/>
            </w:tcBorders>
            <w:shd w:val="clear" w:color="auto" w:fill="E7E7E3"/>
          </w:tcPr>
          <w:p>
            <w:pPr>
              <w:spacing w:after="0"/>
              <w:rPr>
                <w:sz w:val="20"/>
                <w:szCs w:val="20"/>
                <w:color w:val="auto"/>
              </w:rPr>
            </w:pPr>
          </w:p>
        </w:tc>
        <w:tc>
          <w:tcPr>
            <w:tcW w:w="1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58,335</w:t>
            </w:r>
          </w:p>
        </w:tc>
        <w:tc>
          <w:tcPr>
            <w:tcW w:w="100" w:type="dxa"/>
            <w:vAlign w:val="bottom"/>
            <w:tcBorders>
              <w:top w:val="single" w:sz="8" w:color="E7E7E3"/>
            </w:tcBorders>
            <w:shd w:val="clear" w:color="auto" w:fill="E7E7E3"/>
          </w:tcPr>
          <w:p>
            <w:pPr>
              <w:spacing w:after="0"/>
              <w:rPr>
                <w:sz w:val="20"/>
                <w:szCs w:val="20"/>
                <w:color w:val="auto"/>
              </w:rPr>
            </w:pPr>
          </w:p>
        </w:tc>
      </w:tr>
      <w:tr>
        <w:trPr>
          <w:trHeight w:val="244"/>
        </w:trPr>
        <w:tc>
          <w:tcPr>
            <w:tcW w:w="546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60" w:type="dxa"/>
            <w:vAlign w:val="bottom"/>
            <w:tcBorders>
              <w:bottom w:val="single" w:sz="8" w:color="E7E7E3"/>
            </w:tcBorders>
            <w:shd w:val="clear" w:color="auto" w:fill="FEFEFE"/>
          </w:tcPr>
          <w:p>
            <w:pPr>
              <w:spacing w:after="0"/>
              <w:rPr>
                <w:sz w:val="21"/>
                <w:szCs w:val="21"/>
                <w:color w:val="auto"/>
              </w:rPr>
            </w:pPr>
          </w:p>
        </w:tc>
        <w:tc>
          <w:tcPr>
            <w:tcW w:w="2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120" w:type="dxa"/>
            <w:vAlign w:val="bottom"/>
            <w:tcBorders>
              <w:bottom w:val="single" w:sz="8" w:color="E7E7E3"/>
            </w:tcBorders>
            <w:shd w:val="clear" w:color="auto" w:fill="FEFEFE"/>
          </w:tcPr>
          <w:p>
            <w:pPr>
              <w:spacing w:after="0"/>
              <w:rPr>
                <w:sz w:val="21"/>
                <w:szCs w:val="21"/>
                <w:color w:val="auto"/>
              </w:rPr>
            </w:pPr>
          </w:p>
        </w:tc>
        <w:tc>
          <w:tcPr>
            <w:tcW w:w="160" w:type="dxa"/>
            <w:vAlign w:val="bottom"/>
            <w:tcBorders>
              <w:bottom w:val="single" w:sz="8" w:color="auto"/>
            </w:tcBorders>
            <w:shd w:val="clear" w:color="auto" w:fill="FEFEFE"/>
          </w:tcPr>
          <w:p>
            <w:pPr>
              <w:spacing w:after="0"/>
              <w:rPr>
                <w:sz w:val="21"/>
                <w:szCs w:val="21"/>
                <w:color w:val="auto"/>
              </w:rPr>
            </w:pPr>
          </w:p>
        </w:tc>
        <w:tc>
          <w:tcPr>
            <w:tcW w:w="180" w:type="dxa"/>
            <w:vAlign w:val="bottom"/>
            <w:tcBorders>
              <w:bottom w:val="single" w:sz="8" w:color="auto"/>
            </w:tcBorders>
            <w:shd w:val="clear" w:color="auto" w:fill="FEFEFE"/>
          </w:tcPr>
          <w:p>
            <w:pPr>
              <w:spacing w:after="0"/>
              <w:rPr>
                <w:sz w:val="21"/>
                <w:szCs w:val="21"/>
                <w:color w:val="auto"/>
              </w:rPr>
            </w:pPr>
          </w:p>
        </w:tc>
        <w:tc>
          <w:tcPr>
            <w:tcW w:w="13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10,537</w:t>
            </w:r>
          </w:p>
        </w:tc>
        <w:tc>
          <w:tcPr>
            <w:tcW w:w="120" w:type="dxa"/>
            <w:vAlign w:val="bottom"/>
            <w:tcBorders>
              <w:bottom w:val="single" w:sz="8" w:color="E7E7E3"/>
            </w:tcBorders>
            <w:shd w:val="clear" w:color="auto" w:fill="FEFEFE"/>
          </w:tcPr>
          <w:p>
            <w:pPr>
              <w:spacing w:after="0"/>
              <w:rPr>
                <w:sz w:val="21"/>
                <w:szCs w:val="21"/>
                <w:color w:val="auto"/>
              </w:rPr>
            </w:pPr>
          </w:p>
        </w:tc>
        <w:tc>
          <w:tcPr>
            <w:tcW w:w="180" w:type="dxa"/>
            <w:vAlign w:val="bottom"/>
            <w:tcBorders>
              <w:bottom w:val="single" w:sz="8" w:color="auto"/>
            </w:tcBorders>
            <w:shd w:val="clear" w:color="auto" w:fill="FEFEFE"/>
          </w:tcPr>
          <w:p>
            <w:pPr>
              <w:spacing w:after="0"/>
              <w:rPr>
                <w:sz w:val="21"/>
                <w:szCs w:val="21"/>
                <w:color w:val="auto"/>
              </w:rPr>
            </w:pPr>
          </w:p>
        </w:tc>
        <w:tc>
          <w:tcPr>
            <w:tcW w:w="180" w:type="dxa"/>
            <w:vAlign w:val="bottom"/>
            <w:tcBorders>
              <w:bottom w:val="single" w:sz="8" w:color="auto"/>
            </w:tcBorders>
            <w:shd w:val="clear" w:color="auto" w:fill="FEFEFE"/>
          </w:tcPr>
          <w:p>
            <w:pPr>
              <w:spacing w:after="0"/>
              <w:rPr>
                <w:sz w:val="21"/>
                <w:szCs w:val="21"/>
                <w:color w:val="auto"/>
              </w:rPr>
            </w:pPr>
          </w:p>
        </w:tc>
        <w:tc>
          <w:tcPr>
            <w:tcW w:w="13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(30,788)</w:t>
            </w:r>
          </w:p>
        </w:tc>
        <w:tc>
          <w:tcPr>
            <w:tcW w:w="100" w:type="dxa"/>
            <w:vAlign w:val="bottom"/>
            <w:tcBorders>
              <w:bottom w:val="single" w:sz="8" w:color="E7E7E3"/>
            </w:tcBorders>
            <w:shd w:val="clear" w:color="auto" w:fill="FEFEFE"/>
          </w:tcPr>
          <w:p>
            <w:pPr>
              <w:spacing w:after="0"/>
              <w:rPr>
                <w:sz w:val="21"/>
                <w:szCs w:val="21"/>
                <w:color w:val="auto"/>
              </w:rPr>
            </w:pPr>
          </w:p>
        </w:tc>
      </w:tr>
      <w:tr>
        <w:trPr>
          <w:trHeight w:val="234"/>
        </w:trPr>
        <w:tc>
          <w:tcPr>
            <w:tcW w:w="5460" w:type="dxa"/>
            <w:vAlign w:val="bottom"/>
            <w:shd w:val="clear" w:color="auto" w:fill="E7E7E3"/>
          </w:tcPr>
          <w:p>
            <w:pPr>
              <w:spacing w:after="0"/>
              <w:rPr>
                <w:sz w:val="20"/>
                <w:szCs w:val="20"/>
                <w:color w:val="auto"/>
              </w:rPr>
            </w:pPr>
            <w:r>
              <w:rPr>
                <w:rFonts w:ascii="Times New Roman" w:cs="Times New Roman" w:eastAsia="Times New Roman" w:hAnsi="Times New Roman"/>
                <w:sz w:val="20"/>
                <w:szCs w:val="20"/>
                <w:b w:val="1"/>
                <w:bCs w:val="1"/>
                <w:color w:val="auto"/>
              </w:rPr>
              <w:t>Net income (GAAP)</w:t>
            </w:r>
          </w:p>
        </w:tc>
        <w:tc>
          <w:tcPr>
            <w:tcW w:w="160" w:type="dxa"/>
            <w:vAlign w:val="bottom"/>
            <w:shd w:val="clear" w:color="auto" w:fill="E7E7E3"/>
          </w:tcPr>
          <w:p>
            <w:pPr>
              <w:spacing w:after="0"/>
              <w:rPr>
                <w:sz w:val="20"/>
                <w:szCs w:val="20"/>
                <w:color w:val="auto"/>
              </w:rPr>
            </w:pPr>
          </w:p>
        </w:tc>
        <w:tc>
          <w:tcPr>
            <w:tcW w:w="2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12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27,854</w:t>
            </w:r>
          </w:p>
        </w:tc>
        <w:tc>
          <w:tcPr>
            <w:tcW w:w="120" w:type="dxa"/>
            <w:vAlign w:val="bottom"/>
            <w:shd w:val="clear" w:color="auto" w:fill="E7E7E3"/>
          </w:tcPr>
          <w:p>
            <w:pPr>
              <w:spacing w:after="0"/>
              <w:rPr>
                <w:sz w:val="20"/>
                <w:szCs w:val="20"/>
                <w:color w:val="auto"/>
              </w:rPr>
            </w:pPr>
          </w:p>
        </w:tc>
        <w:tc>
          <w:tcPr>
            <w:tcW w:w="180" w:type="dxa"/>
            <w:vAlign w:val="bottom"/>
            <w:shd w:val="clear" w:color="auto" w:fill="E7E7E3"/>
          </w:tcPr>
          <w:p>
            <w:pPr>
              <w:spacing w:after="0"/>
              <w:rPr>
                <w:sz w:val="20"/>
                <w:szCs w:val="20"/>
                <w:color w:val="auto"/>
              </w:rPr>
            </w:pPr>
          </w:p>
        </w:tc>
        <w:tc>
          <w:tcPr>
            <w:tcW w:w="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20"/>
                <w:szCs w:val="20"/>
                <w:color w:val="auto"/>
              </w:rPr>
              <w:t>89,123</w:t>
            </w:r>
          </w:p>
        </w:tc>
        <w:tc>
          <w:tcPr>
            <w:tcW w:w="100" w:type="dxa"/>
            <w:vAlign w:val="bottom"/>
            <w:shd w:val="clear" w:color="auto" w:fill="E7E7E3"/>
          </w:tcPr>
          <w:p>
            <w:pPr>
              <w:spacing w:after="0"/>
              <w:rPr>
                <w:sz w:val="20"/>
                <w:szCs w:val="20"/>
                <w:color w:val="auto"/>
              </w:rPr>
            </w:pPr>
          </w:p>
        </w:tc>
      </w:tr>
      <w:tr>
        <w:trPr>
          <w:trHeight w:val="244"/>
        </w:trPr>
        <w:tc>
          <w:tcPr>
            <w:tcW w:w="546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3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13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858000" cy="154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0" cy="154940"/>
                    </a:xfrm>
                    <a:prstGeom prst="rect">
                      <a:avLst/>
                    </a:prstGeom>
                    <a:noFill/>
                  </pic:spPr>
                </pic:pic>
              </a:graphicData>
            </a:graphic>
          </wp:anchor>
        </w:drawing>
      </w:r>
    </w:p>
    <w:p>
      <w:pPr>
        <w:spacing w:after="0" w:line="217" w:lineRule="exact"/>
        <w:rPr>
          <w:sz w:val="20"/>
          <w:szCs w:val="20"/>
          <w:color w:val="auto"/>
        </w:rPr>
      </w:pPr>
    </w:p>
    <w:p>
      <w:pPr>
        <w:ind w:right="1000"/>
        <w:spacing w:after="0" w:line="279" w:lineRule="auto"/>
        <w:rPr>
          <w:sz w:val="20"/>
          <w:szCs w:val="20"/>
          <w:color w:val="auto"/>
        </w:rPr>
      </w:pPr>
      <w:r>
        <w:rPr>
          <w:rFonts w:ascii="Times New Roman" w:cs="Times New Roman" w:eastAsia="Times New Roman" w:hAnsi="Times New Roman"/>
          <w:sz w:val="20"/>
          <w:szCs w:val="20"/>
          <w:color w:val="auto"/>
        </w:rPr>
        <w:t>The CODM does not receive information about assets at the segment level because the Company's assets are managed at a consolidated level by department as opposed to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6858000" cy="300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0" cy="300990"/>
                    </a:xfrm>
                    <a:prstGeom prst="rect">
                      <a:avLst/>
                    </a:prstGeom>
                    <a:noFill/>
                  </pic:spPr>
                </pic:pic>
              </a:graphicData>
            </a:graphic>
          </wp:anchor>
        </w:drawing>
      </w:r>
    </w:p>
    <w:p>
      <w:pPr>
        <w:sectPr>
          <w:pgSz w:w="11880" w:h="15480" w:orient="portrait"/>
          <w:cols w:equalWidth="0" w:num="1">
            <w:col w:w="10800"/>
          </w:cols>
          <w:pgMar w:left="540" w:top="6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670" w:right="540" w:bottom="0" w:gutter="0" w:footer="0" w:header="0"/>
          <w:type w:val="continuous"/>
        </w:sectPr>
      </w:pPr>
    </w:p>
    <w:bookmarkStart w:id="62" w:name="page63"/>
    <w:bookmarkEnd w:id="62"/>
    <w:p>
      <w:pPr>
        <w:ind w:right="2580"/>
        <w:spacing w:after="0" w:line="408" w:lineRule="auto"/>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Management’s Conclusions Regarding the Effectiveness of Disclosure Controls and Procedures</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1, 2025. Based on this evaluation, our Chief Executive Officer and Chief Financial Officer concluded that, as of February 1, 2025, our disclosure controls and procedures were effective.</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1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77" w:lineRule="exact"/>
        <w:rPr>
          <w:sz w:val="20"/>
          <w:szCs w:val="20"/>
          <w:color w:val="auto"/>
        </w:rPr>
      </w:pPr>
    </w:p>
    <w:p>
      <w:pPr>
        <w:ind w:left="480" w:right="560" w:firstLine="499"/>
        <w:spacing w:after="0" w:line="279" w:lineRule="auto"/>
        <w:tabs>
          <w:tab w:leader="none" w:pos="120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45" w:lineRule="exact"/>
        <w:rPr>
          <w:rFonts w:ascii="Times New Roman" w:cs="Times New Roman" w:eastAsia="Times New Roman" w:hAnsi="Times New Roman"/>
          <w:sz w:val="20"/>
          <w:szCs w:val="20"/>
          <w:color w:val="auto"/>
        </w:rPr>
      </w:pPr>
    </w:p>
    <w:p>
      <w:pPr>
        <w:ind w:left="480" w:right="40" w:firstLine="499"/>
        <w:spacing w:after="0" w:line="259" w:lineRule="auto"/>
        <w:tabs>
          <w:tab w:leader="none" w:pos="126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5" w:lineRule="exact"/>
        <w:rPr>
          <w:rFonts w:ascii="Times New Roman" w:cs="Times New Roman" w:eastAsia="Times New Roman" w:hAnsi="Times New Roman"/>
          <w:sz w:val="20"/>
          <w:szCs w:val="20"/>
          <w:color w:val="auto"/>
        </w:rPr>
      </w:pPr>
    </w:p>
    <w:p>
      <w:pPr>
        <w:ind w:left="480" w:firstLine="499"/>
        <w:spacing w:after="0" w:line="279" w:lineRule="auto"/>
        <w:tabs>
          <w:tab w:leader="none" w:pos="13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assets that could have a material effect on the financial statements.</w:t>
      </w:r>
    </w:p>
    <w:p>
      <w:pPr>
        <w:spacing w:after="0" w:line="16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Management assessed the design and effectiveness of our internal control over financial reporting as of February 1, 2025. In making this assessment, management used the criteria set forth by the Committee of Sponsoring Organizations of the Treadway Commission (COSO) in Internal Control-Integrated Framework (2013).</w:t>
      </w:r>
    </w:p>
    <w:p>
      <w:pPr>
        <w:spacing w:after="0" w:line="18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Based on management’s assessment and the above mentioned criteria, management determined that we maintained effective internal control over financial reporting as of February 1, 2025.</w:t>
      </w:r>
    </w:p>
    <w:p>
      <w:pPr>
        <w:spacing w:after="0" w:line="165"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20"/>
          <w:szCs w:val="20"/>
          <w:color w:val="auto"/>
        </w:rPr>
        <w:t>KPMG LLP, our independent registered public accounting firm, has issued an audit report on our internal control over financial reporting as of February 1, 2025, which appears below.</w:t>
      </w:r>
    </w:p>
    <w:p>
      <w:pPr>
        <w:sectPr>
          <w:pgSz w:w="11880" w:h="15480" w:orient="portrait"/>
          <w:cols w:equalWidth="0" w:num="1">
            <w:col w:w="10700"/>
          </w:cols>
          <w:pgMar w:left="540" w:top="6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700"/>
          </w:cols>
          <w:pgMar w:left="540" w:top="653" w:right="640" w:bottom="0" w:gutter="0" w:footer="0" w:header="0"/>
          <w:type w:val="continuous"/>
        </w:sectPr>
      </w:pPr>
    </w:p>
    <w:bookmarkStart w:id="63" w:name="page64"/>
    <w:bookmarkEnd w:id="63"/>
    <w:p>
      <w:pPr>
        <w:ind w:left="19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Destination XL Group, Inc.: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Internal Control Over Financial Reporting</w:t>
      </w:r>
    </w:p>
    <w:p>
      <w:pPr>
        <w:spacing w:after="0" w:line="1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 xml:space="preserve">We have audited Destination XL Group, Inc. and subsidiaries' (the Company) internal control over financial reporting as of February 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February 1, 2025, based on criteria established in </w:t>
      </w:r>
      <w:r>
        <w:rPr>
          <w:rFonts w:ascii="Times New Roman" w:cs="Times New Roman" w:eastAsia="Times New Roman" w:hAnsi="Times New Roman"/>
          <w:sz w:val="20"/>
          <w:szCs w:val="20"/>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7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February 1, 2025 and February 3, 2024, the related consolidated statements of operations, comprehensive income, changes in stockholders’ equity, and cash flows for each of the fiscal years in the three-year period ended February 1, 2025, and the related notes (collectively, the consolidated financial statements), and our report dated March 20, 2025 expressed an unqualified opinion on those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rPr>
          <w:sz w:val="20"/>
          <w:szCs w:val="20"/>
          <w:color w:val="auto"/>
        </w:rPr>
      </w:pPr>
      <w:r>
        <w:rPr>
          <w:rFonts w:ascii="Times New Roman" w:cs="Times New Roman" w:eastAsia="Times New Roman" w:hAnsi="Times New Roman"/>
          <w:sz w:val="20"/>
          <w:szCs w:val="20"/>
          <w:color w:val="auto"/>
        </w:rPr>
        <w:t>March 20, 2025</w:t>
      </w:r>
    </w:p>
    <w:p>
      <w:pPr>
        <w:sectPr>
          <w:pgSz w:w="11880" w:h="15480" w:orient="portrait"/>
          <w:cols w:equalWidth="0" w:num="1">
            <w:col w:w="10800"/>
          </w:cols>
          <w:pgMar w:left="540" w:top="6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800"/>
          </w:cols>
          <w:pgMar w:left="540" w:top="653" w:right="5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fourth quarter of fiscal 2024 that has materially affected, or is reasonably likely to materially affect, our internal control over financial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 Rule 10b5-1 Trading Plans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three months ended February 1, 2025, none of our directors or officers (as defined in Rule 16a-1(f) of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2" w:lineRule="exact"/>
        <w:rPr>
          <w:sz w:val="20"/>
          <w:szCs w:val="20"/>
          <w:color w:val="auto"/>
        </w:rPr>
      </w:pPr>
    </w:p>
    <w:p>
      <w:pPr>
        <w:ind w:right="4180"/>
        <w:spacing w:after="0" w:line="408" w:lineRule="auto"/>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applicable.</w:t>
      </w:r>
    </w:p>
    <w:p>
      <w:pPr>
        <w:sectPr>
          <w:pgSz w:w="11880" w:h="15480" w:orient="portrait"/>
          <w:cols w:equalWidth="0" w:num="1">
            <w:col w:w="10660"/>
          </w:cols>
          <w:pgMar w:left="540" w:top="658"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660"/>
          </w:cols>
          <w:pgMar w:left="540" w:top="658" w:right="680" w:bottom="0" w:gutter="0" w:footer="0" w:header="0"/>
          <w:type w:val="continuous"/>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Pursuant to Paragraph G(3) of the General Instructions to Form 10-K, the information required by Part III (Items 10, 11, 12, 13 and</w:t>
      </w:r>
    </w:p>
    <w:p>
      <w:pPr>
        <w:spacing w:after="0" w:line="12" w:lineRule="exact"/>
        <w:rPr>
          <w:sz w:val="20"/>
          <w:szCs w:val="20"/>
          <w:color w:val="auto"/>
        </w:rPr>
      </w:pPr>
    </w:p>
    <w:p>
      <w:pPr>
        <w:ind w:right="60"/>
        <w:spacing w:after="0" w:line="259" w:lineRule="auto"/>
        <w:tabs>
          <w:tab w:leader="none" w:pos="31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being incorporated by reference herein from our definitive proxy statement (or an amendment to this Annual Report on Form 10-K) to be filed with the Securities and Exchange Commission within 120 days of the end of the fiscal year ended February 1, 2025 in connection with our 2025 Annual Meeting of Stockholders.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12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We have adopted a Securities Trading Policy, which is our insider trading policy governing the purchase, sale and/or other dispositions of our securities by our directors, officers and employees. A copy of the Securities Trading Policy is filed as an exhibit to this Annual Report on Form 10-K.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12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12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12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Accountant Fees and Services</w:t>
      </w:r>
    </w:p>
    <w:p>
      <w:pPr>
        <w:spacing w:after="0" w:line="12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and Financial Statement Schedules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15(a)(1) Financial Statements</w:t>
      </w:r>
    </w:p>
    <w:p>
      <w:pPr>
        <w:spacing w:after="0" w:line="118"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20"/>
          <w:szCs w:val="20"/>
          <w:color w:val="auto"/>
        </w:rPr>
        <w:t>The list of consolidated financial statements and notes required by this Item 15(a)(1) is set forth in the “Index to Consolidated Financial Statements” on page 36 of this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15(a)(2) Financial Statement Schedules</w:t>
      </w:r>
    </w:p>
    <w:p>
      <w:pPr>
        <w:spacing w:after="0" w:line="11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15(a)(3)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list of exhibits required by this Item 15(a)(3) is set forth in the “Index to Exhibits” beginning on page 65 of this Annual Report.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Omitted at registrant’s option.</w:t>
      </w:r>
    </w:p>
    <w:p>
      <w:pPr>
        <w:sectPr>
          <w:pgSz w:w="11880" w:h="15480" w:orient="portrait"/>
          <w:cols w:equalWidth="0" w:num="1">
            <w:col w:w="10700"/>
          </w:cols>
          <w:pgMar w:left="540" w:top="653" w:right="64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700"/>
          </w:cols>
          <w:pgMar w:left="540" w:top="653" w:right="640" w:bottom="0" w:gutter="0" w:footer="0" w:header="0"/>
          <w:type w:val="continuous"/>
        </w:sectPr>
      </w:pPr>
    </w:p>
    <w:bookmarkStart w:id="66" w:name="page67"/>
    <w:bookmarkEnd w:id="66"/>
    <w:p>
      <w:pPr>
        <w:ind w:left="4660"/>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06" w:lineRule="exact"/>
        <w:rPr>
          <w:sz w:val="20"/>
          <w:szCs w:val="20"/>
          <w:color w:val="auto"/>
        </w:rPr>
      </w:pPr>
    </w:p>
    <w:p>
      <w:pPr>
        <w:ind w:left="60"/>
        <w:spacing w:after="0"/>
        <w:tabs>
          <w:tab w:leader="none" w:pos="5200" w:val="left"/>
        </w:tabs>
        <w:rPr>
          <w:sz w:val="20"/>
          <w:szCs w:val="20"/>
          <w:color w:val="auto"/>
        </w:rPr>
      </w:pPr>
      <w:r>
        <w:rPr>
          <w:rFonts w:ascii="Times New Roman" w:cs="Times New Roman" w:eastAsia="Times New Roman" w:hAnsi="Times New Roman"/>
          <w:sz w:val="16"/>
          <w:szCs w:val="16"/>
          <w:b w:val="1"/>
          <w:bCs w:val="1"/>
          <w:color w:val="auto"/>
        </w:rPr>
        <w:t>Exhibits</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880" w:h="15480" w:orient="portrait"/>
          <w:cols w:equalWidth="0" w:num="1">
            <w:col w:w="10580"/>
          </w:cols>
          <w:pgMar w:left="540" w:top="864" w:right="760" w:bottom="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0"/>
          <w:szCs w:val="20"/>
          <w:color w:val="auto"/>
        </w:rPr>
        <w:t>Certificate of Amendment to Restated Certificate of Incorporation, effective as of August 6, 2021 (included as Exhibit 3.1 to the Company's Quarterly Report on Form 10-Q filed on August 31, 2021, and incorporated herein by reference).</w:t>
      </w:r>
    </w:p>
    <w:p>
      <w:pPr>
        <w:spacing w:after="0" w:line="101" w:lineRule="exact"/>
        <w:rPr>
          <w:sz w:val="20"/>
          <w:szCs w:val="20"/>
          <w:color w:val="auto"/>
        </w:rPr>
      </w:pPr>
    </w:p>
    <w:p>
      <w:pPr>
        <w:jc w:val="both"/>
        <w:ind w:right="680"/>
        <w:spacing w:after="0" w:line="257" w:lineRule="auto"/>
        <w:rPr>
          <w:sz w:val="20"/>
          <w:szCs w:val="20"/>
          <w:color w:val="auto"/>
        </w:rPr>
      </w:pPr>
      <w:r>
        <w:rPr>
          <w:rFonts w:ascii="Times New Roman" w:cs="Times New Roman" w:eastAsia="Times New Roman" w:hAnsi="Times New Roman"/>
          <w:sz w:val="20"/>
          <w:szCs w:val="20"/>
          <w:color w:val="auto"/>
        </w:rPr>
        <w:t>Restated Certificate of Incorporation of the Company (conformed copy incorporating all amendments through August 6, 2021 (included as Exhibit 3.2 to the Company's Quarterly Report on Form 10-Q filed on August 31, 2021, and incorporated herein by reference).</w:t>
      </w:r>
    </w:p>
    <w:p>
      <w:pPr>
        <w:spacing w:after="0" w:line="100" w:lineRule="exact"/>
        <w:rPr>
          <w:sz w:val="20"/>
          <w:szCs w:val="20"/>
          <w:color w:val="auto"/>
        </w:rPr>
      </w:pPr>
    </w:p>
    <w:p>
      <w:pPr>
        <w:sectPr>
          <w:pgSz w:w="11880" w:h="15480" w:orient="portrait"/>
          <w:cols w:equalWidth="0" w:num="2">
            <w:col w:w="360" w:space="720"/>
            <w:col w:w="9500"/>
          </w:cols>
          <w:pgMar w:left="540" w:top="864" w:right="760"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Fourth Amended and Restated By-Laws (included as Exhibit 3.1 to the Company’s Current Report on Form 8-K</w:t>
            </w:r>
          </w:p>
        </w:tc>
        <w:tc>
          <w:tcPr>
            <w:tcW w:w="260" w:type="dxa"/>
            <w:vAlign w:val="bottom"/>
          </w:tcPr>
          <w:p>
            <w:pPr>
              <w:spacing w:after="0"/>
              <w:rPr>
                <w:sz w:val="19"/>
                <w:szCs w:val="19"/>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filed on June 18, 2015, and incorporated herein by reference).</w:t>
            </w:r>
          </w:p>
        </w:tc>
        <w:tc>
          <w:tcPr>
            <w:tcW w:w="260" w:type="dxa"/>
            <w:vAlign w:val="bottom"/>
          </w:tcPr>
          <w:p>
            <w:pPr>
              <w:spacing w:after="0"/>
              <w:rPr>
                <w:sz w:val="23"/>
                <w:szCs w:val="23"/>
                <w:color w:val="auto"/>
              </w:rPr>
            </w:pP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Description of Securities (included as Exhibit 4.1 to the Company's Annual Report on Form 10-K filed on March</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17, 2022, and incorporated herein by reference).</w:t>
            </w:r>
          </w:p>
        </w:tc>
        <w:tc>
          <w:tcPr>
            <w:tcW w:w="260" w:type="dxa"/>
            <w:vAlign w:val="bottom"/>
          </w:tcPr>
          <w:p>
            <w:pPr>
              <w:spacing w:after="0"/>
              <w:rPr>
                <w:sz w:val="23"/>
                <w:szCs w:val="23"/>
                <w:color w:val="auto"/>
              </w:rPr>
            </w:pP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2006 Incentive Compensation Plan, as amended (included as Exhibit 10.3 to the Company’s Annual Report on</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10-K filed March 17, 2014 (File No. 001-34219),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2016 Incentive Compensation Plan, as amended November 2, 2023 (included as Exhibit 10.2 to the Company's</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Annual Report on Form 10-K filed March 21, 2024,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2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Second Amended and Restated 2016 Incentive Compensation Plan (included as Exhibit 10.1 to the Company's</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Current Report on Form 8-K filed August 8, 2024, and incorporated herein as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41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Non-Qualified Option Agreement for Associates (included as Exhibit 10.3 to the Company’s Annual</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Report on Form 10-K filed March 20, 2017,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Non-Qualified Option Agreement for Associates (pursuant to the Company’s Long-Term Incentive</w:t>
            </w:r>
          </w:p>
        </w:tc>
        <w:tc>
          <w:tcPr>
            <w:tcW w:w="2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Plan, as amended) (included as Exhibit 10.3 to the Company’s Quarterly Report on Form 10-Q filed August 27,</w:t>
            </w:r>
          </w:p>
        </w:tc>
        <w:tc>
          <w:tcPr>
            <w:tcW w:w="260" w:type="dxa"/>
            <w:vAlign w:val="bottom"/>
          </w:tcPr>
          <w:p>
            <w:pPr>
              <w:spacing w:after="0"/>
              <w:rPr>
                <w:sz w:val="19"/>
                <w:szCs w:val="19"/>
                <w:color w:val="auto"/>
              </w:rPr>
            </w:pPr>
          </w:p>
        </w:tc>
      </w:tr>
      <w:tr>
        <w:trPr>
          <w:trHeight w:val="288"/>
        </w:trPr>
        <w:tc>
          <w:tcPr>
            <w:tcW w:w="760" w:type="dxa"/>
            <w:vAlign w:val="bottom"/>
          </w:tcPr>
          <w:p>
            <w:pPr>
              <w:spacing w:after="0"/>
              <w:rPr>
                <w:sz w:val="24"/>
                <w:szCs w:val="24"/>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2020,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Restricted Stock Agreement for Associates (included as Exhibit 10.5 to the Company’s Annual Report</w:t>
            </w:r>
          </w:p>
        </w:tc>
        <w:tc>
          <w:tcPr>
            <w:tcW w:w="260" w:type="dxa"/>
            <w:vAlign w:val="bottom"/>
          </w:tcPr>
          <w:p>
            <w:pPr>
              <w:spacing w:after="0"/>
              <w:rPr>
                <w:sz w:val="24"/>
                <w:szCs w:val="24"/>
                <w:color w:val="auto"/>
              </w:rPr>
            </w:pPr>
          </w:p>
        </w:tc>
      </w:tr>
      <w:tr>
        <w:trPr>
          <w:trHeight w:val="288"/>
        </w:trPr>
        <w:tc>
          <w:tcPr>
            <w:tcW w:w="760" w:type="dxa"/>
            <w:vAlign w:val="bottom"/>
          </w:tcPr>
          <w:p>
            <w:pPr>
              <w:spacing w:after="0"/>
              <w:rPr>
                <w:sz w:val="24"/>
                <w:szCs w:val="24"/>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on Form 10-K filed March 20, 2017,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Restricted Stock Agreement for Associates (pursuant to the Company’s Long-Term Incentive Plan)</w:t>
            </w:r>
          </w:p>
        </w:tc>
        <w:tc>
          <w:tcPr>
            <w:tcW w:w="2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(included as Exhibit 10.6 to the Company’s Annual Report on Form 10-K filed March 20, 2017, and</w:t>
            </w:r>
          </w:p>
        </w:tc>
        <w:tc>
          <w:tcPr>
            <w:tcW w:w="260" w:type="dxa"/>
            <w:vAlign w:val="bottom"/>
          </w:tcPr>
          <w:p>
            <w:pPr>
              <w:spacing w:after="0"/>
              <w:rPr>
                <w:sz w:val="19"/>
                <w:szCs w:val="19"/>
                <w:color w:val="auto"/>
              </w:rPr>
            </w:pPr>
          </w:p>
        </w:tc>
      </w:tr>
      <w:tr>
        <w:trPr>
          <w:trHeight w:val="288"/>
        </w:trPr>
        <w:tc>
          <w:tcPr>
            <w:tcW w:w="760" w:type="dxa"/>
            <w:vAlign w:val="bottom"/>
          </w:tcPr>
          <w:p>
            <w:pPr>
              <w:spacing w:after="0"/>
              <w:rPr>
                <w:sz w:val="24"/>
                <w:szCs w:val="24"/>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Restricted Stock Unit Agreement for Associates (included as Exhibit 10.7 to the Company’s Annual</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Report on Form 10-K filed March 20, 2017,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Restricted Stock Unit Agreement for Associates (pursuant to the Company’s Long-Term Incentive Plan)</w:t>
            </w:r>
          </w:p>
        </w:tc>
        <w:tc>
          <w:tcPr>
            <w:tcW w:w="2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(included as Exhibit 10.8 to the Company’s Annual Report on Form 10-K filed March 20, 2017, and</w:t>
            </w:r>
          </w:p>
        </w:tc>
        <w:tc>
          <w:tcPr>
            <w:tcW w:w="260" w:type="dxa"/>
            <w:vAlign w:val="bottom"/>
          </w:tcPr>
          <w:p>
            <w:pPr>
              <w:spacing w:after="0"/>
              <w:rPr>
                <w:sz w:val="19"/>
                <w:szCs w:val="19"/>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2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Deferred Stock Award Agreement for Non-Employee Directors (included as Exhibit 10.9 to the</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Company’s Annual Report on Form 10-K filed March 20, 2017,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2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Seventh Amended and Restated Non-Employee Director Compensation Plan (included as Exhibit 10.11 to the</w:t>
            </w:r>
          </w:p>
        </w:tc>
        <w:tc>
          <w:tcPr>
            <w:tcW w:w="2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Company's Annual Report on Form 10-K filed March 21, 2024, and incorporated herein by reference).</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79"/>
              </w:rPr>
              <w:t>†</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Credit Agreement dated October 28, 2021, by and among Citizens Bank, N.A., as Administrative Agent and</w:t>
            </w:r>
          </w:p>
        </w:tc>
        <w:tc>
          <w:tcPr>
            <w:tcW w:w="2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Collateral Agent, Other Lenders identified therein, the Company, as lead borrower, and the Borrowers and</w:t>
            </w:r>
          </w:p>
        </w:tc>
        <w:tc>
          <w:tcPr>
            <w:tcW w:w="260" w:type="dxa"/>
            <w:vAlign w:val="bottom"/>
          </w:tcPr>
          <w:p>
            <w:pPr>
              <w:spacing w:after="0"/>
              <w:rPr>
                <w:sz w:val="19"/>
                <w:szCs w:val="19"/>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Guarantors identified therein (included as Exhibit 10.1 to the Company's Current Report on Form 8-K filed on</w:t>
            </w:r>
          </w:p>
        </w:tc>
        <w:tc>
          <w:tcPr>
            <w:tcW w:w="260" w:type="dxa"/>
            <w:vAlign w:val="bottom"/>
          </w:tcPr>
          <w:p>
            <w:pPr>
              <w:spacing w:after="0"/>
              <w:rPr>
                <w:sz w:val="19"/>
                <w:szCs w:val="19"/>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November 2, 2021, and incorporated herein by reference).</w:t>
            </w:r>
          </w:p>
        </w:tc>
        <w:tc>
          <w:tcPr>
            <w:tcW w:w="260" w:type="dxa"/>
            <w:vAlign w:val="bottom"/>
          </w:tcPr>
          <w:p>
            <w:pPr>
              <w:spacing w:after="0"/>
              <w:rPr>
                <w:sz w:val="23"/>
                <w:szCs w:val="23"/>
                <w:color w:val="auto"/>
              </w:rPr>
            </w:pP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First Amendment dated April 20, 2023 to the Credit Agreement dated October 28, 2021, by and among Citizens,</w:t>
            </w:r>
          </w:p>
        </w:tc>
        <w:tc>
          <w:tcPr>
            <w:tcW w:w="2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N.A., as Administrative Agent and Collateral Agent, Other Lenders identified therein, the Company, as lead</w:t>
            </w:r>
          </w:p>
        </w:tc>
        <w:tc>
          <w:tcPr>
            <w:tcW w:w="260" w:type="dxa"/>
            <w:vAlign w:val="bottom"/>
          </w:tcPr>
          <w:p>
            <w:pPr>
              <w:spacing w:after="0"/>
              <w:rPr>
                <w:sz w:val="19"/>
                <w:szCs w:val="19"/>
                <w:color w:val="auto"/>
              </w:rPr>
            </w:pPr>
          </w:p>
        </w:tc>
      </w:tr>
      <w:tr>
        <w:trPr>
          <w:trHeight w:val="228"/>
        </w:trPr>
        <w:tc>
          <w:tcPr>
            <w:tcW w:w="760" w:type="dxa"/>
            <w:vAlign w:val="bottom"/>
          </w:tcPr>
          <w:p>
            <w:pPr>
              <w:spacing w:after="0"/>
              <w:rPr>
                <w:sz w:val="19"/>
                <w:szCs w:val="19"/>
                <w:color w:val="auto"/>
              </w:rPr>
            </w:pPr>
          </w:p>
        </w:tc>
        <w:tc>
          <w:tcPr>
            <w:tcW w:w="95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borrower, and the Borrowers and Guarantors identified therein (included as Exhibit 10.1 to the Company's</w:t>
            </w:r>
          </w:p>
        </w:tc>
        <w:tc>
          <w:tcPr>
            <w:tcW w:w="260" w:type="dxa"/>
            <w:vAlign w:val="bottom"/>
          </w:tcPr>
          <w:p>
            <w:pPr>
              <w:spacing w:after="0"/>
              <w:rPr>
                <w:sz w:val="19"/>
                <w:szCs w:val="19"/>
                <w:color w:val="auto"/>
              </w:rPr>
            </w:pPr>
          </w:p>
        </w:tc>
      </w:tr>
      <w:tr>
        <w:trPr>
          <w:trHeight w:val="268"/>
        </w:trPr>
        <w:tc>
          <w:tcPr>
            <w:tcW w:w="760" w:type="dxa"/>
            <w:vAlign w:val="bottom"/>
          </w:tcPr>
          <w:p>
            <w:pPr>
              <w:spacing w:after="0"/>
              <w:rPr>
                <w:sz w:val="23"/>
                <w:szCs w:val="23"/>
                <w:color w:val="auto"/>
              </w:rPr>
            </w:pPr>
          </w:p>
        </w:tc>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Current Report on Form 8-K filed April 24, 2023 and incorporated herein by reference).</w:t>
            </w:r>
          </w:p>
        </w:tc>
        <w:tc>
          <w:tcPr>
            <w:tcW w:w="2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580"/>
          </w:cols>
          <w:pgMar w:left="540" w:top="864" w:right="760" w:bottom="0" w:gutter="0" w:footer="0" w:header="0"/>
          <w:type w:val="continuous"/>
        </w:sectPr>
      </w:pPr>
    </w:p>
    <w:p>
      <w:pPr>
        <w:spacing w:after="0" w:line="2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580"/>
          </w:cols>
          <w:pgMar w:left="540" w:top="864" w:right="760" w:bottom="0" w:gutter="0" w:footer="0" w:header="0"/>
          <w:type w:val="continuous"/>
        </w:sectPr>
      </w:pPr>
    </w:p>
    <w:bookmarkStart w:id="67" w:name="page68"/>
    <w:bookmarkEnd w:id="67"/>
    <w:p>
      <w:pPr>
        <w:ind w:left="180" w:right="12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Amended and Restated Employment Agreement between the Company and Harvey S. Kanter effective April 1, 2022 (included as Exhibit 10.1 to the Company's Current Report on Form 8-K filed April 5, 2022, and incorporated herein by reference).</w:t>
      </w:r>
    </w:p>
    <w:p>
      <w:pPr>
        <w:spacing w:after="0" w:line="122" w:lineRule="exact"/>
        <w:rPr>
          <w:sz w:val="20"/>
          <w:szCs w:val="20"/>
          <w:color w:val="auto"/>
        </w:rPr>
      </w:pPr>
    </w:p>
    <w:p>
      <w:pPr>
        <w:jc w:val="both"/>
        <w:ind w:left="180" w:right="160" w:hanging="1079"/>
        <w:spacing w:after="0" w:line="251" w:lineRule="auto"/>
        <w:tabs>
          <w:tab w:leader="none" w:pos="16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First Amendment to the Amended and Restated Employment Agreement between the Company and Harvey S. Kanter, dated August 11, 2023, which includes the Form of Performance Share Award Agreement (included as Exhibit 10.1 to the Company's Current Report on Form 8-K filed August 15, 2023, and incorporated herein by reference).</w:t>
      </w:r>
    </w:p>
    <w:p>
      <w:pPr>
        <w:spacing w:after="0" w:line="127" w:lineRule="exact"/>
        <w:rPr>
          <w:sz w:val="20"/>
          <w:szCs w:val="20"/>
          <w:color w:val="auto"/>
        </w:rPr>
      </w:pPr>
    </w:p>
    <w:p>
      <w:pPr>
        <w:ind w:left="180" w:right="18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Second Amended and Restated Employment Agreement between the Company and Peter H. Stratton, Jr. dated as of November 27, 2017 (included at Exhibit 10.32 to the Company’s Annual Report on Form 10-K filed on March 23, 2018, and incorporated herein by reference).</w:t>
      </w:r>
    </w:p>
    <w:p>
      <w:pPr>
        <w:spacing w:after="0" w:line="122" w:lineRule="exact"/>
        <w:rPr>
          <w:sz w:val="20"/>
          <w:szCs w:val="20"/>
          <w:color w:val="auto"/>
        </w:rPr>
      </w:pPr>
    </w:p>
    <w:p>
      <w:pPr>
        <w:ind w:left="18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Employment Agreement between the Company and Robert S. Molloy dated as of January 7, 2010 (included as Exhibit 10.2 to the Company’s Current Report on Form 8-K filed on January 11, 2010 (File No. 001-34219), and incorporated herein by reference).</w:t>
      </w:r>
    </w:p>
    <w:p>
      <w:pPr>
        <w:spacing w:after="0" w:line="122" w:lineRule="exact"/>
        <w:rPr>
          <w:sz w:val="20"/>
          <w:szCs w:val="20"/>
          <w:color w:val="auto"/>
        </w:rPr>
      </w:pPr>
    </w:p>
    <w:p>
      <w:pPr>
        <w:jc w:val="both"/>
        <w:ind w:left="180" w:right="10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Employment Agreement between the Company and Robert Bogan dated as of November 27, 2023 (included as Exhibit 10.18 to the Company's Annual Report on Form 10-K filed on March 21, 2024, and incorporated herein by reference).</w:t>
      </w:r>
    </w:p>
    <w:p>
      <w:pPr>
        <w:spacing w:after="0" w:line="122" w:lineRule="exact"/>
        <w:rPr>
          <w:sz w:val="20"/>
          <w:szCs w:val="20"/>
          <w:color w:val="auto"/>
        </w:rPr>
      </w:pPr>
    </w:p>
    <w:p>
      <w:pPr>
        <w:ind w:left="180" w:right="4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Second Amended and Restated Employment Agreement between the Company and Antony Gaeta dated as of April 16, 2023 (included as Exhibit 10.1 to the Company's Current Report on Form 8-K filed April 14, 2023 and incorporated herein by reference).</w:t>
      </w:r>
    </w:p>
    <w:p>
      <w:pPr>
        <w:spacing w:after="0" w:line="122" w:lineRule="exact"/>
        <w:rPr>
          <w:sz w:val="20"/>
          <w:szCs w:val="20"/>
          <w:color w:val="auto"/>
        </w:rPr>
      </w:pPr>
    </w:p>
    <w:p>
      <w:pPr>
        <w:ind w:left="180" w:right="16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Amended and Restated Employment Agreement between the Company and John F. Cooney effective March 6, 2022 (included as Exhibit 10.6 to the Company’s Quarterly Report on Form 10-Q filed on May 26, 2022, and incorporated herein by reference).</w:t>
      </w:r>
    </w:p>
    <w:p>
      <w:pPr>
        <w:spacing w:after="0" w:line="122" w:lineRule="exact"/>
        <w:rPr>
          <w:sz w:val="20"/>
          <w:szCs w:val="20"/>
          <w:color w:val="auto"/>
        </w:rPr>
      </w:pPr>
    </w:p>
    <w:p>
      <w:pPr>
        <w:ind w:left="180" w:right="18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Employment Agreement between the Company and Stacey Jones effective February 19, 2021 (included as Exhibit 10.1 to the Company's Quarterly Report on Form 10-Q filed on May 27, 2021, and incorporated herein by reference).</w:t>
      </w:r>
    </w:p>
    <w:p>
      <w:pPr>
        <w:spacing w:after="0" w:line="122" w:lineRule="exact"/>
        <w:rPr>
          <w:sz w:val="20"/>
          <w:szCs w:val="20"/>
          <w:color w:val="auto"/>
        </w:rPr>
      </w:pPr>
    </w:p>
    <w:p>
      <w:pPr>
        <w:ind w:left="180" w:right="10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Amended and Restated Employment Agreement between the Company and James Reath dated as of May 10, 2023 (included as Exhibit 10.1 to the Company's Quarterly Report on Form 10-Q filed on August 24, 2023, and incorporated herein by reference).</w:t>
      </w:r>
    </w:p>
    <w:p>
      <w:pPr>
        <w:spacing w:after="0" w:line="122" w:lineRule="exact"/>
        <w:rPr>
          <w:sz w:val="20"/>
          <w:szCs w:val="20"/>
          <w:color w:val="auto"/>
        </w:rPr>
      </w:pPr>
    </w:p>
    <w:p>
      <w:pPr>
        <w:jc w:val="both"/>
        <w:ind w:left="180" w:right="20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Amended and Restated Employment Agreement between the Company and Allison Surette effective March 6, 2022 (included as Exhibit 10.5 to the Company’s Quarterly Report on Form 10-Q filed on May 26, 2022, and incorporated herein by reference).</w:t>
      </w:r>
    </w:p>
    <w:p>
      <w:pPr>
        <w:spacing w:after="0" w:line="122" w:lineRule="exact"/>
        <w:rPr>
          <w:sz w:val="20"/>
          <w:szCs w:val="20"/>
          <w:color w:val="auto"/>
        </w:rPr>
      </w:pPr>
    </w:p>
    <w:p>
      <w:pPr>
        <w:jc w:val="both"/>
        <w:ind w:left="180" w:right="8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Stand-alone Inducement Restricted Stock Unit Award Agreement between the Company and James Reath dated October 7, 2022 (included as Exhibit 10.2 to the Company's Quarterly Report on Form 10-Q filed on November 17, 2022, and incorporated herein by reference).</w:t>
      </w:r>
    </w:p>
    <w:p>
      <w:pPr>
        <w:spacing w:after="0" w:line="122" w:lineRule="exact"/>
        <w:rPr>
          <w:sz w:val="20"/>
          <w:szCs w:val="20"/>
          <w:color w:val="auto"/>
        </w:rPr>
      </w:pPr>
    </w:p>
    <w:p>
      <w:pPr>
        <w:ind w:left="180" w:hanging="1079"/>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Stand-alone Inducement Restricted Stock Unit Award Agreement between the Company and Jonathan Sainsbury dated October 26, 2022 (included as Exhibit 10.3 to the Company's Quarterly Report on Form 10-Q filed on November 17, 2022, and incorporated herein by reference).</w:t>
      </w:r>
    </w:p>
    <w:p>
      <w:pPr>
        <w:spacing w:after="0" w:line="122" w:lineRule="exact"/>
        <w:rPr>
          <w:sz w:val="20"/>
          <w:szCs w:val="20"/>
          <w:color w:val="auto"/>
        </w:rPr>
      </w:pPr>
    </w:p>
    <w:p>
      <w:pPr>
        <w:ind w:left="180" w:right="80" w:hanging="1079"/>
        <w:spacing w:after="0" w:line="277" w:lineRule="auto"/>
        <w:tabs>
          <w:tab w:leader="none" w:pos="16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Sixth Amended and Restated Annual Incentive Plan (included as Exhibit 10.1 to the Company’s Current Report on Form 8-K filed on November 7, 2023, and incorporated herein by reference).</w:t>
      </w:r>
    </w:p>
    <w:p>
      <w:pPr>
        <w:spacing w:after="0" w:line="102" w:lineRule="exact"/>
        <w:rPr>
          <w:sz w:val="20"/>
          <w:szCs w:val="20"/>
          <w:color w:val="auto"/>
        </w:rPr>
      </w:pPr>
    </w:p>
    <w:p>
      <w:pPr>
        <w:ind w:left="180" w:right="180" w:hanging="1079"/>
        <w:spacing w:after="0" w:line="277" w:lineRule="auto"/>
        <w:tabs>
          <w:tab w:leader="none" w:pos="16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Second Amended and Restated Long-Term Incentive Plan (included as Exhibit 10.1 to the Company’s Current Report on Form 8-K filed on June 22, 2018, and incorporated herein by reference).</w:t>
      </w:r>
    </w:p>
    <w:p>
      <w:pPr>
        <w:spacing w:after="0" w:line="102" w:lineRule="exact"/>
        <w:rPr>
          <w:sz w:val="20"/>
          <w:szCs w:val="20"/>
          <w:color w:val="auto"/>
        </w:rPr>
      </w:pPr>
    </w:p>
    <w:p>
      <w:pPr>
        <w:ind w:left="180" w:right="160" w:hanging="1079"/>
        <w:spacing w:after="0" w:line="277" w:lineRule="auto"/>
        <w:tabs>
          <w:tab w:leader="none" w:pos="16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First Amendment to the Second Amended and Restated Long-Term Incentive Plan (included as Exhibit 10.1 to the Company’s Form 10-Q filed on November 30, 2018, and incorporated herein by reference).</w:t>
      </w:r>
    </w:p>
    <w:p>
      <w:pPr>
        <w:spacing w:after="0" w:line="102" w:lineRule="exact"/>
        <w:rPr>
          <w:sz w:val="20"/>
          <w:szCs w:val="20"/>
          <w:color w:val="auto"/>
        </w:rPr>
      </w:pPr>
    </w:p>
    <w:p>
      <w:pPr>
        <w:ind w:left="180" w:right="320" w:hanging="1079"/>
        <w:spacing w:after="0" w:line="277" w:lineRule="auto"/>
        <w:tabs>
          <w:tab w:leader="none" w:pos="16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Third Amended and Restated Long-Term Incentive Plan (included as Exhibit 10.1 to the Company’s Current Report on Form 8-K filed on June 12, 2020, and incorporated herein by reference).</w:t>
      </w:r>
    </w:p>
    <w:p>
      <w:pPr>
        <w:spacing w:after="0" w:line="102" w:lineRule="exact"/>
        <w:rPr>
          <w:sz w:val="20"/>
          <w:szCs w:val="20"/>
          <w:color w:val="auto"/>
        </w:rPr>
      </w:pPr>
    </w:p>
    <w:p>
      <w:pPr>
        <w:ind w:left="180" w:right="380" w:hanging="1079"/>
        <w:spacing w:after="0" w:line="277" w:lineRule="auto"/>
        <w:tabs>
          <w:tab w:leader="none" w:pos="16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Fourth Amended and Restated Long-Term Incentive Plan (included as Exhibit 10.2 to the Company Current Report on Form 8-K filed on April 5, 2022,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2" w:lineRule="exact"/>
        <w:rPr>
          <w:sz w:val="20"/>
          <w:szCs w:val="20"/>
          <w:color w:val="auto"/>
        </w:rPr>
      </w:pPr>
    </w:p>
    <w:p>
      <w:pPr>
        <w:sectPr>
          <w:pgSz w:w="11880" w:h="15480" w:orient="portrait"/>
          <w:cols w:equalWidth="0" w:num="2">
            <w:col w:w="9220" w:space="360"/>
            <w:col w:w="100"/>
          </w:cols>
          <w:pgMar w:left="1440" w:top="655" w:right="760" w:bottom="0" w:gutter="0" w:footer="0" w:header="0"/>
        </w:sectPr>
      </w:pP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680"/>
          </w:cols>
          <w:pgMar w:left="1440" w:top="655" w:right="76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Letter Agreement, dated January 29, 2014, by and between the Company and Red Mountain Capital Partners</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LLC (included as Exhibit 10.1 to the Company’s Quarterly Report on Form 10-Q filed on November 17, 2017,</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Letter Agreement, dated April 4, 2018, by and between the Company and Red Mountain Capital Partners LLC</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(included as Exhibit 10.38 to the Company’s Annual Report on Form 10-K filed on March 19, 2020, and</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Securities Purchase Agreement (included as Exhibit 10.1 to the Company’s Current Report on Form 8-</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K/A, filed on February 5, 2021, and incorporated herein by reference).</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Contribution Agreement dated January 30, 2006 by and among the Company, Spirit SPE Canton, LLC and Spirit</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Finance Acquisitions, LLC (included as Exhibit 10.1 to the Company’s Current Report on Form 8-K filed on</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February 3, 2006 (File No. 001-34219), and incorporated herein by reference).</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Membership Interest Purchase Agreement dated January 30, 2006 by and between the Company and Spirit</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Finance Acquisitions, LLC (included as Exhibit 10.2 to the Company’s Current Report on Form 8-K filed on</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February 3, 2006 (File No. 001-34219), and incorporated herein by reference).</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 Agreement dated February 1, 2006 by and between the Company and Spirit SPE Canton, LLC (included</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Times New Roman" w:cs="Times New Roman" w:eastAsia="Times New Roman" w:hAnsi="Times New Roman"/>
                <w:sz w:val="20"/>
                <w:szCs w:val="20"/>
                <w:color w:val="auto"/>
              </w:rPr>
              <w:t>as Exhibit 10.3 to the Company’s Current Report on Form 8-K filed on February 3, 2006 (File No. 001-34219),</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Securities Trading Policy.</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38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Executive Officer of the Company pursuant to Rule 13a-14(a) under the Securities</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Exchange Act of 1934.</w:t>
            </w:r>
          </w:p>
        </w:tc>
      </w:tr>
      <w:tr>
        <w:trPr>
          <w:trHeight w:val="41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Financial Officer of the Company pursuant to Rule 13a-14(a) under the Securities</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Exchange Act of 1934.</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 to Section 906</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34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Financial Officer pursuant to 18 U.S.C. Section 1350, as adopted pursuant to Section 906</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36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Executive Officer Clawback Policy adopted November 2, 2023 (included as Exhibit 97.1 to the Company's</w:t>
            </w:r>
          </w:p>
        </w:tc>
      </w:tr>
      <w:tr>
        <w:trPr>
          <w:trHeight w:val="268"/>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Annual Report of Form 10-K on March 21, 2024, and incorporated herein by reference).</w:t>
            </w:r>
          </w:p>
        </w:tc>
      </w:tr>
    </w:tbl>
    <w:p>
      <w:pPr>
        <w:spacing w:after="0" w:line="137" w:lineRule="exact"/>
        <w:rPr>
          <w:sz w:val="20"/>
          <w:szCs w:val="20"/>
          <w:color w:val="auto"/>
        </w:rPr>
      </w:pPr>
    </w:p>
    <w:p>
      <w:pPr>
        <w:ind w:left="1080" w:right="20" w:hanging="1080"/>
        <w:spacing w:after="0" w:line="247"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the Company’s Annual Report on Form 10-K for the year ended February 1, 2025, formatted in Inline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135" w:lineRule="exact"/>
        <w:rPr>
          <w:sz w:val="20"/>
          <w:szCs w:val="20"/>
          <w:color w:val="auto"/>
        </w:rPr>
      </w:pPr>
    </w:p>
    <w:p>
      <w:pPr>
        <w:ind w:left="1080" w:hanging="1080"/>
        <w:spacing w:after="0" w:line="279"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 The cover page interactive data file does not appear in the interactive data file because its XBRL tags are embedded within the Inline XBRL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rPr>
          <w:sz w:val="20"/>
          <w:szCs w:val="20"/>
          <w:color w:val="auto"/>
        </w:rPr>
      </w:pPr>
      <w:r>
        <w:rPr>
          <w:rFonts w:ascii="Times New Roman" w:cs="Times New Roman" w:eastAsia="Times New Roman" w:hAnsi="Times New Roman"/>
          <w:sz w:val="20"/>
          <w:szCs w:val="20"/>
          <w:color w:val="auto"/>
        </w:rPr>
        <w:t>† Denotes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802" w:lineRule="exact"/>
        <w:rPr>
          <w:sz w:val="20"/>
          <w:szCs w:val="20"/>
          <w:color w:val="auto"/>
        </w:rPr>
      </w:pPr>
    </w:p>
    <w:p>
      <w:pPr>
        <w:sectPr>
          <w:pgSz w:w="11880" w:h="15480" w:orient="portrait"/>
          <w:cols w:equalWidth="0" w:num="2">
            <w:col w:w="10120" w:space="360"/>
            <w:col w:w="100"/>
          </w:cols>
          <w:pgMar w:left="540" w:top="65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580"/>
          </w:cols>
          <w:pgMar w:left="540" w:top="653" w:right="760" w:bottom="0" w:gutter="0" w:footer="0" w:header="0"/>
          <w:type w:val="continuous"/>
        </w:sectPr>
      </w:pPr>
    </w:p>
    <w:bookmarkStart w:id="69" w:name="page70"/>
    <w:bookmarkEnd w:id="69"/>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6"/>
          <w:szCs w:val="16"/>
          <w:color w:val="auto"/>
        </w:rPr>
        <w:t>ESTINATION</w:t>
      </w:r>
      <w:r>
        <w:rPr>
          <w:rFonts w:ascii="Times New Roman" w:cs="Times New Roman" w:eastAsia="Times New Roman" w:hAnsi="Times New Roman"/>
          <w:sz w:val="20"/>
          <w:szCs w:val="20"/>
          <w:color w:val="auto"/>
        </w:rPr>
        <w:t xml:space="preserve"> XL G</w:t>
      </w:r>
      <w:r>
        <w:rPr>
          <w:rFonts w:ascii="Times New Roman" w:cs="Times New Roman" w:eastAsia="Times New Roman" w:hAnsi="Times New Roman"/>
          <w:sz w:val="16"/>
          <w:szCs w:val="16"/>
          <w:color w:val="auto"/>
        </w:rPr>
        <w:t>ROUP</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p>
    <w:p>
      <w:pPr>
        <w:spacing w:after="0"/>
        <w:rPr>
          <w:sz w:val="20"/>
          <w:szCs w:val="20"/>
          <w:color w:val="auto"/>
        </w:rPr>
      </w:pPr>
      <w:r>
        <w:rPr>
          <w:rFonts w:ascii="Times New Roman" w:cs="Times New Roman" w:eastAsia="Times New Roman" w:hAnsi="Times New Roman"/>
          <w:sz w:val="20"/>
          <w:szCs w:val="20"/>
          <w:color w:val="auto"/>
        </w:rPr>
        <w:t>March 20, 2025</w:t>
      </w:r>
    </w:p>
    <w:p>
      <w:pPr>
        <w:ind w:left="6380"/>
        <w:spacing w:after="0"/>
        <w:tabs>
          <w:tab w:leader="none" w:pos="78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w:t>
      </w:r>
      <w:r>
        <w:rPr>
          <w:rFonts w:ascii="Times New Roman" w:cs="Times New Roman" w:eastAsia="Times New Roman" w:hAnsi="Times New Roman"/>
          <w:sz w:val="15"/>
          <w:szCs w:val="15"/>
          <w:color w:val="auto"/>
        </w:rPr>
        <w:t>ARVEY</w:t>
      </w:r>
      <w:r>
        <w:rPr>
          <w:rFonts w:ascii="Times New Roman" w:cs="Times New Roman" w:eastAsia="Times New Roman" w:hAnsi="Times New Roman"/>
          <w:sz w:val="20"/>
          <w:szCs w:val="20"/>
          <w:color w:val="auto"/>
        </w:rPr>
        <w:t xml:space="preserve"> S. K</w:t>
      </w:r>
      <w:r>
        <w:rPr>
          <w:rFonts w:ascii="Times New Roman" w:cs="Times New Roman" w:eastAsia="Times New Roman" w:hAnsi="Times New Roman"/>
          <w:sz w:val="15"/>
          <w:szCs w:val="15"/>
          <w:color w:val="auto"/>
        </w:rPr>
        <w:t>ANTER</w:t>
      </w:r>
    </w:p>
    <w:p>
      <w:pPr>
        <w:spacing w:after="0" w:line="1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-109855</wp:posOffset>
            </wp:positionV>
            <wp:extent cx="251841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8410" cy="6350"/>
                    </a:xfrm>
                    <a:prstGeom prst="rect">
                      <a:avLst/>
                    </a:prstGeom>
                    <a:noFill/>
                  </pic:spPr>
                </pic:pic>
              </a:graphicData>
            </a:graphic>
          </wp:anchor>
        </w:drawing>
      </w: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3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71" w:lineRule="exact"/>
        <w:rPr>
          <w:sz w:val="20"/>
          <w:szCs w:val="20"/>
          <w:color w:val="auto"/>
        </w:rPr>
      </w:pPr>
    </w:p>
    <w:p>
      <w:pPr>
        <w:ind w:left="1560"/>
        <w:spacing w:after="0"/>
        <w:tabs>
          <w:tab w:leader="none" w:pos="6240" w:val="left"/>
          <w:tab w:leader="none" w:pos="9700" w:val="left"/>
        </w:tabs>
        <w:rPr>
          <w:sz w:val="20"/>
          <w:szCs w:val="20"/>
          <w:color w:val="auto"/>
        </w:rPr>
      </w:pPr>
      <w:r>
        <w:rPr>
          <w:rFonts w:ascii="Times New Roman" w:cs="Times New Roman" w:eastAsia="Times New Roman" w:hAnsi="Times New Roman"/>
          <w:sz w:val="16"/>
          <w:szCs w:val="16"/>
          <w:b w:val="1"/>
          <w:bCs w:val="1"/>
          <w:color w:val="auto"/>
        </w:rPr>
        <w:t>Signatures</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ectPr>
          <w:pgSz w:w="11880" w:h="15480" w:orient="portrait"/>
          <w:cols w:equalWidth="0" w:num="1">
            <w:col w:w="10640"/>
          </w:cols>
          <w:pgMar w:left="540" w:top="653" w:right="700" w:bottom="0" w:gutter="0" w:footer="0" w:header="0"/>
        </w:sectPr>
      </w:pPr>
    </w:p>
    <w:p>
      <w:pPr>
        <w:spacing w:after="0" w:line="15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H</w:t>
      </w:r>
      <w:r>
        <w:rPr>
          <w:rFonts w:ascii="Times New Roman" w:cs="Times New Roman" w:eastAsia="Times New Roman" w:hAnsi="Times New Roman"/>
          <w:sz w:val="15"/>
          <w:szCs w:val="15"/>
          <w:color w:val="auto"/>
        </w:rPr>
        <w:t>ARVEY</w:t>
      </w:r>
      <w:r>
        <w:rPr>
          <w:rFonts w:ascii="Times New Roman" w:cs="Times New Roman" w:eastAsia="Times New Roman" w:hAnsi="Times New Roman"/>
          <w:sz w:val="20"/>
          <w:szCs w:val="20"/>
          <w:color w:val="auto"/>
        </w:rPr>
        <w:t xml:space="preserve"> S. K</w:t>
      </w:r>
      <w:r>
        <w:rPr>
          <w:rFonts w:ascii="Times New Roman" w:cs="Times New Roman" w:eastAsia="Times New Roman" w:hAnsi="Times New Roman"/>
          <w:sz w:val="15"/>
          <w:szCs w:val="15"/>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466340"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6340" cy="12700"/>
                    </a:xfrm>
                    <a:prstGeom prst="rect">
                      <a:avLst/>
                    </a:prstGeom>
                    <a:noFill/>
                  </pic:spPr>
                </pic:pic>
              </a:graphicData>
            </a:graphic>
          </wp:anchor>
        </w:drawing>
      </w:r>
    </w:p>
    <w:p>
      <w:pPr>
        <w:spacing w:after="0" w:line="4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Harvey S. Kanter</w:t>
      </w:r>
    </w:p>
    <w:p>
      <w:pPr>
        <w:spacing w:after="0" w:line="15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P</w:t>
      </w:r>
      <w:r>
        <w:rPr>
          <w:rFonts w:ascii="Times New Roman" w:cs="Times New Roman" w:eastAsia="Times New Roman" w:hAnsi="Times New Roman"/>
          <w:sz w:val="15"/>
          <w:szCs w:val="15"/>
          <w:color w:val="auto"/>
        </w:rPr>
        <w:t>ETER</w:t>
      </w:r>
      <w:r>
        <w:rPr>
          <w:rFonts w:ascii="Times New Roman" w:cs="Times New Roman" w:eastAsia="Times New Roman" w:hAnsi="Times New Roman"/>
          <w:sz w:val="20"/>
          <w:szCs w:val="20"/>
          <w:color w:val="auto"/>
        </w:rPr>
        <w:t xml:space="preserve"> H. S</w:t>
      </w:r>
      <w:r>
        <w:rPr>
          <w:rFonts w:ascii="Times New Roman" w:cs="Times New Roman" w:eastAsia="Times New Roman" w:hAnsi="Times New Roman"/>
          <w:sz w:val="15"/>
          <w:szCs w:val="15"/>
          <w:color w:val="auto"/>
        </w:rPr>
        <w:t>TRATTON</w:t>
      </w:r>
      <w:r>
        <w:rPr>
          <w:rFonts w:ascii="Times New Roman" w:cs="Times New Roman" w:eastAsia="Times New Roman" w:hAnsi="Times New Roman"/>
          <w:sz w:val="20"/>
          <w:szCs w:val="20"/>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46634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6340" cy="12700"/>
                    </a:xfrm>
                    <a:prstGeom prst="rect">
                      <a:avLst/>
                    </a:prstGeom>
                    <a:noFill/>
                  </pic:spPr>
                </pic:pic>
              </a:graphicData>
            </a:graphic>
          </wp:anchor>
        </w:drawing>
      </w:r>
    </w:p>
    <w:p>
      <w:pPr>
        <w:spacing w:after="0" w:line="4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Peter H. Stratton, Jr.</w:t>
      </w:r>
    </w:p>
    <w:p>
      <w:pPr>
        <w:spacing w:after="0" w:line="36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J</w:t>
      </w:r>
      <w:r>
        <w:rPr>
          <w:rFonts w:ascii="Times New Roman" w:cs="Times New Roman" w:eastAsia="Times New Roman" w:hAnsi="Times New Roman"/>
          <w:sz w:val="15"/>
          <w:szCs w:val="15"/>
          <w:color w:val="auto"/>
        </w:rPr>
        <w:t>OHN</w:t>
      </w:r>
      <w:r>
        <w:rPr>
          <w:rFonts w:ascii="Times New Roman" w:cs="Times New Roman" w:eastAsia="Times New Roman" w:hAnsi="Times New Roman"/>
          <w:sz w:val="20"/>
          <w:szCs w:val="20"/>
          <w:color w:val="auto"/>
        </w:rPr>
        <w:t xml:space="preserve"> F. C</w:t>
      </w:r>
      <w:r>
        <w:rPr>
          <w:rFonts w:ascii="Times New Roman" w:cs="Times New Roman" w:eastAsia="Times New Roman" w:hAnsi="Times New Roman"/>
          <w:sz w:val="15"/>
          <w:szCs w:val="15"/>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466340"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6340" cy="12700"/>
                    </a:xfrm>
                    <a:prstGeom prst="rect">
                      <a:avLst/>
                    </a:prstGeom>
                    <a:noFill/>
                  </pic:spPr>
                </pic:pic>
              </a:graphicData>
            </a:graphic>
          </wp:anchor>
        </w:drawing>
      </w:r>
    </w:p>
    <w:p>
      <w:pPr>
        <w:spacing w:after="0" w:line="4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John F. Cooney</w:t>
      </w:r>
    </w:p>
    <w:p>
      <w:pPr>
        <w:spacing w:after="0" w:line="15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L</w:t>
      </w:r>
      <w:r>
        <w:rPr>
          <w:rFonts w:ascii="Times New Roman" w:cs="Times New Roman" w:eastAsia="Times New Roman" w:hAnsi="Times New Roman"/>
          <w:sz w:val="15"/>
          <w:szCs w:val="15"/>
          <w:color w:val="auto"/>
        </w:rPr>
        <w:t>IONEL</w:t>
      </w:r>
      <w:r>
        <w:rPr>
          <w:rFonts w:ascii="Times New Roman" w:cs="Times New Roman" w:eastAsia="Times New Roman" w:hAnsi="Times New Roman"/>
          <w:sz w:val="20"/>
          <w:szCs w:val="20"/>
          <w:color w:val="auto"/>
        </w:rPr>
        <w:t xml:space="preserve"> F. C</w:t>
      </w:r>
      <w:r>
        <w:rPr>
          <w:rFonts w:ascii="Times New Roman" w:cs="Times New Roman" w:eastAsia="Times New Roman" w:hAnsi="Times New Roman"/>
          <w:sz w:val="15"/>
          <w:szCs w:val="15"/>
          <w:color w:val="auto"/>
        </w:rPr>
        <w:t>ONACHER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46634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66340" cy="12700"/>
                    </a:xfrm>
                    <a:prstGeom prst="rect">
                      <a:avLst/>
                    </a:prstGeom>
                    <a:noFill/>
                  </pic:spPr>
                </pic:pic>
              </a:graphicData>
            </a:graphic>
          </wp:anchor>
        </w:drawing>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Lionel F. Conacher</w:t>
      </w:r>
    </w:p>
    <w:p>
      <w:pPr>
        <w:spacing w:after="0" w:line="34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/s/ C</w:t>
      </w:r>
      <w:r>
        <w:rPr>
          <w:rFonts w:ascii="Times New Roman" w:cs="Times New Roman" w:eastAsia="Times New Roman" w:hAnsi="Times New Roman"/>
          <w:sz w:val="15"/>
          <w:szCs w:val="15"/>
          <w:color w:val="auto"/>
        </w:rPr>
        <w:t>ARMEN</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5"/>
          <w:szCs w:val="15"/>
          <w:color w:val="auto"/>
        </w:rPr>
        <w:t>AUZA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45364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3640" cy="6350"/>
                    </a:xfrm>
                    <a:prstGeom prst="rect">
                      <a:avLst/>
                    </a:prstGeom>
                    <a:noFill/>
                  </pic:spPr>
                </pic:pic>
              </a:graphicData>
            </a:graphic>
          </wp:anchor>
        </w:drawing>
      </w:r>
    </w:p>
    <w:p>
      <w:pPr>
        <w:spacing w:after="0" w:line="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Carmen Bauza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color w:val="auto"/>
        </w:rPr>
        <w:t>President and Chief Executive Officer (Principal Executive March 20, 2025 Officer)</w:t>
      </w:r>
    </w:p>
    <w:p>
      <w:pPr>
        <w:spacing w:after="0" w:line="91"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20"/>
          <w:szCs w:val="20"/>
          <w:color w:val="auto"/>
        </w:rPr>
        <w:t>Executive Vice President, Chief Financial Officer and</w:t>
      </w:r>
      <w:r>
        <w:rPr>
          <w:sz w:val="20"/>
          <w:szCs w:val="20"/>
          <w:color w:val="auto"/>
        </w:rPr>
        <w:tab/>
      </w:r>
      <w:r>
        <w:rPr>
          <w:rFonts w:ascii="Times New Roman" w:cs="Times New Roman" w:eastAsia="Times New Roman" w:hAnsi="Times New Roman"/>
          <w:sz w:val="19"/>
          <w:szCs w:val="19"/>
          <w:color w:val="auto"/>
        </w:rPr>
        <w:t>March 20, 2025</w:t>
      </w:r>
    </w:p>
    <w:p>
      <w:pPr>
        <w:spacing w:after="0"/>
        <w:rPr>
          <w:sz w:val="20"/>
          <w:szCs w:val="20"/>
          <w:color w:val="auto"/>
        </w:rPr>
      </w:pPr>
      <w:r>
        <w:rPr>
          <w:rFonts w:ascii="Times New Roman" w:cs="Times New Roman" w:eastAsia="Times New Roman" w:hAnsi="Times New Roman"/>
          <w:sz w:val="20"/>
          <w:szCs w:val="20"/>
          <w:color w:val="auto"/>
        </w:rPr>
        <w:t>Treasurer (Principal Financial Officer)</w:t>
      </w:r>
    </w:p>
    <w:p>
      <w:pPr>
        <w:spacing w:after="0" w:line="166"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20"/>
          <w:szCs w:val="20"/>
          <w:color w:val="auto"/>
        </w:rPr>
        <w:t>Senior Vice President of Finance, Chief Accounting</w:t>
      </w:r>
      <w:r>
        <w:rPr>
          <w:sz w:val="20"/>
          <w:szCs w:val="20"/>
          <w:color w:val="auto"/>
        </w:rPr>
        <w:tab/>
      </w:r>
      <w:r>
        <w:rPr>
          <w:rFonts w:ascii="Times New Roman" w:cs="Times New Roman" w:eastAsia="Times New Roman" w:hAnsi="Times New Roman"/>
          <w:sz w:val="19"/>
          <w:szCs w:val="19"/>
          <w:color w:val="auto"/>
        </w:rPr>
        <w:t>March 20, 2025</w:t>
      </w:r>
    </w:p>
    <w:p>
      <w:pPr>
        <w:ind w:right="2180"/>
        <w:spacing w:after="0" w:line="279" w:lineRule="auto"/>
        <w:rPr>
          <w:sz w:val="20"/>
          <w:szCs w:val="20"/>
          <w:color w:val="auto"/>
        </w:rPr>
      </w:pPr>
      <w:r>
        <w:rPr>
          <w:rFonts w:ascii="Times New Roman" w:cs="Times New Roman" w:eastAsia="Times New Roman" w:hAnsi="Times New Roman"/>
          <w:sz w:val="20"/>
          <w:szCs w:val="20"/>
          <w:color w:val="auto"/>
        </w:rPr>
        <w:t>Officer and Corporate Controller (Principal Accounting Officer)</w:t>
      </w:r>
    </w:p>
    <w:p>
      <w:pPr>
        <w:spacing w:after="0" w:line="7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20"/>
          <w:szCs w:val="20"/>
          <w:color w:val="auto"/>
        </w:rPr>
        <w:t>Chairman of the Board of Directors</w:t>
      </w:r>
      <w:r>
        <w:rPr>
          <w:sz w:val="20"/>
          <w:szCs w:val="20"/>
          <w:color w:val="auto"/>
        </w:rPr>
        <w:tab/>
      </w:r>
      <w:r>
        <w:rPr>
          <w:rFonts w:ascii="Times New Roman" w:cs="Times New Roman" w:eastAsia="Times New Roman" w:hAnsi="Times New Roman"/>
          <w:sz w:val="19"/>
          <w:szCs w:val="19"/>
          <w:color w:val="auto"/>
        </w:rPr>
        <w:t>March 20, 2025</w:t>
      </w:r>
    </w:p>
    <w:p>
      <w:pPr>
        <w:spacing w:after="0" w:line="200" w:lineRule="exact"/>
        <w:rPr>
          <w:sz w:val="20"/>
          <w:szCs w:val="20"/>
          <w:color w:val="auto"/>
        </w:rPr>
      </w:pPr>
    </w:p>
    <w:p>
      <w:pPr>
        <w:spacing w:after="0" w:line="394"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March 20, 2025</w:t>
      </w:r>
    </w:p>
    <w:p>
      <w:pPr>
        <w:spacing w:after="0" w:line="371" w:lineRule="exact"/>
        <w:rPr>
          <w:sz w:val="20"/>
          <w:szCs w:val="20"/>
          <w:color w:val="auto"/>
        </w:rPr>
      </w:pPr>
    </w:p>
    <w:p>
      <w:pPr>
        <w:sectPr>
          <w:pgSz w:w="11880" w:h="15480" w:orient="portrait"/>
          <w:cols w:equalWidth="0" w:num="2">
            <w:col w:w="3300" w:space="720"/>
            <w:col w:w="6620"/>
          </w:cols>
          <w:pgMar w:left="540" w:top="653" w:right="700" w:bottom="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w:t>
            </w:r>
            <w:r>
              <w:rPr>
                <w:rFonts w:ascii="Times New Roman" w:cs="Times New Roman" w:eastAsia="Times New Roman" w:hAnsi="Times New Roman"/>
                <w:sz w:val="15"/>
                <w:szCs w:val="15"/>
                <w:color w:val="auto"/>
              </w:rPr>
              <w:t>ACK</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5"/>
                <w:szCs w:val="15"/>
                <w:color w:val="auto"/>
              </w:rPr>
              <w:t>OYLE</w:t>
            </w:r>
          </w:p>
        </w:tc>
        <w:tc>
          <w:tcPr>
            <w:tcW w:w="2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342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7"/>
              </w:rPr>
              <w:t>March 20, 2025</w:t>
            </w:r>
          </w:p>
        </w:tc>
      </w:tr>
      <w:tr>
        <w:trPr>
          <w:trHeight w:val="241"/>
        </w:trPr>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Jack Boyle</w:t>
            </w:r>
          </w:p>
        </w:tc>
        <w:tc>
          <w:tcPr>
            <w:tcW w:w="29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65"/>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W</w:t>
            </w:r>
            <w:r>
              <w:rPr>
                <w:rFonts w:ascii="Times New Roman" w:cs="Times New Roman" w:eastAsia="Times New Roman" w:hAnsi="Times New Roman"/>
                <w:sz w:val="15"/>
                <w:szCs w:val="15"/>
                <w:color w:val="auto"/>
              </w:rPr>
              <w:t>ILLEM</w:t>
            </w:r>
            <w:r>
              <w:rPr>
                <w:rFonts w:ascii="Times New Roman" w:cs="Times New Roman" w:eastAsia="Times New Roman" w:hAnsi="Times New Roman"/>
                <w:sz w:val="20"/>
                <w:szCs w:val="20"/>
                <w:color w:val="auto"/>
              </w:rPr>
              <w:t xml:space="preserve"> M</w:t>
            </w:r>
            <w:r>
              <w:rPr>
                <w:rFonts w:ascii="Times New Roman" w:cs="Times New Roman" w:eastAsia="Times New Roman" w:hAnsi="Times New Roman"/>
                <w:sz w:val="15"/>
                <w:szCs w:val="15"/>
                <w:color w:val="auto"/>
              </w:rPr>
              <w:t>ESDAG</w:t>
            </w:r>
          </w:p>
        </w:tc>
        <w:tc>
          <w:tcPr>
            <w:tcW w:w="2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342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7"/>
              </w:rPr>
              <w:t>March 20, 2025</w:t>
            </w:r>
          </w:p>
        </w:tc>
      </w:tr>
      <w:tr>
        <w:trPr>
          <w:trHeight w:val="241"/>
        </w:trPr>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Willem Mesdag</w:t>
            </w:r>
          </w:p>
        </w:tc>
        <w:tc>
          <w:tcPr>
            <w:tcW w:w="29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65"/>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I</w:t>
            </w:r>
            <w:r>
              <w:rPr>
                <w:rFonts w:ascii="Times New Roman" w:cs="Times New Roman" w:eastAsia="Times New Roman" w:hAnsi="Times New Roman"/>
                <w:sz w:val="15"/>
                <w:szCs w:val="15"/>
                <w:color w:val="auto"/>
                <w:w w:val="99"/>
              </w:rPr>
              <w:t>VY</w:t>
            </w:r>
            <w:r>
              <w:rPr>
                <w:rFonts w:ascii="Times New Roman" w:cs="Times New Roman" w:eastAsia="Times New Roman" w:hAnsi="Times New Roman"/>
                <w:sz w:val="20"/>
                <w:szCs w:val="20"/>
                <w:color w:val="auto"/>
                <w:w w:val="99"/>
              </w:rPr>
              <w:t xml:space="preserve"> R</w:t>
            </w:r>
            <w:r>
              <w:rPr>
                <w:rFonts w:ascii="Times New Roman" w:cs="Times New Roman" w:eastAsia="Times New Roman" w:hAnsi="Times New Roman"/>
                <w:sz w:val="15"/>
                <w:szCs w:val="15"/>
                <w:color w:val="auto"/>
                <w:w w:val="99"/>
              </w:rPr>
              <w:t>OSS</w:t>
            </w:r>
          </w:p>
        </w:tc>
        <w:tc>
          <w:tcPr>
            <w:tcW w:w="2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342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7"/>
              </w:rPr>
              <w:t>March 20, 2025</w:t>
            </w:r>
          </w:p>
        </w:tc>
      </w:tr>
      <w:tr>
        <w:trPr>
          <w:trHeight w:val="241"/>
        </w:trPr>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Ivy Ross</w:t>
            </w:r>
          </w:p>
        </w:tc>
        <w:tc>
          <w:tcPr>
            <w:tcW w:w="29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65"/>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w:t>
            </w:r>
            <w:r>
              <w:rPr>
                <w:rFonts w:ascii="Times New Roman" w:cs="Times New Roman" w:eastAsia="Times New Roman" w:hAnsi="Times New Roman"/>
                <w:sz w:val="15"/>
                <w:szCs w:val="15"/>
                <w:color w:val="auto"/>
                <w:w w:val="99"/>
              </w:rPr>
              <w:t>LAINE</w:t>
            </w:r>
            <w:r>
              <w:rPr>
                <w:rFonts w:ascii="Times New Roman" w:cs="Times New Roman" w:eastAsia="Times New Roman" w:hAnsi="Times New Roman"/>
                <w:sz w:val="20"/>
                <w:szCs w:val="20"/>
                <w:color w:val="auto"/>
                <w:w w:val="99"/>
              </w:rPr>
              <w:t xml:space="preserve"> R</w:t>
            </w:r>
            <w:r>
              <w:rPr>
                <w:rFonts w:ascii="Times New Roman" w:cs="Times New Roman" w:eastAsia="Times New Roman" w:hAnsi="Times New Roman"/>
                <w:sz w:val="15"/>
                <w:szCs w:val="15"/>
                <w:color w:val="auto"/>
                <w:w w:val="99"/>
              </w:rPr>
              <w:t>UBIN</w:t>
            </w:r>
          </w:p>
        </w:tc>
        <w:tc>
          <w:tcPr>
            <w:tcW w:w="2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342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7"/>
              </w:rPr>
              <w:t>March 20, 2025</w:t>
            </w:r>
          </w:p>
        </w:tc>
      </w:tr>
      <w:tr>
        <w:trPr>
          <w:trHeight w:val="241"/>
        </w:trPr>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Elaine Rubin</w:t>
            </w:r>
          </w:p>
        </w:tc>
        <w:tc>
          <w:tcPr>
            <w:tcW w:w="294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640"/>
          </w:cols>
          <w:pgMar w:left="540" w:top="653"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640"/>
          </w:cols>
          <w:pgMar w:left="540" w:top="653" w:right="700" w:bottom="0" w:gutter="0" w:footer="0" w:header="0"/>
          <w:type w:val="continuous"/>
        </w:sectPr>
      </w:pPr>
    </w:p>
    <w:bookmarkStart w:id="70" w:name="page71"/>
    <w:bookmarkEnd w:id="70"/>
    <w:p>
      <w:pPr>
        <w:spacing w:after="0" w:line="309" w:lineRule="exact"/>
        <w:rPr>
          <w:sz w:val="20"/>
          <w:szCs w:val="20"/>
          <w:color w:val="auto"/>
        </w:rPr>
      </w:pPr>
    </w:p>
    <w:p>
      <w:pPr>
        <w:ind w:left="20"/>
        <w:spacing w:after="0"/>
        <w:rPr>
          <w:sz w:val="20"/>
          <w:szCs w:val="20"/>
          <w:color w:val="auto"/>
        </w:rPr>
      </w:pPr>
      <w:r>
        <w:rPr>
          <w:rFonts w:ascii="Arial" w:cs="Arial" w:eastAsia="Arial" w:hAnsi="Arial"/>
          <w:sz w:val="28"/>
          <w:szCs w:val="28"/>
          <w:color w:val="auto"/>
        </w:rPr>
        <w:t>OTHER SHAREHOLDER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20"/>
                <w:szCs w:val="20"/>
                <w:color w:val="auto"/>
              </w:rPr>
            </w:pPr>
            <w:r>
              <w:rPr>
                <w:rFonts w:ascii="Arial" w:cs="Arial" w:eastAsia="Arial" w:hAnsi="Arial"/>
                <w:sz w:val="16"/>
                <w:szCs w:val="16"/>
                <w:color w:val="auto"/>
              </w:rPr>
              <w:t>BOARD OF DIRECTORS</w:t>
            </w:r>
          </w:p>
        </w:tc>
        <w:tc>
          <w:tcPr>
            <w:tcW w:w="3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Lionel F. Conacher</w:t>
            </w:r>
          </w:p>
        </w:tc>
        <w:tc>
          <w:tcPr>
            <w:tcW w:w="3200" w:type="dxa"/>
            <w:vAlign w:val="bottom"/>
          </w:tcPr>
          <w:p>
            <w:pPr>
              <w:ind w:left="200"/>
              <w:spacing w:after="0"/>
              <w:rPr>
                <w:sz w:val="20"/>
                <w:szCs w:val="20"/>
                <w:color w:val="auto"/>
              </w:rPr>
            </w:pPr>
            <w:r>
              <w:rPr>
                <w:rFonts w:ascii="Arial" w:cs="Arial" w:eastAsia="Arial" w:hAnsi="Arial"/>
                <w:sz w:val="16"/>
                <w:szCs w:val="16"/>
                <w:color w:val="auto"/>
              </w:rPr>
              <w:t>Harvey S. Kanter</w:t>
            </w:r>
          </w:p>
        </w:tc>
        <w:tc>
          <w:tcPr>
            <w:tcW w:w="3000" w:type="dxa"/>
            <w:vAlign w:val="bottom"/>
          </w:tcPr>
          <w:p>
            <w:pPr>
              <w:ind w:left="160"/>
              <w:spacing w:after="0"/>
              <w:rPr>
                <w:sz w:val="20"/>
                <w:szCs w:val="20"/>
                <w:color w:val="auto"/>
              </w:rPr>
            </w:pPr>
            <w:r>
              <w:rPr>
                <w:rFonts w:ascii="Arial" w:cs="Arial" w:eastAsia="Arial" w:hAnsi="Arial"/>
                <w:sz w:val="16"/>
                <w:szCs w:val="16"/>
                <w:color w:val="auto"/>
              </w:rPr>
              <w:t>Ivy Ross</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Chairman of the Board</w:t>
            </w:r>
          </w:p>
        </w:tc>
        <w:tc>
          <w:tcPr>
            <w:tcW w:w="3200" w:type="dxa"/>
            <w:vAlign w:val="bottom"/>
          </w:tcPr>
          <w:p>
            <w:pPr>
              <w:ind w:left="200"/>
              <w:spacing w:after="0"/>
              <w:rPr>
                <w:sz w:val="20"/>
                <w:szCs w:val="20"/>
                <w:color w:val="auto"/>
              </w:rPr>
            </w:pPr>
            <w:r>
              <w:rPr>
                <w:rFonts w:ascii="Arial" w:cs="Arial" w:eastAsia="Arial" w:hAnsi="Arial"/>
                <w:sz w:val="16"/>
                <w:szCs w:val="16"/>
                <w:color w:val="auto"/>
              </w:rPr>
              <w:t>President and Chief Executive Officer</w:t>
            </w:r>
          </w:p>
        </w:tc>
        <w:tc>
          <w:tcPr>
            <w:tcW w:w="3000" w:type="dxa"/>
            <w:vAlign w:val="bottom"/>
          </w:tcPr>
          <w:p>
            <w:pPr>
              <w:ind w:left="160"/>
              <w:spacing w:after="0"/>
              <w:rPr>
                <w:sz w:val="20"/>
                <w:szCs w:val="20"/>
                <w:color w:val="auto"/>
              </w:rPr>
            </w:pPr>
            <w:r>
              <w:rPr>
                <w:rFonts w:ascii="Arial" w:cs="Arial" w:eastAsia="Arial" w:hAnsi="Arial"/>
                <w:sz w:val="16"/>
                <w:szCs w:val="16"/>
                <w:color w:val="auto"/>
                <w:w w:val="98"/>
              </w:rPr>
              <w:t>Vice President Google Hardware Design</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6"/>
                <w:szCs w:val="16"/>
                <w:color w:val="auto"/>
              </w:rPr>
              <w:t>Carmen R. Bauza</w:t>
            </w:r>
          </w:p>
        </w:tc>
        <w:tc>
          <w:tcPr>
            <w:tcW w:w="3200" w:type="dxa"/>
            <w:vAlign w:val="bottom"/>
          </w:tcPr>
          <w:p>
            <w:pPr>
              <w:ind w:left="200"/>
              <w:spacing w:after="0"/>
              <w:rPr>
                <w:sz w:val="20"/>
                <w:szCs w:val="20"/>
                <w:color w:val="auto"/>
              </w:rPr>
            </w:pPr>
            <w:r>
              <w:rPr>
                <w:rFonts w:ascii="Arial" w:cs="Arial" w:eastAsia="Arial" w:hAnsi="Arial"/>
                <w:sz w:val="16"/>
                <w:szCs w:val="16"/>
                <w:color w:val="auto"/>
              </w:rPr>
              <w:t>Willem Mesdag</w:t>
            </w:r>
          </w:p>
        </w:tc>
        <w:tc>
          <w:tcPr>
            <w:tcW w:w="3000" w:type="dxa"/>
            <w:vAlign w:val="bottom"/>
          </w:tcPr>
          <w:p>
            <w:pPr>
              <w:ind w:left="160"/>
              <w:spacing w:after="0"/>
              <w:rPr>
                <w:sz w:val="20"/>
                <w:szCs w:val="20"/>
                <w:color w:val="auto"/>
              </w:rPr>
            </w:pPr>
            <w:r>
              <w:rPr>
                <w:rFonts w:ascii="Arial" w:cs="Arial" w:eastAsia="Arial" w:hAnsi="Arial"/>
                <w:sz w:val="16"/>
                <w:szCs w:val="16"/>
                <w:color w:val="auto"/>
              </w:rPr>
              <w:t>Elaine K. Rubin</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0"/>
              <w:spacing w:after="0"/>
              <w:rPr>
                <w:sz w:val="20"/>
                <w:szCs w:val="20"/>
                <w:color w:val="auto"/>
              </w:rPr>
            </w:pPr>
            <w:r>
              <w:rPr>
                <w:rFonts w:ascii="Arial" w:cs="Arial" w:eastAsia="Arial" w:hAnsi="Arial"/>
                <w:sz w:val="16"/>
                <w:szCs w:val="16"/>
                <w:color w:val="auto"/>
                <w:w w:val="98"/>
              </w:rPr>
              <w:t>Managing Partner of Red Mountain Capital</w:t>
            </w:r>
          </w:p>
        </w:tc>
        <w:tc>
          <w:tcPr>
            <w:tcW w:w="3000" w:type="dxa"/>
            <w:vAlign w:val="bottom"/>
          </w:tcPr>
          <w:p>
            <w:pPr>
              <w:ind w:left="160"/>
              <w:spacing w:after="0"/>
              <w:rPr>
                <w:sz w:val="20"/>
                <w:szCs w:val="20"/>
                <w:color w:val="auto"/>
              </w:rPr>
            </w:pPr>
            <w:r>
              <w:rPr>
                <w:rFonts w:ascii="Arial" w:cs="Arial" w:eastAsia="Arial" w:hAnsi="Arial"/>
                <w:sz w:val="16"/>
                <w:szCs w:val="16"/>
                <w:color w:val="auto"/>
              </w:rPr>
              <w:t>President of Digital Prophets</w:t>
            </w: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6"/>
                <w:szCs w:val="16"/>
                <w:color w:val="auto"/>
              </w:rPr>
              <w:t>Jack Boyle</w:t>
            </w:r>
          </w:p>
        </w:tc>
        <w:tc>
          <w:tcPr>
            <w:tcW w:w="3200" w:type="dxa"/>
            <w:vAlign w:val="bottom"/>
          </w:tcPr>
          <w:p>
            <w:pPr>
              <w:ind w:left="200"/>
              <w:spacing w:after="0"/>
              <w:rPr>
                <w:sz w:val="20"/>
                <w:szCs w:val="20"/>
                <w:color w:val="auto"/>
              </w:rPr>
            </w:pPr>
            <w:r>
              <w:rPr>
                <w:rFonts w:ascii="Arial" w:cs="Arial" w:eastAsia="Arial" w:hAnsi="Arial"/>
                <w:sz w:val="16"/>
                <w:szCs w:val="16"/>
                <w:color w:val="auto"/>
              </w:rPr>
              <w:t>Partners, LLC</w:t>
            </w:r>
          </w:p>
        </w:tc>
        <w:tc>
          <w:tcPr>
            <w:tcW w:w="3000" w:type="dxa"/>
            <w:vAlign w:val="bottom"/>
          </w:tcPr>
          <w:p>
            <w:pPr>
              <w:ind w:left="160"/>
              <w:spacing w:after="0"/>
              <w:rPr>
                <w:sz w:val="20"/>
                <w:szCs w:val="20"/>
                <w:color w:val="auto"/>
              </w:rPr>
            </w:pPr>
            <w:r>
              <w:rPr>
                <w:rFonts w:ascii="Arial" w:cs="Arial" w:eastAsia="Arial" w:hAnsi="Arial"/>
                <w:sz w:val="16"/>
                <w:szCs w:val="16"/>
                <w:color w:val="auto"/>
              </w:rPr>
              <w:t>Network, LLC</w:t>
            </w:r>
          </w:p>
        </w:tc>
        <w:tc>
          <w:tcPr>
            <w:tcW w:w="0" w:type="dxa"/>
            <w:vAlign w:val="bottom"/>
          </w:tcPr>
          <w:p>
            <w:pPr>
              <w:spacing w:after="0"/>
              <w:rPr>
                <w:sz w:val="1"/>
                <w:szCs w:val="1"/>
                <w:color w:val="auto"/>
              </w:rPr>
            </w:pPr>
          </w:p>
        </w:tc>
      </w:tr>
      <w:tr>
        <w:trPr>
          <w:trHeight w:val="90"/>
        </w:trPr>
        <w:tc>
          <w:tcPr>
            <w:tcW w:w="296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Managing Partner, Fam Bam Sports</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1"/>
        </w:trPr>
        <w:tc>
          <w:tcPr>
            <w:tcW w:w="2960" w:type="dxa"/>
            <w:vAlign w:val="bottom"/>
          </w:tcPr>
          <w:p>
            <w:pPr>
              <w:spacing w:after="0"/>
              <w:rPr>
                <w:sz w:val="20"/>
                <w:szCs w:val="20"/>
                <w:color w:val="auto"/>
              </w:rPr>
            </w:pPr>
            <w:r>
              <w:rPr>
                <w:rFonts w:ascii="Arial" w:cs="Arial" w:eastAsia="Arial" w:hAnsi="Arial"/>
                <w:sz w:val="16"/>
                <w:szCs w:val="16"/>
                <w:color w:val="auto"/>
              </w:rPr>
              <w:t>EXECUTIVE OFFICER</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Harvey S. Kanter</w:t>
            </w:r>
          </w:p>
        </w:tc>
        <w:tc>
          <w:tcPr>
            <w:tcW w:w="3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960" w:type="dxa"/>
            <w:vAlign w:val="bottom"/>
          </w:tcPr>
          <w:p>
            <w:pPr>
              <w:spacing w:after="0"/>
              <w:rPr>
                <w:sz w:val="20"/>
                <w:szCs w:val="20"/>
                <w:color w:val="auto"/>
              </w:rPr>
            </w:pPr>
            <w:r>
              <w:rPr>
                <w:rFonts w:ascii="Arial" w:cs="Arial" w:eastAsia="Arial" w:hAnsi="Arial"/>
                <w:sz w:val="16"/>
                <w:szCs w:val="16"/>
                <w:color w:val="auto"/>
              </w:rPr>
              <w:t>SENIOR MANAGEMENT</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John F. Cooney</w:t>
            </w:r>
          </w:p>
        </w:tc>
        <w:tc>
          <w:tcPr>
            <w:tcW w:w="3200" w:type="dxa"/>
            <w:vAlign w:val="bottom"/>
          </w:tcPr>
          <w:p>
            <w:pPr>
              <w:ind w:left="180"/>
              <w:spacing w:after="0"/>
              <w:rPr>
                <w:sz w:val="20"/>
                <w:szCs w:val="20"/>
                <w:color w:val="auto"/>
              </w:rPr>
            </w:pPr>
            <w:r>
              <w:rPr>
                <w:rFonts w:ascii="Arial" w:cs="Arial" w:eastAsia="Arial" w:hAnsi="Arial"/>
                <w:sz w:val="16"/>
                <w:szCs w:val="16"/>
                <w:color w:val="auto"/>
              </w:rPr>
              <w:t>Robert S. Molloy</w:t>
            </w:r>
          </w:p>
        </w:tc>
        <w:tc>
          <w:tcPr>
            <w:tcW w:w="3000" w:type="dxa"/>
            <w:vAlign w:val="bottom"/>
          </w:tcPr>
          <w:p>
            <w:pPr>
              <w:ind w:left="100"/>
              <w:spacing w:after="0"/>
              <w:rPr>
                <w:sz w:val="20"/>
                <w:szCs w:val="20"/>
                <w:color w:val="auto"/>
              </w:rPr>
            </w:pPr>
            <w:r>
              <w:rPr>
                <w:rFonts w:ascii="Arial" w:cs="Arial" w:eastAsia="Arial" w:hAnsi="Arial"/>
                <w:sz w:val="16"/>
                <w:szCs w:val="16"/>
                <w:color w:val="auto"/>
              </w:rPr>
              <w:t>Allison Surette</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Senior Vice President, Finance, Chief</w:t>
            </w:r>
          </w:p>
        </w:tc>
        <w:tc>
          <w:tcPr>
            <w:tcW w:w="3200" w:type="dxa"/>
            <w:vAlign w:val="bottom"/>
          </w:tcPr>
          <w:p>
            <w:pPr>
              <w:ind w:left="180"/>
              <w:spacing w:after="0"/>
              <w:rPr>
                <w:sz w:val="20"/>
                <w:szCs w:val="20"/>
                <w:color w:val="auto"/>
              </w:rPr>
            </w:pPr>
            <w:r>
              <w:rPr>
                <w:rFonts w:ascii="Arial" w:cs="Arial" w:eastAsia="Arial" w:hAnsi="Arial"/>
                <w:sz w:val="16"/>
                <w:szCs w:val="16"/>
                <w:color w:val="auto"/>
              </w:rPr>
              <w:t>General Counsel and Secretary</w:t>
            </w:r>
          </w:p>
        </w:tc>
        <w:tc>
          <w:tcPr>
            <w:tcW w:w="3000" w:type="dxa"/>
            <w:vAlign w:val="bottom"/>
          </w:tcPr>
          <w:p>
            <w:pPr>
              <w:ind w:left="100"/>
              <w:spacing w:after="0"/>
              <w:rPr>
                <w:sz w:val="20"/>
                <w:szCs w:val="20"/>
                <w:color w:val="auto"/>
              </w:rPr>
            </w:pPr>
            <w:r>
              <w:rPr>
                <w:rFonts w:ascii="Arial" w:cs="Arial" w:eastAsia="Arial" w:hAnsi="Arial"/>
                <w:sz w:val="16"/>
                <w:szCs w:val="16"/>
                <w:color w:val="auto"/>
              </w:rPr>
              <w:t>Chief Merchandising Officer</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w w:val="99"/>
              </w:rPr>
              <w:t>Accounting Officer &amp; Corporate Controller</w:t>
            </w:r>
          </w:p>
        </w:tc>
        <w:tc>
          <w:tcPr>
            <w:tcW w:w="3200" w:type="dxa"/>
            <w:vAlign w:val="bottom"/>
            <w:vMerge w:val="restart"/>
          </w:tcPr>
          <w:p>
            <w:pPr>
              <w:ind w:left="180"/>
              <w:spacing w:after="0"/>
              <w:rPr>
                <w:sz w:val="20"/>
                <w:szCs w:val="20"/>
                <w:color w:val="auto"/>
              </w:rPr>
            </w:pPr>
            <w:r>
              <w:rPr>
                <w:rFonts w:ascii="Arial" w:cs="Arial" w:eastAsia="Arial" w:hAnsi="Arial"/>
                <w:sz w:val="16"/>
                <w:szCs w:val="16"/>
                <w:color w:val="auto"/>
              </w:rPr>
              <w:t>James Reath</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Anthony J. Gaeta</w:t>
            </w:r>
          </w:p>
        </w:tc>
        <w:tc>
          <w:tcPr>
            <w:tcW w:w="3200" w:type="dxa"/>
            <w:vAlign w:val="bottom"/>
          </w:tcPr>
          <w:p>
            <w:pPr>
              <w:ind w:left="180"/>
              <w:spacing w:after="0"/>
              <w:rPr>
                <w:sz w:val="20"/>
                <w:szCs w:val="20"/>
                <w:color w:val="auto"/>
              </w:rPr>
            </w:pPr>
            <w:r>
              <w:rPr>
                <w:rFonts w:ascii="Arial" w:cs="Arial" w:eastAsia="Arial" w:hAnsi="Arial"/>
                <w:sz w:val="16"/>
                <w:szCs w:val="16"/>
                <w:color w:val="auto"/>
              </w:rPr>
              <w:t>Chief Marketing Officer</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Chief Stores and Real Estate Officer</w:t>
            </w:r>
          </w:p>
        </w:tc>
        <w:tc>
          <w:tcPr>
            <w:tcW w:w="3200" w:type="dxa"/>
            <w:vAlign w:val="bottom"/>
            <w:vMerge w:val="restart"/>
          </w:tcPr>
          <w:p>
            <w:pPr>
              <w:ind w:left="180"/>
              <w:spacing w:after="0"/>
              <w:rPr>
                <w:sz w:val="20"/>
                <w:szCs w:val="20"/>
                <w:color w:val="auto"/>
              </w:rPr>
            </w:pPr>
            <w:r>
              <w:rPr>
                <w:rFonts w:ascii="Arial" w:cs="Arial" w:eastAsia="Arial" w:hAnsi="Arial"/>
                <w:sz w:val="16"/>
                <w:szCs w:val="16"/>
                <w:color w:val="auto"/>
              </w:rPr>
              <w:t>Peter H. Stratton, Jr.</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Stacey A. Jones</w:t>
            </w:r>
          </w:p>
        </w:tc>
        <w:tc>
          <w:tcPr>
            <w:tcW w:w="320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Chief Human Resources Officer</w:t>
            </w:r>
          </w:p>
        </w:tc>
        <w:tc>
          <w:tcPr>
            <w:tcW w:w="3200" w:type="dxa"/>
            <w:vAlign w:val="bottom"/>
          </w:tcPr>
          <w:p>
            <w:pPr>
              <w:ind w:left="180"/>
              <w:spacing w:after="0"/>
              <w:rPr>
                <w:sz w:val="20"/>
                <w:szCs w:val="20"/>
                <w:color w:val="auto"/>
              </w:rPr>
            </w:pPr>
            <w:r>
              <w:rPr>
                <w:rFonts w:ascii="Arial" w:cs="Arial" w:eastAsia="Arial" w:hAnsi="Arial"/>
                <w:sz w:val="16"/>
                <w:szCs w:val="16"/>
                <w:color w:val="auto"/>
              </w:rPr>
              <w:t>Chief Financial Officer and Treasurer</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9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2960" w:type="dxa"/>
            <w:vAlign w:val="bottom"/>
          </w:tcPr>
          <w:p>
            <w:pPr>
              <w:spacing w:after="0"/>
              <w:rPr>
                <w:sz w:val="20"/>
                <w:szCs w:val="20"/>
                <w:color w:val="auto"/>
              </w:rPr>
            </w:pPr>
            <w:r>
              <w:rPr>
                <w:rFonts w:ascii="Arial" w:cs="Arial" w:eastAsia="Arial" w:hAnsi="Arial"/>
                <w:sz w:val="16"/>
                <w:szCs w:val="16"/>
                <w:color w:val="auto"/>
              </w:rPr>
              <w:t>CORPORATE OFFICES</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6"/>
                <w:szCs w:val="16"/>
                <w:color w:val="auto"/>
              </w:rPr>
              <w:t>555 Turnpike Street</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Canton, Massachusetts 02021</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781.828.9300</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w:t>
      </w:r>
    </w:p>
    <w:p>
      <w:pPr>
        <w:spacing w:after="0" w:line="55" w:lineRule="exact"/>
        <w:rPr>
          <w:sz w:val="20"/>
          <w:szCs w:val="20"/>
          <w:color w:val="auto"/>
        </w:rPr>
      </w:pPr>
    </w:p>
    <w:p>
      <w:pPr>
        <w:ind w:right="1020"/>
        <w:spacing w:after="0" w:line="306" w:lineRule="auto"/>
        <w:rPr>
          <w:sz w:val="20"/>
          <w:szCs w:val="20"/>
          <w:color w:val="auto"/>
        </w:rPr>
      </w:pPr>
      <w:r>
        <w:rPr>
          <w:rFonts w:ascii="Arial" w:cs="Arial" w:eastAsia="Arial" w:hAnsi="Arial"/>
          <w:sz w:val="15"/>
          <w:szCs w:val="15"/>
          <w:color w:val="auto"/>
        </w:rPr>
        <w:t>Requests for financial information should be directed to our Investor Relations Department at our headquarters: Destination XL Group, Inc., 555 Turnpike Street, Canton, Massachusetts, 02021, by calling 781.828.9300 or emailing us at investor.relations@dxlg.com. You may also visit our website at https://investor.dxl.com. A copy of our Annual Report</w:t>
      </w:r>
    </w:p>
    <w:p>
      <w:pPr>
        <w:ind w:right="600"/>
        <w:spacing w:after="0" w:line="298" w:lineRule="auto"/>
        <w:rPr>
          <w:sz w:val="20"/>
          <w:szCs w:val="20"/>
          <w:color w:val="auto"/>
        </w:rPr>
      </w:pPr>
      <w:r>
        <w:rPr>
          <w:rFonts w:ascii="Arial" w:cs="Arial" w:eastAsia="Arial" w:hAnsi="Arial"/>
          <w:sz w:val="16"/>
          <w:szCs w:val="16"/>
          <w:color w:val="auto"/>
        </w:rPr>
        <w:t>on Form 10-K for the fiscal year ended February 1, 2025 filed with the Securities and Exchange Commission, may be obtained without charge upon request to the Investor Relations Department.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Our 2025 Annual Meeting of Stockholders will be held on August 7,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FFFF"/>
        </w:rPr>
        <w:t>A N N U A 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-288925</wp:posOffset>
                </wp:positionH>
                <wp:positionV relativeFrom="paragraph">
                  <wp:posOffset>-340995</wp:posOffset>
                </wp:positionV>
                <wp:extent cx="1254125" cy="98291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4125" cy="9829165"/>
                        </a:xfrm>
                        <a:prstGeom prst="rect">
                          <a:avLst/>
                        </a:prstGeom>
                        <a:solidFill>
                          <a:srgbClr val="000001"/>
                        </a:solidFill>
                      </wps:spPr>
                      <wps:bodyPr/>
                    </wps:wsp>
                  </a:graphicData>
                </a:graphic>
              </wp:anchor>
            </w:drawing>
          </mc:Choice>
          <mc:Fallback>
            <w:pict>
              <v:rect id="Shape 47" o:spid="_x0000_s1072" style="position:absolute;margin-left:-22.7499pt;margin-top:-26.8499pt;width:98.75pt;height:7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1" stroked="f"/>
            </w:pict>
          </mc:Fallback>
        </mc:AlternateContent>
      </w:r>
    </w:p>
    <w:p>
      <w:pPr>
        <w:spacing w:after="0"/>
        <w:rPr>
          <w:sz w:val="20"/>
          <w:szCs w:val="20"/>
          <w:color w:val="auto"/>
        </w:rPr>
      </w:pPr>
      <w:r>
        <w:rPr>
          <w:rFonts w:ascii="Arial" w:cs="Arial" w:eastAsia="Arial" w:hAnsi="Arial"/>
          <w:sz w:val="20"/>
          <w:szCs w:val="20"/>
          <w:color w:val="FFFFFF"/>
        </w:rPr>
        <w:t>R EP OR 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FFFFFF"/>
        </w:rPr>
        <w:t>2 02 5</w:t>
      </w:r>
    </w:p>
    <w:p>
      <w:pPr>
        <w:spacing w:after="0" w:line="9560" w:lineRule="exact"/>
        <w:rPr>
          <w:sz w:val="20"/>
          <w:szCs w:val="20"/>
          <w:color w:val="auto"/>
        </w:rPr>
      </w:pPr>
    </w:p>
    <w:p>
      <w:pPr>
        <w:sectPr>
          <w:pgSz w:w="11880" w:h="15480" w:orient="portrait"/>
          <w:cols w:equalWidth="0" w:num="2">
            <w:col w:w="9160" w:space="660"/>
            <w:col w:w="1040"/>
          </w:cols>
          <w:pgMar w:left="540" w:top="319" w:right="480" w:bottom="29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5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Inquiries regarding stock transfer requirements, address changes and lost stock certificates should be directed to: EQ, LLC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PO Box 500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Newark, NJ 07101</w:t>
      </w:r>
    </w:p>
    <w:p>
      <w:pPr>
        <w:spacing w:after="0" w:line="36" w:lineRule="exact"/>
        <w:rPr>
          <w:sz w:val="20"/>
          <w:szCs w:val="20"/>
          <w:color w:val="auto"/>
        </w:rPr>
      </w:pPr>
    </w:p>
    <w:p>
      <w:pPr>
        <w:ind w:right="1540"/>
        <w:spacing w:after="0" w:line="298" w:lineRule="auto"/>
        <w:rPr>
          <w:sz w:val="20"/>
          <w:szCs w:val="20"/>
          <w:color w:val="auto"/>
        </w:rPr>
      </w:pPr>
      <w:r>
        <w:rPr>
          <w:rFonts w:ascii="Arial" w:cs="Arial" w:eastAsia="Arial" w:hAnsi="Arial"/>
          <w:sz w:val="16"/>
          <w:szCs w:val="16"/>
          <w:color w:val="auto"/>
        </w:rPr>
        <w:t>Tel: 800-937-5449 or 718-921-8124 HelpAST@equiniti.com</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120"/>
        <w:spacing w:after="0" w:line="299" w:lineRule="auto"/>
        <w:rPr>
          <w:sz w:val="20"/>
          <w:szCs w:val="20"/>
          <w:color w:val="auto"/>
        </w:rPr>
      </w:pPr>
      <w:r>
        <w:rPr>
          <w:rFonts w:ascii="Arial" w:cs="Arial" w:eastAsia="Arial" w:hAnsi="Arial"/>
          <w:sz w:val="16"/>
          <w:szCs w:val="16"/>
          <w:color w:val="auto"/>
        </w:rPr>
        <w:t>INDEPENDENT REGISTERED PUBLIC ACCOUNTING FIRM KPMG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Suite 600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350 N. 5th Street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Minneapolis, MN 55401</w:t>
      </w:r>
    </w:p>
    <w:p>
      <w:pPr>
        <w:spacing w:after="0" w:line="913" w:lineRule="exact"/>
        <w:rPr>
          <w:sz w:val="20"/>
          <w:szCs w:val="20"/>
          <w:color w:val="auto"/>
        </w:rPr>
      </w:pPr>
    </w:p>
    <w:p>
      <w:pPr>
        <w:sectPr>
          <w:pgSz w:w="11880" w:h="15480" w:orient="portrait"/>
          <w:cols w:equalWidth="0" w:num="2">
            <w:col w:w="4080" w:space="720"/>
            <w:col w:w="6060"/>
          </w:cols>
          <w:pgMar w:left="540" w:top="319" w:right="480" w:bottom="290" w:gutter="0" w:footer="0" w:header="0"/>
          <w:type w:val="continuous"/>
        </w:sectPr>
      </w:pPr>
    </w:p>
    <w:p>
      <w:pPr>
        <w:spacing w:after="0" w:line="309" w:lineRule="exact"/>
        <w:rPr>
          <w:sz w:val="20"/>
          <w:szCs w:val="20"/>
          <w:color w:val="auto"/>
        </w:rPr>
      </w:pPr>
    </w:p>
    <w:p>
      <w:pPr>
        <w:ind w:right="1860"/>
        <w:spacing w:after="0" w:line="238" w:lineRule="auto"/>
        <w:rPr>
          <w:sz w:val="20"/>
          <w:szCs w:val="20"/>
          <w:color w:val="auto"/>
        </w:rPr>
      </w:pPr>
      <w:r>
        <w:rPr>
          <w:rFonts w:ascii="Arial" w:cs="Arial" w:eastAsia="Arial" w:hAnsi="Arial"/>
          <w:sz w:val="14"/>
          <w:szCs w:val="14"/>
          <w:color w:val="auto"/>
        </w:rPr>
        <w:t>This Annual Report contains forward-looking statements within the meaning of the federal securities laws. You can identify these forward-looking statements by our use of the words “believes,” “anticipates,” “plans,” “expects,” “may,” “will,” “intends,” “estimates,” and similar expressions, whether in the negative or in the affirmative. Although we believe that these forward-looking statements reasonably reflect our plans, intentions</w:t>
      </w:r>
    </w:p>
    <w:p>
      <w:pPr>
        <w:spacing w:after="0" w:line="1" w:lineRule="exact"/>
        <w:rPr>
          <w:sz w:val="20"/>
          <w:szCs w:val="20"/>
          <w:color w:val="auto"/>
        </w:rPr>
      </w:pPr>
    </w:p>
    <w:p>
      <w:pPr>
        <w:ind w:right="2000"/>
        <w:spacing w:after="0" w:line="256" w:lineRule="auto"/>
        <w:rPr>
          <w:sz w:val="20"/>
          <w:szCs w:val="20"/>
          <w:color w:val="auto"/>
        </w:rPr>
      </w:pPr>
      <w:r>
        <w:rPr>
          <w:rFonts w:ascii="Arial" w:cs="Arial" w:eastAsia="Arial" w:hAnsi="Arial"/>
          <w:sz w:val="13"/>
          <w:szCs w:val="13"/>
          <w:color w:val="auto"/>
        </w:rPr>
        <w:t>and expectations, our actual results could differ materially from the plans, intentions and expectations disclosed in the forward-looking statements we make. We have included important factors in the cautionary statements under the heading “Risk Factors” under Item 1A of our Form 10-K for the year ended February 1, 2025, that we believe could cause our actual results to differ materially from the forward-looking statements</w:t>
      </w:r>
    </w:p>
    <w:p>
      <w:pPr>
        <w:spacing w:after="0" w:line="2" w:lineRule="exact"/>
        <w:rPr>
          <w:sz w:val="20"/>
          <w:szCs w:val="20"/>
          <w:color w:val="auto"/>
        </w:rPr>
      </w:pPr>
    </w:p>
    <w:p>
      <w:pPr>
        <w:ind w:right="1840"/>
        <w:spacing w:after="0" w:line="243" w:lineRule="auto"/>
        <w:rPr>
          <w:sz w:val="20"/>
          <w:szCs w:val="20"/>
          <w:color w:val="auto"/>
        </w:rPr>
      </w:pPr>
      <w:r>
        <w:rPr>
          <w:rFonts w:ascii="Arial" w:cs="Arial" w:eastAsia="Arial" w:hAnsi="Arial"/>
          <w:sz w:val="14"/>
          <w:szCs w:val="14"/>
          <w:color w:val="auto"/>
        </w:rPr>
        <w:t>that we make. Forward-looking statements contained in this Annual Report speak only as of the date of this report. Subsequent events or circumstances occurring after such date may render these incomplete or out of date. We undertake no obligation and expressly disclaim any duty to update such statements.</w:t>
      </w:r>
    </w:p>
    <w:p>
      <w:pPr>
        <w:sectPr>
          <w:pgSz w:w="11880" w:h="15480" w:orient="portrait"/>
          <w:cols w:equalWidth="0" w:num="1">
            <w:col w:w="10860"/>
          </w:cols>
          <w:pgMar w:left="540" w:top="319" w:right="480" w:bottom="290"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Destination XL Group, Inc.</w:t>
      </w:r>
    </w:p>
    <w:p>
      <w:pPr>
        <w:spacing w:after="0" w:line="82"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555 Turnpike St. Canton, MA 02021</w:t>
      </w:r>
    </w:p>
    <w:p>
      <w:pPr>
        <w:spacing w:after="0" w:line="2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781.828.9300</w:t>
      </w:r>
    </w:p>
    <w:p>
      <w:pPr>
        <w:spacing w:after="0" w:line="8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DXL.COM</w:t>
      </w:r>
    </w:p>
    <w:sectPr>
      <w:pgSz w:w="11880" w:h="15480" w:orient="portrait"/>
      <w:cols w:equalWidth="0" w:num="1">
        <w:col w:w="9000"/>
      </w:cols>
      <w:pgMar w:left="1440" w:top="1440" w:right="1440" w:bottom="4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decimal"/>
      <w:start w:val="14"/>
    </w:lvl>
  </w:abstractNum>
  <w:abstractNum w:abstractNumId="18">
    <w:nsid w:val="257130A3"/>
    <w:multiLevelType w:val="hybridMultilevel"/>
    <w:lvl w:ilvl="0">
      <w:lvlJc w:val="left"/>
      <w:lvlText w:val="%1"/>
      <w:numFmt w:val="decimal"/>
      <w:start w:val="101"/>
    </w:lvl>
  </w:abstractNum>
  <w:abstractNum w:abstractNumId="19">
    <w:nsid w:val="62BBD95A"/>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2025-07-02T00:20:00Z</dcterms:created>
  <dcterms:modified xsi:type="dcterms:W3CDTF">2025-07-02T00:20:00Z</dcterms:modified>
</cp:coreProperties>
</file>