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Advisors,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(b)</w:t>
            </w:r>
          </w:p>
        </w:tc>
        <w:tc>
          <w:tcPr>
            <w:tcW w:w="9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5,027,151</w:t>
            </w:r>
          </w:p>
        </w:tc>
        <w:tc>
          <w:tcPr>
            <w:tcW w:w="0" w:type="dxa"/>
            <w:vAlign w:val="bottom"/>
          </w:tcPr>
          <w:p>
            <w:pPr>
              <w:spacing w:after="0"/>
              <w:rPr>
                <w:sz w:val="1"/>
                <w:szCs w:val="1"/>
                <w:color w:val="auto"/>
              </w:rPr>
            </w:pPr>
          </w:p>
        </w:tc>
      </w:tr>
      <w:tr>
        <w:trPr>
          <w:trHeight w:val="157"/>
        </w:trPr>
        <w:tc>
          <w:tcPr>
            <w:tcW w:w="118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3"/>
                <w:szCs w:val="13"/>
                <w:color w:val="auto"/>
              </w:rPr>
            </w:pPr>
          </w:p>
        </w:tc>
        <w:tc>
          <w:tcPr>
            <w:tcW w:w="9880" w:type="dxa"/>
            <w:vAlign w:val="bottom"/>
          </w:tcPr>
          <w:p>
            <w:pPr>
              <w:spacing w:after="0" w:line="157"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760" w:type="dxa"/>
            <w:vAlign w:val="bottom"/>
            <w:tcBorders>
              <w:right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1,193,134</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8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6"/>
                <w:szCs w:val="6"/>
                <w:color w:val="auto"/>
              </w:rPr>
            </w:pPr>
          </w:p>
        </w:tc>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76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w w:val="88"/>
              </w:rPr>
              <w:t>Each</w:t>
            </w:r>
          </w:p>
        </w:tc>
        <w:tc>
          <w:tcPr>
            <w:tcW w:w="6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6,220,285</w:t>
            </w:r>
          </w:p>
        </w:tc>
        <w:tc>
          <w:tcPr>
            <w:tcW w:w="0" w:type="dxa"/>
            <w:vAlign w:val="bottom"/>
          </w:tcPr>
          <w:p>
            <w:pPr>
              <w:spacing w:after="0"/>
              <w:rPr>
                <w:sz w:val="1"/>
                <w:szCs w:val="1"/>
                <w:color w:val="auto"/>
              </w:rPr>
            </w:pPr>
          </w:p>
        </w:tc>
      </w:tr>
      <w:tr>
        <w:trPr>
          <w:trHeight w:val="207"/>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0"/>
              </w:rPr>
              <w:t>Person With:</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6,220,285</w:t>
            </w: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99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9"/>
              </w:rPr>
              <w:t>12.2%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 HC</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Glenn J. Krevlin</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(b)</w:t>
            </w:r>
          </w:p>
        </w:tc>
        <w:tc>
          <w:tcPr>
            <w:tcW w:w="9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5,027,151</w:t>
            </w:r>
          </w:p>
        </w:tc>
        <w:tc>
          <w:tcPr>
            <w:tcW w:w="0" w:type="dxa"/>
            <w:vAlign w:val="bottom"/>
          </w:tcPr>
          <w:p>
            <w:pPr>
              <w:spacing w:after="0"/>
              <w:rPr>
                <w:sz w:val="1"/>
                <w:szCs w:val="1"/>
                <w:color w:val="auto"/>
              </w:rPr>
            </w:pPr>
          </w:p>
        </w:tc>
      </w:tr>
      <w:tr>
        <w:trPr>
          <w:trHeight w:val="157"/>
        </w:trPr>
        <w:tc>
          <w:tcPr>
            <w:tcW w:w="118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3"/>
                <w:szCs w:val="13"/>
                <w:color w:val="auto"/>
              </w:rPr>
            </w:pPr>
          </w:p>
        </w:tc>
        <w:tc>
          <w:tcPr>
            <w:tcW w:w="9880" w:type="dxa"/>
            <w:vAlign w:val="bottom"/>
          </w:tcPr>
          <w:p>
            <w:pPr>
              <w:spacing w:after="0" w:line="157"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760" w:type="dxa"/>
            <w:vAlign w:val="bottom"/>
            <w:tcBorders>
              <w:right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1,193,134</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8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6"/>
                <w:szCs w:val="6"/>
                <w:color w:val="auto"/>
              </w:rPr>
            </w:pPr>
          </w:p>
        </w:tc>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76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w w:val="88"/>
              </w:rPr>
              <w:t>Each</w:t>
            </w:r>
          </w:p>
        </w:tc>
        <w:tc>
          <w:tcPr>
            <w:tcW w:w="6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6,220,285</w:t>
            </w:r>
          </w:p>
        </w:tc>
        <w:tc>
          <w:tcPr>
            <w:tcW w:w="0" w:type="dxa"/>
            <w:vAlign w:val="bottom"/>
          </w:tcPr>
          <w:p>
            <w:pPr>
              <w:spacing w:after="0"/>
              <w:rPr>
                <w:sz w:val="1"/>
                <w:szCs w:val="1"/>
                <w:color w:val="auto"/>
              </w:rPr>
            </w:pPr>
          </w:p>
        </w:tc>
      </w:tr>
      <w:tr>
        <w:trPr>
          <w:trHeight w:val="207"/>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0"/>
              </w:rPr>
              <w:t>Person With:</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6,220,285</w:t>
            </w: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99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9"/>
              </w:rPr>
              <w:t>12.2%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IN, HC</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Advisors,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(b)</w:t>
            </w:r>
          </w:p>
        </w:tc>
        <w:tc>
          <w:tcPr>
            <w:tcW w:w="9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7"/>
        </w:trPr>
        <w:tc>
          <w:tcPr>
            <w:tcW w:w="118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3"/>
                <w:szCs w:val="13"/>
                <w:color w:val="auto"/>
              </w:rPr>
            </w:pPr>
          </w:p>
        </w:tc>
        <w:tc>
          <w:tcPr>
            <w:tcW w:w="9880" w:type="dxa"/>
            <w:vAlign w:val="bottom"/>
          </w:tcPr>
          <w:p>
            <w:pPr>
              <w:spacing w:after="0" w:line="157"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760" w:type="dxa"/>
            <w:vAlign w:val="bottom"/>
            <w:tcBorders>
              <w:right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6,220,285</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8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6"/>
                <w:szCs w:val="6"/>
                <w:color w:val="auto"/>
              </w:rPr>
            </w:pPr>
          </w:p>
        </w:tc>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76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w w:val="88"/>
              </w:rPr>
              <w:t>Each</w:t>
            </w:r>
          </w:p>
        </w:tc>
        <w:tc>
          <w:tcPr>
            <w:tcW w:w="6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7"/>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0"/>
              </w:rPr>
              <w:t>Person With:</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6,220,285</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6,220,285</w:t>
            </w: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99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9"/>
              </w:rPr>
              <w:t>12.2%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 HC</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Management,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90"/>
              </w:rPr>
              <w:t>(b)</w:t>
            </w:r>
          </w:p>
        </w:tc>
        <w:tc>
          <w:tcPr>
            <w:tcW w:w="9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w:t>
            </w: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7"/>
        </w:trPr>
        <w:tc>
          <w:tcPr>
            <w:tcW w:w="118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3"/>
                <w:szCs w:val="13"/>
                <w:color w:val="auto"/>
              </w:rPr>
            </w:pPr>
          </w:p>
        </w:tc>
        <w:tc>
          <w:tcPr>
            <w:tcW w:w="9880" w:type="dxa"/>
            <w:vAlign w:val="bottom"/>
          </w:tcPr>
          <w:p>
            <w:pPr>
              <w:spacing w:after="0" w:line="157"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760" w:type="dxa"/>
            <w:vAlign w:val="bottom"/>
            <w:tcBorders>
              <w:right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83"/>
              </w:rPr>
              <w:t>Shares</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5,027,151</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8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6"/>
                <w:szCs w:val="6"/>
                <w:color w:val="auto"/>
              </w:rPr>
            </w:pPr>
          </w:p>
        </w:tc>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76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w w:val="88"/>
              </w:rPr>
              <w:t>Each</w:t>
            </w:r>
          </w:p>
        </w:tc>
        <w:tc>
          <w:tcPr>
            <w:tcW w:w="6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7"/>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0"/>
              </w:rPr>
              <w:t>Person With:</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5,027,151</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5,027,151</w:t>
            </w: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99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9.9%</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 HC</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Overseas Master Fund, LP</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0"/>
              </w:rPr>
              <w:t>(b)</w:t>
            </w:r>
          </w:p>
        </w:tc>
        <w:tc>
          <w:tcPr>
            <w:tcW w:w="98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87"/>
              </w:rPr>
              <w:t>Cayman</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80"/>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7"/>
        </w:trPr>
        <w:tc>
          <w:tcPr>
            <w:tcW w:w="118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b w:val="1"/>
                <w:bCs w:val="1"/>
                <w:color w:val="auto"/>
                <w:w w:val="99"/>
              </w:rPr>
              <w:t>6</w:t>
            </w:r>
          </w:p>
        </w:tc>
        <w:tc>
          <w:tcPr>
            <w:tcW w:w="100" w:type="dxa"/>
            <w:vAlign w:val="bottom"/>
          </w:tcPr>
          <w:p>
            <w:pPr>
              <w:spacing w:after="0"/>
              <w:rPr>
                <w:sz w:val="13"/>
                <w:szCs w:val="13"/>
                <w:color w:val="auto"/>
              </w:rPr>
            </w:pPr>
          </w:p>
        </w:tc>
        <w:tc>
          <w:tcPr>
            <w:tcW w:w="9880" w:type="dxa"/>
            <w:vAlign w:val="bottom"/>
          </w:tcPr>
          <w:p>
            <w:pPr>
              <w:spacing w:after="0" w:line="157"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760" w:type="dxa"/>
            <w:vAlign w:val="bottom"/>
            <w:tcBorders>
              <w:right w:val="single" w:sz="8" w:color="auto"/>
            </w:tcBorders>
          </w:tcPr>
          <w:p>
            <w:pPr>
              <w:jc w:val="center"/>
              <w:ind w:right="164"/>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Beneficially</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3,232,536</w:t>
            </w:r>
          </w:p>
        </w:tc>
        <w:tc>
          <w:tcPr>
            <w:tcW w:w="0" w:type="dxa"/>
            <w:vAlign w:val="bottom"/>
          </w:tcPr>
          <w:p>
            <w:pPr>
              <w:spacing w:after="0"/>
              <w:rPr>
                <w:sz w:val="1"/>
                <w:szCs w:val="1"/>
                <w:color w:val="auto"/>
              </w:rPr>
            </w:pPr>
          </w:p>
        </w:tc>
      </w:tr>
      <w:tr>
        <w:trPr>
          <w:trHeight w:val="125"/>
        </w:trPr>
        <w:tc>
          <w:tcPr>
            <w:tcW w:w="118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0"/>
              </w:rPr>
              <w:t>Owned by</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8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6"/>
                <w:szCs w:val="6"/>
                <w:color w:val="auto"/>
              </w:rPr>
            </w:pPr>
          </w:p>
        </w:tc>
        <w:tc>
          <w:tcPr>
            <w:tcW w:w="988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760" w:type="dxa"/>
            <w:vAlign w:val="bottom"/>
            <w:tcBorders>
              <w:right w:val="single" w:sz="8" w:color="auto"/>
            </w:tcBorders>
            <w:vMerge w:val="restart"/>
          </w:tcPr>
          <w:p>
            <w:pPr>
              <w:jc w:val="center"/>
              <w:ind w:right="164"/>
              <w:spacing w:after="0"/>
              <w:rPr>
                <w:sz w:val="20"/>
                <w:szCs w:val="20"/>
                <w:color w:val="auto"/>
              </w:rPr>
            </w:pPr>
            <w:r>
              <w:rPr>
                <w:rFonts w:ascii="Arial" w:cs="Arial" w:eastAsia="Arial" w:hAnsi="Arial"/>
                <w:sz w:val="18"/>
                <w:szCs w:val="18"/>
                <w:b w:val="1"/>
                <w:bCs w:val="1"/>
                <w:color w:val="auto"/>
                <w:w w:val="88"/>
              </w:rPr>
              <w:t>Each</w:t>
            </w:r>
          </w:p>
        </w:tc>
        <w:tc>
          <w:tcPr>
            <w:tcW w:w="80" w:type="dxa"/>
            <w:vAlign w:val="bottom"/>
          </w:tcPr>
          <w:p>
            <w:pPr>
              <w:spacing w:after="0"/>
              <w:rPr>
                <w:sz w:val="13"/>
                <w:szCs w:val="13"/>
                <w:color w:val="auto"/>
              </w:rPr>
            </w:pPr>
          </w:p>
        </w:tc>
        <w:tc>
          <w:tcPr>
            <w:tcW w:w="20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1"/>
              </w:rPr>
              <w:t>Reporting</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8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7"/>
        </w:trPr>
        <w:tc>
          <w:tcPr>
            <w:tcW w:w="118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0"/>
              </w:rPr>
              <w:t>Person With:</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3,232,536</w:t>
            </w: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6"/>
              </w:rPr>
              <w:t>3,232,536</w:t>
            </w: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99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6.4%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PN</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-198755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60" w:space="620"/>
            <w:col w:w="10040"/>
          </w:cols>
          <w:pgMar w:left="240" w:top="270" w:right="239" w:bottom="1440" w:gutter="0" w:footer="0" w:header="0"/>
        </w:sectPr>
      </w:pPr>
    </w:p>
    <w:p>
      <w:pPr>
        <w:ind w:left="1380"/>
        <w:spacing w:after="0"/>
        <w:rPr>
          <w:sz w:val="20"/>
          <w:szCs w:val="20"/>
          <w:color w:val="auto"/>
        </w:rPr>
      </w:pPr>
      <w:r>
        <w:rPr>
          <w:rFonts w:ascii="Arial" w:cs="Arial" w:eastAsia="Arial" w:hAnsi="Arial"/>
          <w:sz w:val="16"/>
          <w:szCs w:val="16"/>
          <w:color w:val="auto"/>
        </w:rPr>
        <w:t>Destination XL Group, Inc.</w:t>
      </w:r>
    </w:p>
    <w:p>
      <w:pPr>
        <w:sectPr>
          <w:pgSz w:w="11900" w:h="16838" w:orient="portrait"/>
          <w:cols w:equalWidth="0" w:num="1">
            <w:col w:w="11420"/>
          </w:cols>
          <w:pgMar w:left="240" w:top="270" w:right="23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144" w:lineRule="exact"/>
        <w:rPr>
          <w:sz w:val="20"/>
          <w:szCs w:val="20"/>
          <w:color w:val="auto"/>
        </w:rPr>
      </w:pPr>
    </w:p>
    <w:p>
      <w:pPr>
        <w:sectPr>
          <w:pgSz w:w="11900" w:h="16838" w:orient="portrait"/>
          <w:cols w:equalWidth="0" w:num="2">
            <w:col w:w="760" w:space="620"/>
            <w:col w:w="10040"/>
          </w:cols>
          <w:pgMar w:left="240" w:top="270"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555 Turnpike Street</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Canton, MA 02021</w:t>
      </w:r>
    </w:p>
    <w:p>
      <w:pPr>
        <w:sectPr>
          <w:pgSz w:w="11900" w:h="16838" w:orient="portrait"/>
          <w:cols w:equalWidth="0" w:num="1">
            <w:col w:w="11420"/>
          </w:cols>
          <w:pgMar w:left="240" w:top="270" w:right="239" w:bottom="1440" w:gutter="0" w:footer="0" w:header="0"/>
          <w:type w:val="continuous"/>
        </w:sect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144" w:lineRule="exact"/>
        <w:rPr>
          <w:sz w:val="20"/>
          <w:szCs w:val="20"/>
          <w:color w:val="auto"/>
        </w:rPr>
      </w:pPr>
    </w:p>
    <w:p>
      <w:pPr>
        <w:sectPr>
          <w:pgSz w:w="11900" w:h="16838" w:orient="portrait"/>
          <w:cols w:equalWidth="0" w:num="2">
            <w:col w:w="760" w:space="620"/>
            <w:col w:w="10040"/>
          </w:cols>
          <w:pgMar w:left="240" w:top="270" w:right="239" w:bottom="1440" w:gutter="0" w:footer="0" w:header="0"/>
          <w:type w:val="continuous"/>
        </w:sectPr>
      </w:pPr>
    </w:p>
    <w:p>
      <w:pPr>
        <w:ind w:left="1380" w:right="520"/>
        <w:spacing w:after="0" w:line="277" w:lineRule="auto"/>
        <w:rPr>
          <w:sz w:val="20"/>
          <w:szCs w:val="20"/>
          <w:color w:val="auto"/>
        </w:rPr>
      </w:pPr>
      <w:r>
        <w:rPr>
          <w:rFonts w:ascii="Arial" w:cs="Arial" w:eastAsia="Arial" w:hAnsi="Arial"/>
          <w:sz w:val="18"/>
          <w:szCs w:val="18"/>
          <w:color w:val="auto"/>
        </w:rPr>
        <w:t>Glenhill Advisors, LLC, Glenn J. Krevlin, Glenhill Capital Advisors, LLC, Glenhill Capital Management, LLC and Glenhill Capital Overseas Master Fund, LP.</w:t>
      </w:r>
    </w:p>
    <w:p>
      <w:pPr>
        <w:spacing w:after="0" w:line="170" w:lineRule="exact"/>
        <w:rPr>
          <w:sz w:val="20"/>
          <w:szCs w:val="20"/>
          <w:color w:val="auto"/>
        </w:rPr>
      </w:pPr>
    </w:p>
    <w:p>
      <w:pPr>
        <w:ind w:left="1380" w:right="40"/>
        <w:spacing w:after="0" w:line="291" w:lineRule="auto"/>
        <w:rPr>
          <w:sz w:val="20"/>
          <w:szCs w:val="20"/>
          <w:color w:val="auto"/>
        </w:rPr>
      </w:pPr>
      <w:r>
        <w:rPr>
          <w:rFonts w:ascii="Arial" w:cs="Arial" w:eastAsia="Arial" w:hAnsi="Arial"/>
          <w:sz w:val="16"/>
          <w:szCs w:val="16"/>
          <w:color w:val="auto"/>
        </w:rPr>
        <w:t>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Issuer.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w:t>
      </w:r>
    </w:p>
    <w:p>
      <w:pPr>
        <w:spacing w:after="0" w:line="167" w:lineRule="exact"/>
        <w:rPr>
          <w:sz w:val="20"/>
          <w:szCs w:val="20"/>
          <w:color w:val="auto"/>
        </w:rPr>
      </w:pPr>
    </w:p>
    <w:p>
      <w:pPr>
        <w:ind w:left="1380"/>
        <w:spacing w:after="0" w:line="276" w:lineRule="auto"/>
        <w:rPr>
          <w:sz w:val="20"/>
          <w:szCs w:val="20"/>
          <w:color w:val="auto"/>
        </w:rPr>
      </w:pPr>
      <w:r>
        <w:rPr>
          <w:rFonts w:ascii="Arial" w:cs="Arial" w:eastAsia="Arial" w:hAnsi="Arial"/>
          <w:sz w:val="17"/>
          <w:szCs w:val="17"/>
          <w:color w:val="auto"/>
        </w:rPr>
        <w:t>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 As of the date of this filing, there are 1,193,134 shares of common stock of the Issuer held in such third party managed accounts, and the securities reported on the attached cover page(s) include such shares.</w:t>
      </w:r>
    </w:p>
    <w:p>
      <w:pPr>
        <w:sectPr>
          <w:pgSz w:w="11900" w:h="16838" w:orient="portrait"/>
          <w:cols w:equalWidth="0" w:num="1">
            <w:col w:w="11420"/>
          </w:cols>
          <w:pgMar w:left="240" w:top="270" w:right="239"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155" w:lineRule="exact"/>
        <w:rPr>
          <w:sz w:val="20"/>
          <w:szCs w:val="20"/>
          <w:color w:val="auto"/>
        </w:rPr>
      </w:pPr>
    </w:p>
    <w:p>
      <w:pPr>
        <w:sectPr>
          <w:pgSz w:w="11900" w:h="16838" w:orient="portrait"/>
          <w:cols w:equalWidth="0" w:num="2">
            <w:col w:w="760" w:space="620"/>
            <w:col w:w="10040"/>
          </w:cols>
          <w:pgMar w:left="240" w:top="270"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600 Fifth Avenue, 11th Floor</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NY 10020</w:t>
      </w:r>
    </w:p>
    <w:p>
      <w:pPr>
        <w:sectPr>
          <w:pgSz w:w="11900" w:h="16838" w:orient="portrait"/>
          <w:cols w:equalWidth="0" w:num="1">
            <w:col w:w="11420"/>
          </w:cols>
          <w:pgMar w:left="240" w:top="270" w:right="23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144" w:lineRule="exact"/>
        <w:rPr>
          <w:sz w:val="20"/>
          <w:szCs w:val="20"/>
          <w:color w:val="auto"/>
        </w:rPr>
      </w:pPr>
    </w:p>
    <w:p>
      <w:pPr>
        <w:sectPr>
          <w:pgSz w:w="11900" w:h="16838" w:orient="portrait"/>
          <w:cols w:equalWidth="0" w:num="2">
            <w:col w:w="740" w:space="640"/>
            <w:col w:w="10040"/>
          </w:cols>
          <w:pgMar w:left="240" w:top="270" w:right="239" w:bottom="1440" w:gutter="0" w:footer="0" w:header="0"/>
          <w:type w:val="continuous"/>
        </w:sectPr>
      </w:pPr>
    </w:p>
    <w:p>
      <w:pPr>
        <w:ind w:left="1380"/>
        <w:spacing w:after="0"/>
        <w:rPr>
          <w:sz w:val="20"/>
          <w:szCs w:val="20"/>
          <w:color w:val="auto"/>
        </w:rPr>
      </w:pPr>
      <w:r>
        <w:rPr>
          <w:rFonts w:ascii="Arial" w:cs="Arial" w:eastAsia="Arial" w:hAnsi="Arial"/>
          <w:sz w:val="15"/>
          <w:szCs w:val="15"/>
          <w:color w:val="auto"/>
        </w:rPr>
        <w:t>See the response(s) to Item 4 on the attached cover page(s).</w:t>
      </w:r>
    </w:p>
    <w:p>
      <w:pPr>
        <w:sectPr>
          <w:pgSz w:w="11900" w:h="16838" w:orient="portrait"/>
          <w:cols w:equalWidth="0" w:num="1">
            <w:col w:w="11420"/>
          </w:cols>
          <w:pgMar w:left="240" w:top="270" w:right="2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155" w:lineRule="exact"/>
        <w:rPr>
          <w:sz w:val="20"/>
          <w:szCs w:val="20"/>
          <w:color w:val="auto"/>
        </w:rPr>
      </w:pPr>
    </w:p>
    <w:p>
      <w:pPr>
        <w:sectPr>
          <w:pgSz w:w="11900" w:h="16838" w:orient="portrait"/>
          <w:cols w:equalWidth="0" w:num="2">
            <w:col w:w="760" w:space="620"/>
            <w:col w:w="10040"/>
          </w:cols>
          <w:pgMar w:left="240" w:top="270"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Common Stock</w:t>
      </w:r>
    </w:p>
    <w:p>
      <w:pPr>
        <w:sectPr>
          <w:pgSz w:w="11900" w:h="16838" w:orient="portrait"/>
          <w:cols w:equalWidth="0" w:num="1">
            <w:col w:w="11420"/>
          </w:cols>
          <w:pgMar w:left="240" w:top="270" w:right="239" w:bottom="1440" w:gutter="0" w:footer="0" w:header="0"/>
          <w:type w:val="continuous"/>
        </w:sectPr>
      </w:pPr>
    </w:p>
    <w:bookmarkStart w:id="7" w:name="page8"/>
    <w:bookmarkEnd w:id="7"/>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6"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720"/>
        <w:spacing w:after="0" w:line="255"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50,812,682, the number of shares of common stock issued and outstanding as reported in the Issuer’s Form 10-Q filed with the Securities and Exchange Commission on November 20, 2015.</w:t>
      </w:r>
    </w:p>
    <w:p>
      <w:pPr>
        <w:spacing w:after="0" w:line="95"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2160" w:hanging="558"/>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6" w:lineRule="exact"/>
        <w:rPr>
          <w:rFonts w:ascii="Arial" w:cs="Arial" w:eastAsia="Arial" w:hAnsi="Arial"/>
          <w:sz w:val="18"/>
          <w:szCs w:val="18"/>
          <w:color w:val="auto"/>
        </w:rPr>
      </w:pPr>
    </w:p>
    <w:p>
      <w:pPr>
        <w:ind w:left="2160" w:hanging="558"/>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6" w:lineRule="exact"/>
        <w:rPr>
          <w:rFonts w:ascii="Arial" w:cs="Arial" w:eastAsia="Arial" w:hAnsi="Arial"/>
          <w:sz w:val="18"/>
          <w:szCs w:val="18"/>
          <w:color w:val="auto"/>
        </w:rPr>
      </w:pPr>
    </w:p>
    <w:p>
      <w:pPr>
        <w:ind w:left="2160" w:hanging="558"/>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16" w:lineRule="exact"/>
        <w:rPr>
          <w:rFonts w:ascii="Arial" w:cs="Arial" w:eastAsia="Arial" w:hAnsi="Arial"/>
          <w:sz w:val="18"/>
          <w:szCs w:val="18"/>
          <w:color w:val="auto"/>
        </w:rPr>
      </w:pPr>
    </w:p>
    <w:p>
      <w:pPr>
        <w:ind w:left="2180" w:right="4960" w:hanging="578"/>
        <w:spacing w:after="0" w:line="342" w:lineRule="auto"/>
        <w:tabs>
          <w:tab w:leader="none" w:pos="2173"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60"/>
          </w:cols>
          <w:pgMar w:left="240" w:top="270" w:right="29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16, 2016</w:t>
      </w:r>
    </w:p>
    <w:p>
      <w:pPr>
        <w:spacing w:after="0" w:line="25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Title:</w:t>
        <w:tab/>
        <w:t>Managing Member</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 GLENN J. KREVLIN</w:t>
      </w: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Glenn J. Krevlin</w:t>
      </w: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GLENHILL CAPITAL ADVISORS, LLC</w:t>
      </w:r>
    </w:p>
    <w:p>
      <w:pPr>
        <w:spacing w:after="0" w:line="229"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KREVLIN MANAGEMENT,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Title:</w:t>
        <w:tab/>
        <w:t>President</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GLENHILL ADVISORS,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60"/>
        <w:spacing w:after="0"/>
        <w:tabs>
          <w:tab w:leader="none" w:pos="6040" w:val="left"/>
        </w:tabs>
        <w:rPr>
          <w:sz w:val="20"/>
          <w:szCs w:val="20"/>
          <w:color w:val="auto"/>
        </w:rPr>
      </w:pPr>
      <w:r>
        <w:rPr>
          <w:rFonts w:ascii="Arial" w:cs="Arial" w:eastAsia="Arial" w:hAnsi="Arial"/>
          <w:sz w:val="18"/>
          <w:szCs w:val="18"/>
          <w:color w:val="auto"/>
        </w:rPr>
        <w:t>Title:</w:t>
        <w:tab/>
        <w:t>Managing Member</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GLENHILL CAPITAL OVERSEAS MASTER FUND, LP</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GLENHILL CAPITAL OVERSEAS GP, LTD.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GLENHILL CAPITAL MANAGEMENT,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Sole Shareholder</w:t>
      </w:r>
    </w:p>
    <w:p>
      <w:pPr>
        <w:sectPr>
          <w:pgSz w:w="11900" w:h="16838" w:orient="portrait"/>
          <w:cols w:equalWidth="0" w:num="1">
            <w:col w:w="11060"/>
          </w:cols>
          <w:pgMar w:left="240" w:top="270" w:right="599" w:bottom="1440" w:gutter="0" w:footer="0" w:header="0"/>
        </w:sectPr>
      </w:pPr>
    </w:p>
    <w:bookmarkStart w:id="10" w:name="page11"/>
    <w:bookmarkEnd w:id="10"/>
    <w:p>
      <w:pPr>
        <w:ind w:left="4260"/>
        <w:spacing w:after="0"/>
        <w:tabs>
          <w:tab w:leader="none" w:pos="48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r>
        <w:rPr>
          <w:sz w:val="20"/>
          <w:szCs w:val="20"/>
          <w:color w:val="auto"/>
        </w:rPr>
        <w:tab/>
      </w:r>
      <w:r>
        <w:rPr>
          <w:rFonts w:ascii="Arial" w:cs="Arial" w:eastAsia="Arial" w:hAnsi="Arial"/>
          <w:sz w:val="17"/>
          <w:szCs w:val="17"/>
          <w:color w:val="auto"/>
        </w:rPr>
        <w:t>GLENHILL ADVISORS, LLC</w:t>
      </w:r>
    </w:p>
    <w:p>
      <w:pPr>
        <w:spacing w:after="0" w:line="3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Managing Member</w:t>
      </w:r>
    </w:p>
    <w:p>
      <w:pPr>
        <w:spacing w:after="0" w:line="224" w:lineRule="exact"/>
        <w:rPr>
          <w:sz w:val="20"/>
          <w:szCs w:val="20"/>
          <w:color w:val="auto"/>
        </w:rPr>
      </w:pPr>
    </w:p>
    <w:p>
      <w:pPr>
        <w:ind w:left="4260"/>
        <w:spacing w:after="0"/>
        <w:tabs>
          <w:tab w:leader="none" w:pos="4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4260"/>
        <w:spacing w:after="0"/>
        <w:tabs>
          <w:tab w:leader="none" w:pos="4840" w:val="left"/>
        </w:tabs>
        <w:rPr>
          <w:sz w:val="20"/>
          <w:szCs w:val="20"/>
          <w:color w:val="auto"/>
        </w:rPr>
      </w:pPr>
      <w:r>
        <w:rPr>
          <w:rFonts w:ascii="Arial" w:cs="Arial" w:eastAsia="Arial" w:hAnsi="Arial"/>
          <w:sz w:val="18"/>
          <w:szCs w:val="18"/>
          <w:color w:val="auto"/>
        </w:rPr>
        <w:t>Title:</w:t>
        <w:tab/>
        <w:t>Managing Member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2019-12-18T22:19:37Z</dcterms:created>
  <dcterms:modified xsi:type="dcterms:W3CDTF">2019-12-18T22:19:37Z</dcterms:modified>
</cp:coreProperties>
</file>