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Pursuant to Section 13 or 15(d)</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of the Securities Exchange Act of 1934</w:t>
      </w:r>
    </w:p>
    <w:p>
      <w:pPr>
        <w:sectPr>
          <w:pgSz w:w="11900" w:h="16838" w:orient="portrait"/>
          <w:cols w:equalWidth="0" w:num="1">
            <w:col w:w="11220"/>
          </w:cols>
          <w:pgMar w:left="240" w:top="355" w:right="439" w:bottom="1440" w:gutter="0" w:footer="0" w:header="0"/>
        </w:sectPr>
      </w:pPr>
    </w:p>
    <w:p>
      <w:pPr>
        <w:spacing w:after="0" w:line="199"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For the Quarterly Period</w:t>
      </w:r>
    </w:p>
    <w:p>
      <w:pPr>
        <w:spacing w:after="0" w:line="44"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Ended October 28, 2006</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-1704340</wp:posOffset>
            </wp:positionH>
            <wp:positionV relativeFrom="paragraph">
              <wp:posOffset>371475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439" w:lineRule="exact"/>
        <w:rPr>
          <w:sz w:val="24"/>
          <w:szCs w:val="24"/>
          <w:color w:val="auto"/>
        </w:rPr>
      </w:pPr>
    </w:p>
    <w:p>
      <w:pPr>
        <w:sectPr>
          <w:pgSz w:w="11900" w:h="16838" w:orient="portrait"/>
          <w:cols w:equalWidth="0" w:num="2">
            <w:col w:w="6700" w:space="720"/>
            <w:col w:w="3800"/>
          </w:cols>
          <w:pgMar w:left="240" w:top="355" w:right="439" w:bottom="1440" w:gutter="0" w:footer="0" w:header="0"/>
          <w:type w:val="continuous"/>
        </w:sectPr>
      </w:pPr>
    </w:p>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0"/>
        <w:spacing w:after="0" w:line="207" w:lineRule="exact"/>
        <w:tabs>
          <w:tab w:leader="none" w:pos="1980" w:val="left"/>
          <w:tab w:leader="none" w:pos="3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20"/>
        <w:spacing w:after="0" w:line="207" w:lineRule="exact"/>
        <w:tabs>
          <w:tab w:leader="none" w:pos="7400" w:val="left"/>
          <w:tab w:leader="none" w:pos="80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The number of shares of common stock outstanding as of November 13, 2006 was 34,503,496.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October 28, 2006</w:t>
            </w:r>
          </w:p>
        </w:tc>
        <w:tc>
          <w:tcPr>
            <w:tcW w:w="3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(unaudited)</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124,176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140,735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131,959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35,616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299,942</w:t>
            </w:r>
          </w:p>
        </w:tc>
        <w:tc>
          <w:tcPr>
            <w:tcW w:w="380" w:type="dxa"/>
            <w:vAlign w:val="bottom"/>
          </w:tcPr>
          <w:p>
            <w:pPr>
              <w:spacing w:after="0"/>
              <w:rPr>
                <w:sz w:val="19"/>
                <w:szCs w:val="19"/>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22,296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89,205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94,749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net of current portion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26,744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122,645</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Preferred stock, $0.01 par value, 1,000,000 shares authorized, none outstanding</w:t>
            </w: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w w:val="99"/>
              </w:rPr>
              <w:t>Common stock, $0.01 par value, 75,000,000 shares authorized, 41,018,363 and 39,635,937 shares issued at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28, 2006 and January 28, 2006, respectively</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163,938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156,177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w w:val="96"/>
              </w:rPr>
              <w:t>Treasury stock at cost, 6,521,642 and 5,171,930 shares at October 28, 2006 and January 28, 2006, respectively</w:t>
            </w:r>
          </w:p>
        </w:tc>
        <w:tc>
          <w:tcPr>
            <w:tcW w:w="1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(36,504)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(gain) loss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88,092</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299,942</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ind w:left="240"/>
              <w:spacing w:after="0"/>
              <w:rPr>
                <w:sz w:val="20"/>
                <w:szCs w:val="20"/>
                <w:color w:val="auto"/>
              </w:rPr>
            </w:pPr>
            <w:r>
              <w:rPr>
                <w:rFonts w:ascii="Arial" w:cs="Arial" w:eastAsia="Arial" w:hAnsi="Arial"/>
                <w:sz w:val="14"/>
                <w:szCs w:val="14"/>
                <w:b w:val="1"/>
                <w:bCs w:val="1"/>
                <w:color w:val="auto"/>
                <w:w w:val="85"/>
              </w:rPr>
              <w:t>For the 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28, 2006</w:t>
            </w:r>
          </w:p>
        </w:tc>
        <w:tc>
          <w:tcPr>
            <w:tcW w:w="6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October 29, 2005</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28, 2006</w:t>
            </w: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29,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106,851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93,770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321,517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59,790</w:t>
            </w:r>
          </w:p>
        </w:tc>
        <w:tc>
          <w:tcPr>
            <w:tcW w:w="5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55,185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178,829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47,061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38,585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142,688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42,082</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36,175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121,675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Provision for employment contract termination</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1,200</w:t>
            </w:r>
          </w:p>
        </w:tc>
        <w:tc>
          <w:tcPr>
            <w:tcW w:w="5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1,200</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3,624</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10,314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46,906</w:t>
            </w:r>
          </w:p>
        </w:tc>
        <w:tc>
          <w:tcPr>
            <w:tcW w:w="50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39,306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133,189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 net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1,112</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(1,522)</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(2,114)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(4,092)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provision for income taxes</w:t>
            </w: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(1,367)</w:t>
            </w:r>
          </w:p>
        </w:tc>
        <w:tc>
          <w:tcPr>
            <w:tcW w:w="5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(2,835)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6,519</w:t>
            </w: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(844)</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(2,835)</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3,944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basic</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 – diluted</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 basic</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34,393</w:t>
            </w:r>
          </w:p>
        </w:tc>
        <w:tc>
          <w:tcPr>
            <w:tcW w:w="5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34,345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34,665</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34,393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34,345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37,217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7"/>
              </w:rPr>
              <w:t>Nine Months Ended</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8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October 28, 2006</w:t>
            </w:r>
          </w:p>
        </w:tc>
        <w:tc>
          <w:tcPr>
            <w:tcW w:w="10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October 29, 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3,944</w:t>
            </w:r>
          </w:p>
        </w:tc>
        <w:tc>
          <w:tcPr>
            <w:tcW w:w="8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(2,696)</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used for operating activities: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10,314</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employment contract termination</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Gain on sale of subsidiary</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(1,483)</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(1,099)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Stock based compensation expense</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r>
      <w:tr>
        <w:trPr>
          <w:trHeight w:val="323"/>
        </w:trPr>
        <w:tc>
          <w:tcPr>
            <w:tcW w:w="85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(32,001)</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(27,250)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(2,837)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(1,893)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1,155</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for operating activities</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(6,838)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(8,492)</w:t>
            </w:r>
          </w:p>
        </w:tc>
      </w:t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Cash flows provided by (used for) investing activities:</w:t>
            </w: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(15,849)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(10,696)</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Acquisitions, net of cash acquired</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(2,980)</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earn-out provision for Rochester acquisition</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(1,333)</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proceeds from sale-leaseback of corporate headquarters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55,937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proceeds from sale of subsidiary, LP Innovations, Inc.</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38,345</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(10,696)</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provided by financing activities:</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(repayments) borrowings under credit facility</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(16,089)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(7,688)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(13,142)</w:t>
            </w: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proceeds from the issuance of common stock from options and warrants</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280" w:type="dxa"/>
            <w:vAlign w:val="bottom"/>
          </w:tcPr>
          <w:p>
            <w:pPr>
              <w:spacing w:after="0"/>
              <w:rPr>
                <w:sz w:val="20"/>
                <w:szCs w:val="20"/>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(29,890)</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19,940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8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End of the period</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84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2006 (included in the Company's Annual Report on Form 10-K, which was filed with the Securities and Exchange Commission on March 31, 2006).</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2006 is a 53-week period ending on February 3, 2007, with the fourth quarter containing 14 weeks.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Goodwill and Intangibles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Below is a table showing the changes in the carrying value of the Company’s goodwill and intangible assets from January 28, 2006 to October 28, 2006: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7"/>
              </w:rPr>
              <w:t>January 28, 2006</w:t>
            </w:r>
          </w:p>
        </w:tc>
        <w:tc>
          <w:tcPr>
            <w:tcW w:w="56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87"/>
              </w:rPr>
              <w:t>October 28, 2006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w:t>
            </w:r>
          </w:p>
        </w:tc>
        <w:tc>
          <w:tcPr>
            <w:tcW w:w="15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$ 3,665</w:t>
            </w:r>
            <w:r>
              <w:rPr>
                <w:rFonts w:ascii="Arial" w:cs="Arial" w:eastAsia="Arial" w:hAnsi="Arial"/>
                <w:sz w:val="11"/>
                <w:szCs w:val="11"/>
                <w:color w:val="auto"/>
              </w:rPr>
              <w:t>(1)</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56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101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9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During the first quarter of fiscal 2006, certain earn-out provisions from the Company’s Rochester acquisition were met and, accordingly, the Company made a payment of $1.3 million based on the performance of the Rochester division. In connection with the acquisition of Jared M. during the second quarter of fiscal 2006, the Company recorded goodwill of $2.0 million. During the third quarter of fiscal 2006, the Company recorded goodwill of $298,000 in connection with its acquisition of SuperSize World. See Note 5 - Acquisitions.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Customer Loyalty Program</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third quarter of fiscal 2006, the Company introduced a customer loyalty program for its Casual Male customers. Under the program, customers will accumulate points based on purchase activity and earn rewards by reaching certain point thresholds. Rewards earned are valid through the stated expiration date, which is approximately five months from the mailing date and can be redeemed for a discount on a future purchase of merchandise. Rewards not redeemed during the five-month redemption period are forfeited.</w:t>
      </w:r>
    </w:p>
    <w:p>
      <w:pPr>
        <w:spacing w:after="0" w:line="143"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estimate of the costs associated with the loyalty program requires the Company to make assumptions related to customer purchasing levels and redemption rates. A current liability is recorded with an offsetting reduction to revenue as the reward is earned equal to the estimated value of the anticipated redemptions.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Accounting Principle - Inventory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second quarter of fiscal 2006, the Company changed its inventory valuation method. Previously, inventory was principally valued at the lower of cost or market on a first in, first out (“FIFO”) basis, under the retail inventory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 Inventory for the Company’s catalog and e-commerce businesses were accounted for using the average cost method, which approximated the retail method. Commencing in the second quarter of fiscal 2006, all inventories have been valued at the lower of cost or market, using a weighted-average cost method. The Company believes that the weighted-average cost method is preferable as compared to the retail inventory method because it will provide much greater precision in the costing of sales and inventory, which will enable the Company to better manage its margins, control its promotions and value its inventory. Because the weighted-average cost method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the Company’s operations have been managed based on data provided from the perpetual inventory system. By valuing inventory based on the perpetual records, financial reporting of the Company is aligned with operations. Furthermore, the perpetual inventory provides SKU level/store level shrink measures to allow for more accurate estimates of shrink reserves for periodic reporting.</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revaluation of inventory using the weighted-average cost method approximated the Company’s inventory valuation under the previous FIFO retail method at January 29, 2006, April 29, 2006 and July 29, 2006; accordingly, the impact of the change was not material to the financial statements for the three and six months ended July 29, 2006. Further, the impact of the change did not have a material impact to the results for the third quarter of fiscal 2006 and is not expected to have a material effect on future periods. Due to system conversions that were completed at the end of fiscal 2005, the Company was able to generate SKU-level cost detail for all locations. Prior to such conversions, the Company could not determine the impact of the change to the weighted-average cost method and therefore could not retroactively apply the change to prior year periods presented.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Sale-Leaseback of Corporate Offices</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January 30, 2006, the Company entered into a sale-leaseback transaction with Spirit Finance Corp. (“Spirit”), a third-party real estate trust. Pursuant to the sale-leaseback transaction, the Company sold to Spirit its rights, title and interest in its headquarters and distribution center property for $56.0 million, net of transaction costs. The property consists of a 755,992 gross square foot building located on approximately 27.3 acres in Canton, MA. The transaction funded and closed on February 1, 2006.</w:t>
      </w:r>
    </w:p>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the closing, the Company entered into a Lease Agreement with a wholly-owned subsidiary of Spirit (the “Lease Agreement”) whereby the Company agreed to lease the property back for an annual rent of $4.6 million, payable monthly and in advance. The initial period of the Lease Agreement is for 20 years and will expire January 31, 2026 unless an option period is exercised. At that time, the Company will have the opportunity to extend the Lease Agreement for six additional successive periods of five years. In addition, on February 1, 2011, the fifth anniversary of the Lease Agreement, and for every fifth anniversary thereafter, the base rent will be subject to a rent increase not to exceed the lesser of 7% or a percentage based on changes in the Consumer Price Index. Upon commencement of the third extension term, on January 26, 2036, the annual base will be revalued based on the fair market value on that date, as determined in accordance with the Lease Agreement.</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first quarter of fiscal 2006, the Company realized a gain of approximately $29.3 million on the sale of the property, net of approximately $1.0 million of transaction costs. The gain was deferred and is being amortized over the initial term of the related Lease Agreement of 20 years in accordance with SFAS No. 98, </w:t>
      </w:r>
      <w:r>
        <w:rPr>
          <w:rFonts w:ascii="Arial" w:cs="Arial" w:eastAsia="Arial" w:hAnsi="Arial"/>
          <w:sz w:val="18"/>
          <w:szCs w:val="18"/>
          <w:i w:val="1"/>
          <w:iCs w:val="1"/>
          <w:color w:val="auto"/>
        </w:rPr>
        <w:t>Accounting for Leases</w:t>
      </w:r>
      <w:r>
        <w:rPr>
          <w:rFonts w:ascii="Arial" w:cs="Arial" w:eastAsia="Arial" w:hAnsi="Arial"/>
          <w:sz w:val="18"/>
          <w:szCs w:val="18"/>
          <w:color w:val="auto"/>
        </w:rPr>
        <w:t>. The annual recognition of the gain of approximately $1.5 million will partially offset the expected annual rent pursuant to the lease of $4.6 million. For the third quarter and first nine months of fiscal 2006, the Company recognized income of $366,000 and $1,099,000, respectively, related to the amortization of the deferred gain which was included as an offset to selling, general and administrative expenses in the Consolidated Statement of Operations for each period.</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used the net proceeds from the sale of approximately $56.0 million to reduce outstanding borrowings under its Amended Credit Facility (defined below) and to repay in full its term loan.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Sale of LP Innovations, Inc. subsidiary</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25, 2006, the Company sold its loss prevention subsidiary, LP Innovations, Inc. (“LPI”), to a private equity group for a purchase price of $5.2 million. The Company received $3.0 million of the purchase price in cash at the closing and received a note for the remaining purchase price of $2.2 million. The note requires LPI to make quarterly payments to the Company commencing on the first anniversary of the note. The note bears interest at 6.0% annually. Although the note is unsecured, if the principal and any accrued interest on the note are unpaid at any point during the term of the note, the Company has the right to offset amounts owed under the note against its payable to LPI for services rendered pursuant to the loss prevention contract described below. The Company recognized an initial gain on the sale of LPI in the amount of $1.5 million which is included in other income for the nine months ended October 28, 2006. Due to the uncertainty regarding the collection of the note, the Company has fully reserved the balance of the note on the Consolidated Balance Sheet at October 28, 2006 and is treating the amount as a contingent gain and, accordingly, will recognize income as the note is repaid to the Company. Such amounts recognized as income will be disclosed in future filings and will be included in “other income” on the Consolidated Statement of Operations.</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As part of the sale, the Company entered into a five-year contract with LPI whereby the Company will continue to use LPI for its loss prevention needs. The Company’s current fees to LPI will remain in effect for the first three years of the contract with normal CPI index increases after that.</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also entered into an agreement with LPI to provide, for a fee, transitional services to LPI for a period of six months from the date of the sale. These transitional services, which ended during the third quarter of fiscal 2006, included enabling LPI to maintain its space at the Company’s corporate headquarters and utilize the facilities, as well as support from the Company’s human resource and information technology staff.</w:t>
      </w:r>
    </w:p>
    <w:p>
      <w:pPr>
        <w:spacing w:after="0" w:line="182" w:lineRule="exact"/>
        <w:rPr>
          <w:sz w:val="20"/>
          <w:szCs w:val="20"/>
          <w:color w:val="auto"/>
        </w:rPr>
      </w:pPr>
    </w:p>
    <w:p>
      <w:pPr>
        <w:ind w:left="20" w:right="10260" w:hanging="12"/>
        <w:spacing w:after="0" w:line="417" w:lineRule="auto"/>
        <w:tabs>
          <w:tab w:leader="none" w:pos="191"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u w:val="single" w:color="auto"/>
          <w:color w:val="auto"/>
        </w:rPr>
        <w:t>Jared M</w:t>
      </w:r>
      <w:r>
        <w:rPr>
          <w:rFonts w:ascii="Arial" w:cs="Arial" w:eastAsia="Arial" w:hAnsi="Arial"/>
          <w:sz w:val="15"/>
          <w:szCs w:val="15"/>
          <w:color w:val="auto"/>
        </w:rPr>
        <w:t>.</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May 2, 2006, the Company purchased from JM Leather, Inc., Jared M., an apparel company specializing in selling custom clothing to professional athletes, almost all of whom are big &amp; tall. The Company sees this acquisition as a future growth opportunity for its Rochester division. Initially, the Company plans to open several Jared M. shops within the Company’s existing Rochester Big &amp; Tall stores and then expand the business to catalog and internet. This acquisition fits into the Company’s long-term strategy to gain market share in the big &amp; tall market.</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Pursuant to the terms of the asset purchase agreement, the Company paid a purchase price of approximately $2.6 million, plus assumed liabilities. In addition, the Company is subject to pay an earn-out provision of up to an additional $1.0 million over the next twelve to twenty-four months if the Jared M. business achieves certain earning levels specified in the agreement. The acquisition was accounted for under the purchase method of accounting, with the purchase price being allocated to the assets acquired based on relative fair values. The purchase price of $2.6 million resulted in the preliminary allocation of goodwill of $2.0 million. Pro forma results have not been presented as the acquisition was not deemed to be material.</w:t>
      </w:r>
    </w:p>
    <w:p>
      <w:pPr>
        <w:spacing w:after="0" w:line="1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accordance with the terms of the agreement, the Company also issued to Jared Margolis, the founder of Jared M. and currently an employee of the Company, an option to acquire 100,000 shares of the Company’s common stock at an exercise price of $9.42 per share. The option will vest ratably over four-years with the first one-fourth vesting on May 2, 2007. The fair value of the option based on the Black-Scholes model was $413,000 and is being expensed over its respective vesting period. See Note 7 – Equity for additional information regarding the Company’s accounting and valuation assumptions for stock-based compensation.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Acquisitions</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October 19, 2006, the Company acquired Supersize World, a direct-to-consumer business specializing in the selling of select unique, high quality products which help larger people maintain a more comfortable lifestyle. The types of products sold by Supersize World, at its website supersizeworld.com, include bathroom accessories, health and beauty items, medical products, sports and outdoor accessories, patio furniture, travel accessories and other household items. The Company paid a purchase price of approximately $400,000. The acquisition was accounted for under the purchase method of accounting, with the purchase price being allocated to the assets based on relative fair values resulting in the preliminary allocation of goodwill of $298,000. The Company retained the principals of Supersize World under a one -year consulting agreement for $190,000.</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May 19, 2006, the Company amended its credit facility with Bank of America Retail Group, LLC (formerly known as Fleet Retail Group, Inc.) by executing the Fourth Amendment to the Fourth Amended and Restated Loan and Security Agreement (the “Amendments”). The Amendments amended the credit facility (the “Amended Credit Facility”) to allow the Company to repurchase, redeem or acquire its common stock provided that the Company maintains certain excess availability levels, as defined in the Amended Credit Facility.</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Amended Credit Facility continues to principally provide for a total commitment of $90 million with the ability to issue documentary and standby letters of credits of up to $20 million. The maturity date of the Amended Credit Facility is October 29, 2007 and was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Company's ability to borrow under the Amended Credit Facility is determined using an availability formula based on eligible assets, with increased advance rates based on seasonality.</w:t>
      </w:r>
    </w:p>
    <w:p>
      <w:pPr>
        <w:spacing w:after="0" w:line="1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obligations under the Amended Credit Facility are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a minimum excess availability level of $12.5 million is not maintained. The Company was in compliance with all debt covenants under the Amended Credit Facility at October 28, 2006.</w:t>
      </w:r>
    </w:p>
    <w:p>
      <w:pPr>
        <w:spacing w:after="0" w:line="11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Company had $21.3 million in borrowings under the Amended Credit Facility at October 28, 2006. Outstanding standby letters of credit were $4.3 million and outstanding documentary letters of credit were $0.8 million. Average borrowings outstanding under this facility during the first nine months of fiscal 2006 were approximately $5.8 million, resulting in an average unused excess availability of approximately $68.4 million. Unused excess availability at October 28, 2006 was $63.7 million.</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October 28, 2006. At the Company’s option, any portion of the outstanding borrowings can be converted to LIBOR-based contracts; the remainder bears interest based on prime. At October 28, 2006, the prime-based interest rate was 8.25%. Approximately $16.0 million of the $21.3 million of borrowings outstanding at October 28, 2006 were LIBOR-based borrowings with an interest rate of 7.07%.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Convertible Senior Subordinated Notes due 2024</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fiscal 2003, the Company sold $100 million principal amount of convertible senior subordinated notes due 2024 (the “Convertible Notes”). The Convertible Notes were sold in a private transaction to qualified institutional buyers (as such term is defined in Rule 144A under the Securities Act of 1933, as amended). The Convertible Notes, which bear interest at a rate of 5% per year, payable semi-annually, are convertible into the Company’s common stock, at any time, at a conversion price of $10.65 per share and constitute general unsecured obligations of the Company, subordinate to all existing and future designated senior indebtedness. At October 28, 2006, $94.7 million of the Convertible Notes were outstanding.</w:t>
      </w:r>
    </w:p>
    <w:p>
      <w:pPr>
        <w:spacing w:after="0" w:line="1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Each Convertible Note holder has the right to require the Company to redeem the Convertible Notes for cash or delivery of shares of our common stock, at the Company’s option, on January 1, 2009, 2014, or 2019. The purchase price payable for each Convertible Note will be equal to 100% of its principal amount plus accrued and unpaid interest and additional interest, if any, to, but excluding, the repurchase date. In addition, on or after January 6, 2007, the Company has the option to redeem the Convertible Notes, for cash or delivery of shares at the option of the Convertible Note holder, in whole or in part, at the redemption price, which is 100% of the principal amount plus accrued and unpaid interest and additional interest, if any, to, but excluding, the redemption date.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Long-Term Debt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Components of other long-term debt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October 28, 2006</w:t>
            </w:r>
          </w:p>
        </w:tc>
        <w:tc>
          <w:tcPr>
            <w:tcW w:w="4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28, 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senior subordinated notes due 2007</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2,063</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2,063</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(2,063)</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5% senior subordinated notes due 2007</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$2.0 million principal amount of its 5% senior subordinated notes due 2007 outstanding at October 28, 2006. These notes were issued in May 2002 through a private placement with the Kellwood Company. The Company makes quarterly principal payments in the amount of $687,500. The final quarterly payment is due April 29, 2007. Accrued interest is payable quarterly.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Term loan</w:t>
      </w:r>
    </w:p>
    <w:p>
      <w:pPr>
        <w:spacing w:after="0" w:line="9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In connection with the Company’s acquisition of Rochester Big &amp; Tall Clothing in October 2004, the Company had entered into a 3-year term loan for $7.5 million with Bank of America Retail Group, LLC, the proceeds of which were used for the acquisition. The loan required principal payments in the amount of approximately $1.9 million on each of the first two anniversaries of the loan with the remaining balance due at maturity. The term loan accrued interest at the prevailing LIBOR rate plus 5% per annum. During the first quarter of fiscal 2006, the Company prepaid in full the remaining balance of $5.6 million.</w:t>
      </w:r>
    </w:p>
    <w:p>
      <w:pPr>
        <w:spacing w:after="0" w:line="188" w:lineRule="exact"/>
        <w:rPr>
          <w:sz w:val="20"/>
          <w:szCs w:val="20"/>
          <w:color w:val="auto"/>
        </w:rPr>
      </w:pPr>
    </w:p>
    <w:p>
      <w:pPr>
        <w:ind w:left="20" w:right="10060" w:hanging="12"/>
        <w:spacing w:after="0" w:line="391" w:lineRule="auto"/>
        <w:tabs>
          <w:tab w:leader="none" w:pos="191"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by the weighted average number of shares of common stock outstanding during the respective period. Diluted earnings per share is determined by giving effect to the exercise of stock options and warrants using the treasury stock method and convertible notes using the “if-converted” method. The “if-converted” method assumes conversion of the convertible notes if the impact of the conversion is more dilutive to earnings after considering the impact of reversing interest expense and increasing the common stock outstanding. The following table provides a reconciliation of the number of shares outstanding for basic and diluted earnings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For the three months ended</w:t>
            </w:r>
          </w:p>
        </w:tc>
        <w:tc>
          <w:tcPr>
            <w:tcW w:w="340" w:type="dxa"/>
            <w:vAlign w:val="bottom"/>
          </w:tcPr>
          <w:p>
            <w:pPr>
              <w:spacing w:after="0"/>
              <w:rPr>
                <w:sz w:val="14"/>
                <w:szCs w:val="14"/>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1"/>
              </w:rPr>
              <w:t>For the nine months ended</w:t>
            </w: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October 28,</w:t>
            </w:r>
          </w:p>
        </w:tc>
        <w:tc>
          <w:tcPr>
            <w:tcW w:w="320" w:type="dxa"/>
            <w:vAlign w:val="bottom"/>
          </w:tcPr>
          <w:p>
            <w:pPr>
              <w:spacing w:after="0"/>
              <w:rPr>
                <w:sz w:val="11"/>
                <w:szCs w:val="11"/>
                <w:color w:val="auto"/>
              </w:rPr>
            </w:pPr>
          </w:p>
        </w:tc>
        <w:tc>
          <w:tcPr>
            <w:tcW w:w="11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October 29,</w:t>
            </w:r>
          </w:p>
        </w:tc>
        <w:tc>
          <w:tcPr>
            <w:tcW w:w="10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October 28,</w:t>
            </w:r>
          </w:p>
        </w:tc>
        <w:tc>
          <w:tcPr>
            <w:tcW w:w="7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93"/>
              </w:rPr>
              <w:t>October 29,</w:t>
            </w:r>
          </w:p>
        </w:tc>
      </w:tr>
      <w:tr>
        <w:trPr>
          <w:trHeight w:val="168"/>
        </w:trPr>
        <w:tc>
          <w:tcPr>
            <w:tcW w:w="744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60" w:type="dxa"/>
            <w:vAlign w:val="bottom"/>
          </w:tcPr>
          <w:p>
            <w:pPr>
              <w:jc w:val="right"/>
              <w:ind w:right="182"/>
              <w:spacing w:after="0"/>
              <w:rPr>
                <w:sz w:val="20"/>
                <w:szCs w:val="20"/>
                <w:color w:val="auto"/>
              </w:rPr>
            </w:pPr>
            <w:r>
              <w:rPr>
                <w:rFonts w:ascii="Arial" w:cs="Arial" w:eastAsia="Arial" w:hAnsi="Arial"/>
                <w:sz w:val="14"/>
                <w:szCs w:val="14"/>
                <w:b w:val="1"/>
                <w:bCs w:val="1"/>
                <w:color w:val="auto"/>
              </w:rPr>
              <w:t>2006</w:t>
            </w:r>
          </w:p>
        </w:tc>
        <w:tc>
          <w:tcPr>
            <w:tcW w:w="108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760" w:type="dxa"/>
            <w:vAlign w:val="bottom"/>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Basic weighted average common shares outstanding</w:t>
            </w:r>
          </w:p>
        </w:tc>
        <w:tc>
          <w:tcPr>
            <w:tcW w:w="760" w:type="dxa"/>
            <w:vAlign w:val="bottom"/>
          </w:tcPr>
          <w:p>
            <w:pPr>
              <w:jc w:val="right"/>
              <w:spacing w:after="0"/>
              <w:rPr>
                <w:sz w:val="20"/>
                <w:szCs w:val="20"/>
                <w:color w:val="auto"/>
              </w:rPr>
            </w:pPr>
            <w:r>
              <w:rPr>
                <w:rFonts w:ascii="Arial" w:cs="Arial" w:eastAsia="Arial" w:hAnsi="Arial"/>
                <w:sz w:val="18"/>
                <w:szCs w:val="18"/>
                <w:color w:val="auto"/>
              </w:rPr>
              <w:t>34,393</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34,345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34,665</w:t>
            </w:r>
          </w:p>
        </w:tc>
        <w:tc>
          <w:tcPr>
            <w:tcW w:w="760" w:type="dxa"/>
            <w:vAlign w:val="bottom"/>
          </w:tcPr>
          <w:p>
            <w:pPr>
              <w:jc w:val="right"/>
              <w:spacing w:after="0"/>
              <w:rPr>
                <w:sz w:val="20"/>
                <w:szCs w:val="20"/>
                <w:color w:val="auto"/>
              </w:rPr>
            </w:pPr>
            <w:r>
              <w:rPr>
                <w:rFonts w:ascii="Arial" w:cs="Arial" w:eastAsia="Arial" w:hAnsi="Arial"/>
                <w:sz w:val="18"/>
                <w:szCs w:val="18"/>
                <w:color w:val="auto"/>
              </w:rPr>
              <w:t>34,288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4"/>
              </w:rPr>
              <w:t>Stock options and warrants, excluding the effect of anti-dilutive options and warrants totaling 2,911</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200"/>
              <w:spacing w:after="0"/>
              <w:rPr>
                <w:sz w:val="20"/>
                <w:szCs w:val="20"/>
                <w:color w:val="auto"/>
              </w:rPr>
            </w:pPr>
            <w:r>
              <w:rPr>
                <w:rFonts w:ascii="Arial" w:cs="Arial" w:eastAsia="Arial" w:hAnsi="Arial"/>
                <w:sz w:val="18"/>
                <w:szCs w:val="18"/>
                <w:color w:val="auto"/>
                <w:w w:val="96"/>
              </w:rPr>
              <w:t>shares and 1,621 shares for the three months ended October 28, 2006 and October 29, 2005,</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420" w:type="dxa"/>
            <w:vAlign w:val="bottom"/>
            <w:gridSpan w:val="3"/>
          </w:tcPr>
          <w:p>
            <w:pPr>
              <w:ind w:left="200"/>
              <w:spacing w:after="0" w:line="224" w:lineRule="exact"/>
              <w:rPr>
                <w:sz w:val="20"/>
                <w:szCs w:val="20"/>
                <w:color w:val="auto"/>
              </w:rPr>
            </w:pPr>
            <w:r>
              <w:rPr>
                <w:rFonts w:ascii="Arial" w:cs="Arial" w:eastAsia="Arial" w:hAnsi="Arial"/>
                <w:sz w:val="18"/>
                <w:szCs w:val="18"/>
                <w:color w:val="auto"/>
              </w:rPr>
              <w:t xml:space="preserve">respectively, and 1,592 shares for the nine months ended October 29, 2005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3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34,393</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34,345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issuable upon the conversion of the convertible notes of 8.9 million for the three and nine months ended October 28, 2006 and 9.4 million for the three and nine months ended October 29, 2005 were excluded from the calculation of diluted earnings per share because they were anti-dilutive to earnings using the “if-converted” method.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 Convertible notes for the three and nine months ended October 28, 2006 and October 29, 2005, respectively, were also excluded as discussed above in note 1 to the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w w:val="97"/>
              </w:rPr>
              <w:t>For the three months ended</w:t>
            </w:r>
          </w:p>
        </w:tc>
        <w:tc>
          <w:tcPr>
            <w:tcW w:w="340" w:type="dxa"/>
            <w:vAlign w:val="bottom"/>
          </w:tcPr>
          <w:p>
            <w:pPr>
              <w:spacing w:after="0"/>
              <w:rPr>
                <w:sz w:val="14"/>
                <w:szCs w:val="14"/>
                <w:color w:val="auto"/>
              </w:rPr>
            </w:pPr>
          </w:p>
        </w:tc>
        <w:tc>
          <w:tcPr>
            <w:tcW w:w="252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w:t>
            </w: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October 28,</w:t>
            </w:r>
          </w:p>
        </w:tc>
        <w:tc>
          <w:tcPr>
            <w:tcW w:w="10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October 28,</w:t>
            </w: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8"/>
        </w:trPr>
        <w:tc>
          <w:tcPr>
            <w:tcW w:w="6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exercise prices)</w:t>
            </w:r>
          </w:p>
        </w:tc>
        <w:tc>
          <w:tcPr>
            <w:tcW w:w="100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9"/>
              </w:rPr>
              <w:t>October 29, 2005</w:t>
            </w:r>
          </w:p>
        </w:tc>
        <w:tc>
          <w:tcPr>
            <w:tcW w:w="146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October 29, 2005</w:t>
            </w:r>
          </w:p>
        </w:tc>
      </w:tr>
      <w:tr>
        <w:trPr>
          <w:trHeight w:val="216"/>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3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Warrants</w:t>
            </w:r>
          </w:p>
        </w:tc>
        <w:tc>
          <w:tcPr>
            <w:tcW w:w="34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1,482</w:t>
            </w:r>
          </w:p>
        </w:tc>
        <w:tc>
          <w:tcPr>
            <w:tcW w:w="34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8,897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  10.65</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$6.90 - $10.65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$10.65 - $11.15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$6.83 - $10.65</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above options, warrants and convertible notes which were outstanding and out-of-the-money at October 28, 2006 expire from July 31,2016 to April 27,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Through July 31, 2006, the Company had one share-based compensation plan, the 1992 Stock Incentive Plan, as amended most recently on August 7, 2003 (the “1992 Plan”). Under the terms of the 1992 Plan, up to 6,930,000 shares of common stock could have been issued pursuant to “incentive stock options” (as defined in Section 422 of the Internal Revenue Code of 1986, as amended), options which are not “incentive stock options,” conditioned stock awards, unrestricted stock awards and performance share awards.</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the Company’s 2006 Annual Meeting of Stockholders held on July 31, 2006, the Company’s stockholders approved the adoption of the 2006 Incentive Compensation Plan (the “2006 Plan”). As a result of such approval, no further grants will be made under the 1992 Plan. The terms of the 2006 Plan provide for grants of stock options, stock appreciation rights, or SARs, restricted stock, deferred stock, other stock-related awards and performance awards that may be settled in cash, stock or other property.</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Under the terms of the 2006 Plan, 2,500,000 shares of common stock are available for the granting of awards; provided, however, that the maximum number of shares available for the granting of awards other than stock options and SARs cannot exceed 1,250,000 shares.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Both the 1992 Plan and the 2006 Plan are administered by the Compensation Committee, all of the members of which are non-employee directors who qualify as independent under the listing standards of the Nasdaq Global Market. The Compensation Committee makes all determinations with respect to amounts and conditions covering awards under both plans. Options are not granted at a price less than fair value on the date of the grant. Options granted to employees and executives typically vest over three years and options granted to non-employee directors vest over two years. Options expire ten years from the date of grant.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Adoption of SFAS 123R, Share-Based Payment</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Prior to January 29, 2006, the Company’s share-based payments to its employees and directors were accounted for in accordance with Accounting Principles Board Opinion No. 25, “Accounting for Stock Issued to Employees” (“APB</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25”) and related interpretations. Under this method, no compensation expense was recognized as long as the exercise price equaled or exceeded the market price of the underlying stock on the date of the grant. The Company elected the disclosure-only alternative permitted under SFAS No. 123, “Accounting for Stock-Based Compensation” (“SFAS 123”), as amended by SFAS No. 148, “Accounting for Stock-Based Compensation — Transition and Disclosure” (“SFAS 148”), for fixed stock-based awards to employees.</w:t>
      </w:r>
    </w:p>
    <w:p>
      <w:pPr>
        <w:spacing w:after="0" w:line="14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27, 2006, the Company’s Board of Directors approved the accelerated vesting of 965,000 outstanding and unvested options held by directors, officers and employees under our 1992 Plan. As a result of the acceleration, these options to acquire 965,000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 charge for stock-based compensation of approximately $30,000, which was recognized in the fourth quarter of fiscal 2005.</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 awards that will ultimately vest requires significant judgment. Actual results, and future changes in estimates, may differ from the Company’s current estimates. Prior periods have not been restated to incorporate the stock-based compensation charge.</w:t>
      </w:r>
    </w:p>
    <w:p>
      <w:pPr>
        <w:spacing w:after="0" w:line="124"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For the third quarter and nine months ended October 28, 2006, the Company recognized total compensation expense of $264,000 and $513,000, respectively. The after-tax impact of the compensation expense for the three and nine months of fiscal 2006 was $160,000 and $310,000, respectively. The total compensation cost related to nonvested awards not yet recognized is approximately $2.8 million which will be expensed over a weighted average remaining life of 30.0 months.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 for Stock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fiscal 2006, 785,000 stock options were granted. The fair value of each option was estimated on the date of grant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Scholes option-pricing model with the following assumptions used for grants for the nine months ended October 28, 2006 and October 29, 2005: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October 28, 2006</w:t>
            </w:r>
          </w:p>
        </w:tc>
        <w:tc>
          <w:tcPr>
            <w:tcW w:w="9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October 29, 2005</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45.0%</w:t>
            </w:r>
          </w:p>
        </w:tc>
        <w:tc>
          <w:tcPr>
            <w:tcW w:w="2020" w:type="dxa"/>
            <w:vAlign w:val="bottom"/>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65.0%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4.48%-5.02%</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3.78% - 4.15%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 – 4.5 yrs.</w:t>
            </w: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 yrs.</w:t>
            </w:r>
          </w:p>
        </w:tc>
      </w:tr>
      <w:tr>
        <w:trPr>
          <w:trHeight w:val="222"/>
        </w:trPr>
        <w:tc>
          <w:tcPr>
            <w:tcW w:w="8400" w:type="dxa"/>
            <w:vAlign w:val="bottom"/>
          </w:tcPr>
          <w:p>
            <w:pPr>
              <w:spacing w:after="0"/>
              <w:rPr>
                <w:sz w:val="20"/>
                <w:szCs w:val="20"/>
                <w:color w:val="auto"/>
              </w:rPr>
            </w:pPr>
            <w:r>
              <w:rPr>
                <w:rFonts w:ascii="Arial" w:cs="Arial" w:eastAsia="Arial" w:hAnsi="Arial"/>
                <w:sz w:val="18"/>
                <w:szCs w:val="18"/>
                <w:color w:val="auto"/>
              </w:rPr>
              <w:t>Dividend rate</w:t>
            </w:r>
          </w:p>
        </w:tc>
        <w:tc>
          <w:tcPr>
            <w:tcW w:w="100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060" w:type="dxa"/>
            <w:vAlign w:val="bottom"/>
          </w:tcPr>
          <w:p>
            <w:pPr>
              <w:ind w:left="4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Value Disclosures — Prior to SFAS 123R Adoption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first three and nine months of fiscal 2005, if compensation costs for the Company’s grants for stock-based compensation had been determined consistent with SFAS 123, the Company’s net loss and net loss per share would have been as indicated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4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0"/>
              </w:rPr>
              <w:t>For the nine months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right"/>
              <w:ind w:right="980"/>
              <w:spacing w:after="0" w:line="144" w:lineRule="exact"/>
              <w:rPr>
                <w:sz w:val="20"/>
                <w:szCs w:val="20"/>
                <w:color w:val="auto"/>
              </w:rPr>
            </w:pPr>
            <w:r>
              <w:rPr>
                <w:rFonts w:ascii="Arial" w:cs="Arial" w:eastAsia="Arial" w:hAnsi="Arial"/>
                <w:sz w:val="14"/>
                <w:szCs w:val="14"/>
                <w:b w:val="1"/>
                <w:bCs w:val="1"/>
                <w:color w:val="auto"/>
              </w:rPr>
              <w:t>ended</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480"/>
              <w:spacing w:after="0" w:line="144"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93"/>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980" w:type="dxa"/>
            <w:vAlign w:val="bottom"/>
          </w:tcPr>
          <w:p>
            <w:pPr>
              <w:spacing w:after="0"/>
              <w:rPr>
                <w:sz w:val="16"/>
                <w:szCs w:val="16"/>
                <w:color w:val="auto"/>
              </w:rPr>
            </w:pPr>
          </w:p>
        </w:tc>
        <w:tc>
          <w:tcPr>
            <w:tcW w:w="1760" w:type="dxa"/>
            <w:vAlign w:val="bottom"/>
            <w:gridSpan w:val="3"/>
          </w:tcPr>
          <w:p>
            <w:pPr>
              <w:jc w:val="right"/>
              <w:ind w:right="600"/>
              <w:spacing w:after="0" w:line="193" w:lineRule="exact"/>
              <w:rPr>
                <w:sz w:val="20"/>
                <w:szCs w:val="20"/>
                <w:color w:val="auto"/>
              </w:rPr>
            </w:pPr>
            <w:r>
              <w:rPr>
                <w:rFonts w:ascii="Arial" w:cs="Arial" w:eastAsia="Arial" w:hAnsi="Arial"/>
                <w:sz w:val="14"/>
                <w:szCs w:val="14"/>
                <w:b w:val="1"/>
                <w:bCs w:val="1"/>
                <w:color w:val="auto"/>
                <w:w w:val="87"/>
              </w:rPr>
              <w:t>October 29, 2005</w:t>
            </w:r>
            <w:r>
              <w:rPr>
                <w:rFonts w:ascii="Arial" w:cs="Arial" w:eastAsia="Arial" w:hAnsi="Arial"/>
                <w:sz w:val="22"/>
                <w:szCs w:val="22"/>
                <w:b w:val="1"/>
                <w:bCs w:val="1"/>
                <w:color w:val="auto"/>
                <w:w w:val="87"/>
                <w:vertAlign w:val="superscript"/>
              </w:rPr>
              <w:t>(1)</w:t>
            </w:r>
          </w:p>
        </w:tc>
        <w:tc>
          <w:tcPr>
            <w:tcW w:w="480" w:type="dxa"/>
            <w:vAlign w:val="bottom"/>
          </w:tcPr>
          <w:p>
            <w:pPr>
              <w:spacing w:after="0"/>
              <w:rPr>
                <w:sz w:val="16"/>
                <w:szCs w:val="16"/>
                <w:color w:val="auto"/>
              </w:rPr>
            </w:pPr>
          </w:p>
        </w:tc>
        <w:tc>
          <w:tcPr>
            <w:tcW w:w="1240" w:type="dxa"/>
            <w:vAlign w:val="bottom"/>
            <w:gridSpan w:val="3"/>
          </w:tcPr>
          <w:p>
            <w:pPr>
              <w:jc w:val="right"/>
              <w:ind w:right="100"/>
              <w:spacing w:after="0" w:line="193" w:lineRule="exact"/>
              <w:rPr>
                <w:sz w:val="20"/>
                <w:szCs w:val="20"/>
                <w:color w:val="auto"/>
              </w:rPr>
            </w:pPr>
            <w:r>
              <w:rPr>
                <w:rFonts w:ascii="Arial" w:cs="Arial" w:eastAsia="Arial" w:hAnsi="Arial"/>
                <w:sz w:val="14"/>
                <w:szCs w:val="14"/>
                <w:b w:val="1"/>
                <w:bCs w:val="1"/>
                <w:color w:val="auto"/>
                <w:w w:val="86"/>
              </w:rPr>
              <w:t>October 29, 2005</w:t>
            </w:r>
            <w:r>
              <w:rPr>
                <w:rFonts w:ascii="Arial" w:cs="Arial" w:eastAsia="Arial" w:hAnsi="Arial"/>
                <w:sz w:val="22"/>
                <w:szCs w:val="22"/>
                <w:b w:val="1"/>
                <w:bCs w:val="1"/>
                <w:color w:val="auto"/>
                <w:w w:val="86"/>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(2,835)</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 pro forma</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(3,114)</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diluted as reported</w:t>
            </w:r>
          </w:p>
        </w:tc>
        <w:tc>
          <w:tcPr>
            <w:tcW w:w="12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(0.08)</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Loss per share – diluted pro-forma</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7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3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accelerated all options outstanding as of January 27, 2005. Accordingly, the only pro forma adjustment for the third quarter and first nine months of fiscal 2005 related to options granted since January 27,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Activity-2006 Plan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stock option activity under the 2006 Plan for the nine months ended October 28,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 per</w:t>
            </w:r>
          </w:p>
        </w:tc>
        <w:tc>
          <w:tcPr>
            <w:tcW w:w="6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75"/>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600" w:type="dxa"/>
            <w:vAlign w:val="bottom"/>
          </w:tcPr>
          <w:p>
            <w:pPr>
              <w:spacing w:after="0"/>
              <w:rPr>
                <w:sz w:val="15"/>
                <w:szCs w:val="15"/>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Contractual Term</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8"/>
              </w:rPr>
              <w:t>Value (in 000’s)</w:t>
            </w: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Options granted</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115,000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11.15</w:t>
            </w: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Options exercised</w:t>
            </w: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35"/>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115,000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8"/>
              </w:rPr>
              <w:t>11.15</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 years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115,000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ind w:left="15"/>
              <w:spacing w:after="0"/>
              <w:rPr>
                <w:sz w:val="20"/>
                <w:szCs w:val="20"/>
                <w:color w:val="auto"/>
              </w:rPr>
            </w:pPr>
            <w:r>
              <w:rPr>
                <w:rFonts w:ascii="Arial" w:cs="Arial" w:eastAsia="Arial" w:hAnsi="Arial"/>
                <w:sz w:val="18"/>
                <w:szCs w:val="18"/>
                <w:color w:val="auto"/>
                <w:w w:val="88"/>
              </w:rPr>
              <w:t>11.15</w:t>
            </w:r>
          </w:p>
        </w:tc>
        <w:tc>
          <w:tcPr>
            <w:tcW w:w="6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9.8 years</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8"/>
              </w:rPr>
              <w:t>11.15</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 years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weighted-average grant-date fair value of options granted under the 2006 Plan was $3.94 for the first nine months of fiscal 2006. For the first nine months of fiscal 2006, the Company also issued 281 unrestricted shares under the 2006 Plan as payment for director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Activity-1992 Plan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stock option activity under the 1992 Plan for the nine months ended October 28,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 per</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8"/>
              </w:rPr>
              <w:t>Option</w:t>
            </w:r>
          </w:p>
        </w:tc>
        <w:tc>
          <w:tcPr>
            <w:tcW w:w="5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Contractual Term</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Value (in 000’s)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4,241,997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5.80</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Options granted</w:t>
            </w:r>
          </w:p>
        </w:tc>
        <w:tc>
          <w:tcPr>
            <w:tcW w:w="2740" w:type="dxa"/>
            <w:vAlign w:val="bottom"/>
            <w:gridSpan w:val="3"/>
          </w:tcPr>
          <w:p>
            <w:pPr>
              <w:jc w:val="right"/>
              <w:ind w:right="320"/>
              <w:spacing w:after="0"/>
              <w:rPr>
                <w:sz w:val="20"/>
                <w:szCs w:val="20"/>
                <w:color w:val="auto"/>
              </w:rPr>
            </w:pPr>
            <w:r>
              <w:rPr>
                <w:rFonts w:ascii="Arial" w:cs="Arial" w:eastAsia="Arial" w:hAnsi="Arial"/>
                <w:sz w:val="18"/>
                <w:szCs w:val="18"/>
                <w:color w:val="auto"/>
              </w:rPr>
              <w:t>670,000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9.13</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2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9.28</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Options exercised</w:t>
            </w:r>
          </w:p>
        </w:tc>
        <w:tc>
          <w:tcPr>
            <w:tcW w:w="17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(625,223)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5.40</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1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4,265,774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6.36</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2740" w:type="dxa"/>
            <w:vAlign w:val="bottom"/>
            <w:gridSpan w:val="3"/>
          </w:tcPr>
          <w:p>
            <w:pPr>
              <w:jc w:val="right"/>
              <w:ind w:right="320"/>
              <w:spacing w:after="0"/>
              <w:rPr>
                <w:sz w:val="20"/>
                <w:szCs w:val="20"/>
                <w:color w:val="auto"/>
              </w:rPr>
            </w:pPr>
            <w:r>
              <w:rPr>
                <w:rFonts w:ascii="Arial" w:cs="Arial" w:eastAsia="Arial" w:hAnsi="Arial"/>
                <w:sz w:val="18"/>
                <w:szCs w:val="18"/>
                <w:color w:val="auto"/>
              </w:rPr>
              <w:t>4,263,774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6.36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7.4 years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2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3,580,774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335" w:lineRule="auto"/>
        <w:rPr>
          <w:sz w:val="20"/>
          <w:szCs w:val="20"/>
          <w:color w:val="auto"/>
        </w:rPr>
      </w:pPr>
      <w:r>
        <w:rPr>
          <w:rFonts w:ascii="Arial" w:cs="Arial" w:eastAsia="Arial" w:hAnsi="Arial"/>
          <w:sz w:val="15"/>
          <w:szCs w:val="15"/>
          <w:color w:val="auto"/>
        </w:rPr>
        <w:t>The weighted-average grant-date fair value of options granted under the 1992 Plan were $3.80 and $3.82 per share for the first nine months of fiscal 2006 and 2005, respectively. The total intrinsic value of options exercised during the first nine months of fiscal 2006 and fiscal 2005 were $2.7 million and $398,000, respectively. For the first nine months of fiscal 2006, the Company also issued 5,943 unrestricted shares under the 1992 Plan as payment for director fees.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granted outside of the Company’s 1992 Plan and 2006 Plan</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Below is a summary of options granted outside of the Company’s 1992 Plan and 2006 Plan. These outstanding options represent options which have been granted to consultants of the Company prior to August 2003 and options granted to its executives in excess of the 1992 Plan’s annual maximum grant which was 500,000 as of August 7, 2003.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per</w:t>
            </w: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75"/>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1"/>
              </w:rPr>
              <w:t>of Shares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Option</w:t>
            </w:r>
          </w:p>
        </w:tc>
        <w:tc>
          <w:tcPr>
            <w:tcW w:w="48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Contractual Term</w:t>
            </w:r>
          </w:p>
        </w:tc>
        <w:tc>
          <w:tcPr>
            <w:tcW w:w="2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88"/>
              </w:rPr>
              <w:t>Value (in 000’s)</w:t>
            </w: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1,140,000</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4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(127,186)</w:t>
            </w:r>
          </w:p>
        </w:tc>
        <w:tc>
          <w:tcPr>
            <w:tcW w:w="20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4.99</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quarter</w:t>
            </w: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1,012,814</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 and expected to vest at end of quarter</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1,012,814</w:t>
            </w:r>
          </w:p>
        </w:tc>
        <w:tc>
          <w:tcPr>
            <w:tcW w:w="5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2.99</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 years</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quarter</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1,012,814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 years</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total intrinsic value of options exercised outside of the Company’s 1992 Plan and 2006 Plan during the first nine months of fiscal 2006 was $765,700. There were no such exercises during the first nine months of fiscal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Long-Term Performance Share Bonus Plan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fiscal 2005, the Company adopted a Long-Term Performance Share Bonus Plan pursuant to which certain key members of senior management are eligible to participate. Pursuant to the plan, if the Company achieves certain operating income targets by the end of fiscal 2007, each participant in the plan will be entitled to receive restricted shares of the Company’s common stock, valued at 75% to 120%, depending of the target level achieved, of the participant’s cumulative salary during the incentive period of fiscal 2005-2007 (discounted at a rate of 30%, 70% or 90% depending on the participant’s respective tier level). The actual number of restricted shares granted, if any, will be such value divided by the closing price of the Company’s common stock on the date of grant. Upon grant, the restricted shares will vest ratably over eighteen months. Assuming a fair market closing price of $15.00 per share on the date of grant and current salary levels, if the Company were to achieve the operating income targets established in the plan, the Company may be required to issue an estimated 467,000 to 733,000 shares from its 2006 Plan and record total compensation expense ranging from $7.0 million to $11.0 million over the service period; however, because the achievement of the targets is not considered probable at this time no compensation expense has been recorded to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 Program</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June 6, 2006, the Company's Board of Directors approved a stock repurchase program whereby the Company was authorized to repurchase up to $30 million of its common stock through open market and privately negotiated transactions pursuant to Rule 10b-18 of the Securities and Exchange Act of 1934, as amended. The stock repurchase program will expire on June 6, 2007 and may be terminated earlier at any time without prior notice. The funding for the stock repurchases will be from the Company’s operating cash flow and/or borrowings under its Amended Credit Facility.</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second quarter of fiscal 2006, the Company repurchased 1.3 million shares pursuant to this repurchase program for an aggregate cost, including broker commissions, of $13.1 million, or at an average price of $9.74 per share. At October 28, 2006, the Company has 6.5 million shares of repurchased stock, which include shares acquired from past stock repurchase programs. The aggregate cost of these shares is $36.5 million and is reported by the Company as treasury stock and as a reduction in stockholders’ equity.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Income Taxes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For fiscal 2006, the Company began recording an income tax provision on its pretax earnings at its effective rate of 39.5%. Based on the net operating loss carryforwards available to the Company, management expects that cash payments for taxes will continue to be minimal at this time. As such, the Company utilized these net loss carryforwards toward a portion of its income tax provision for the first nine months of fiscal 2006, which resulted in a reduction of its deferred tax assets of approximately $1.6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Provision for Employment Contract Termination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third quarter of fiscal 2006, the Company decided to terminate certain employment agreements with Rochester management as part of the Company’s plan to integrate its remaining San Francisco-based Rochester operations into its headquarters in Canton, MA. In connection with this decision to terminate, the Company incurred a charge of $1.2 million in the third quarter of fiscal 2006 to accrue its remaining obligations pursuant to these employees’ employment agreements.</w:t>
      </w:r>
    </w:p>
    <w:p>
      <w:pPr>
        <w:spacing w:after="0" w:line="218" w:lineRule="exact"/>
        <w:rPr>
          <w:sz w:val="20"/>
          <w:szCs w:val="20"/>
          <w:color w:val="auto"/>
        </w:rPr>
      </w:pPr>
    </w:p>
    <w:p>
      <w:pPr>
        <w:ind w:right="9300" w:firstLine="8"/>
        <w:spacing w:after="0" w:line="391" w:lineRule="auto"/>
        <w:tabs>
          <w:tab w:leader="none" w:pos="25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Parties Jewelcor Management, Inc.</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 of the outstanding common stock of the Company (principally held by JMI). He is also the president and chief executive officer, and indirectly, with his wife, the primary shareholder of JMI.</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consulting agreement dated April 29, 2003, and most recently amended by a letter agreement dated May 26, 2006, is for a three-year term and automatically renews on each anniversary of the agreement’s commencement date for additional one-year periods, unless ninety-days notice by either party is otherwise given. The initial three-year term was from April 29, 2003 until April 28, 2006. On each anniversary of the agreement’s commencement date, the term was extended for a one-year period. Accordingly, as of April 26, 2006, the most recent anniversary of the consulting agreement, the term was extended to April 28, 2009. The consulting agreement with JMI includes a significant disincentive for non-performance, which would require JMI to pay to the Company a penalty equal to 150% of any unearned consulting services.</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During the first quarter of fiscal 2006, the Company paid JMI a cash bonus, pursuant to the Executive Incentive Plan for fiscal 2005, for services rendered in fiscal 2005 of $375,000.</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first quarter of fiscal 2006, the Company’s Board of Directors approved (1) the payment to JMI of approximately $320,000 as reimbursement of legal costs incurred by JMI in connection with JMI’s successful defense of a Section 16 claim involving the Company’s securities and (2) the payment to JMI of approximately $50,000 as consideration for the upward adjustment of the exercise price of warrants issued to JMI in connection with the fiscal 2003 private placement of the Company’s 12% senior subordinated notes due 2010.</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May 26, 2006, the Compensation Committee of the Board of Directors increased JMI’s annual consulting fees from $412,000 to $527,000. JMI will continue to receive $24,000 annually as reimbursement of expenses. JMI will also be entitled to receive a cash bonus for fiscal 2006 ranging from 80% to 150% of a bonus base of $575,000 if the Company achieves a certain range of EBITDA (earnings before interest, taxes and depreciation and amortization) for fiscal 2006.</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Recent Accounting Pronouncements</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July 2006, the Financial Accounting Standards Board (FASB) issued FASB Interpretation No. 48, Accounting for Uncertainty in Income Taxes—an interpretation of FASB Statement No. 109 (“FIN 48”), which clarifies the accounting for uncertainty in tax positions. This Interpretation requires that the Company recognize in its financial statements the impact of a tax position, if that position is more likely than not of being sustained on audit, based on the technical merits of the position. The provisions of FIN 48 are effective as of the beginning of fiscal 2007, with the cumulative effect of the change in accounting principle recorded as an adjustment to opening retained earnings. The Company is in the process of determining the effect, if any; the adoption of FIN 48 will have on its financial statements.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2006, the Securities and Exchange Commission issued Staff Accounting Bulletin No. 108 (“SAB 108”). SAB 108 addresses the process and diversity in practice of quantifying financial statement misstatements resulting in the potential build up of improper amounts on the balance sheet. The Company will be required to adopt the provisions of SAB 108 in fiscal 2007. The Company does not believe that the adoption of SAB 108 will have a material impact on its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Part I, Item 1A of the Company’s Annual Report on Form 10-K for the year ended January 28, 2006, previously filed with the Securities and Exchange Commission on March 31, 2006, which identifies certain risks and uncertainties that may have an impact on future earnings and the direction of the Company.</w:t>
      </w:r>
    </w:p>
    <w:p>
      <w:pPr>
        <w:spacing w:after="0" w:line="3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484 Casual Male XL stores, 12 Casual Male at Sears Canada stores, 25 Rochester Big &amp; Tall stores and a direct to consumer business, which includes a catalog business and two e-commerce sites.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February 3, 2007 and January 28, 2006 as “fiscal 2006” and “fiscal 2005,” respectively.</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discussing sales growth, the Company refers to the term “comparable sales”. Comparable sales for all periods discussed include the Company’s retail stores that have been open for at least one full year together with its e-commerce and catalog sales. Stores that may have been remodeled, expanded or re-located during the period are also included in the Company’s determination of comparable sales. The Company includes its direct businesses as part of its calculation of comparable sales since the Company is a multi-channel retailer, offering its customers convenient alternatives for their shopping. The method of calculating comparative store sales varies across the retail industry and, as a result, the Company’s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 FOR THE THIRD QUARTER AND NINE MONTHS OF FISCAL 2006</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operating income during its first nine months of 2006 has more than doubled from the prior year. Thus far, overall results have exceeded the Company’s expectations for fiscal 2006, with strong comparable sales performance for the first nine months of fiscal 2006 of 9.7% and continued gross margin improvement. These results are consistent with the Company’s strategic initiatives to drive operating margin performance. The Company’s strategic objective continues to be in growing its market share of the big &amp; tall men’s market and improving its overall profitability. During the first nine months of fiscal 2006, the Company engaged in several strategic transactions: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Re-Branding Initiative</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second quarter of fiscal 2006, the Company completed its initiative of re-branding all of its full-price Casual Male Big &amp; Tall business to “Casual Male XL” as part of its strategy to remove the stigma associated with “big &amp; tall” so as to appeal to a broader group of its target market, a younger demographic and the smaller and taller market segment of the big &amp; tall market. This re-branding included the re-engineering of the look and feel of its Casual Male brand in all communications, including its store fronts and in-store signage, as well as throughout its catalog and website. The Company tested this re-branding during the third quarter of fiscal 2005 in six markets, representing 24 stores, and based on the positive performance of these stores during the fourth quarter of fiscal 2005, the Company continued the roll-out to all stores, its website and catalog.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Jared M.</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May 2, 2006, the Company acquired Jared M., an apparel company specializing in selling custom clothing to professional athletes, almost all of whom are big &amp; tall, for a purchase price of approximately $2.6 million, plus assumed liabilities. There is a potential payment over a two-year period of an additional $1.0 million, which is subject to an earn-out provision. The Company sees this acquisition as a future growth vehicle for its Rochester division. Utilizing the Company’s existing real estate and sourcing capabilities, the Company sees significant growth opportunities from this business. Initially, the Company plans to open several Jared M. shops within the Company’s existing Rochester Big &amp; Tall stores and then expand the business to catalog and internet. This acquisition fits into the Company’s long-term strategy to gain market share in the big &amp; tall market. See Note 5 of the Notes to the Consolidated Financial Statements for a complete description of the acquisition.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Supersize World</w:t>
      </w:r>
    </w:p>
    <w:p>
      <w:pPr>
        <w:spacing w:after="0" w:line="90"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On October 19, 2006, the Company acquired Supersize World, a direct-to-consumer business specializing in the selling of select unique, high quality products which help larger people maintain a more comfortable lifestyle. The types of products sold by Supersize World, at its website supersizeworld.com, include bathroom accessories, health and beauty items, medical products, sports and outdoor accessories, patio furniture, travel accessories and other household items. The Company paid $400,000 for the business, and retained the principals of Supersize World under a one year consulting agreement for $190,000.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June 6, 2006, the Company’s Board of Directors approved a $30 million stock repurchase program. The Company believes that a stock repurchase program is a good investment of its available funds and reflects its commitment to shareholders and its confidence in the Company's earnings growth and accelerating cash flow. The stock repurchase program will expire on June 6, 2007 but may be terminated earlier without prior notice. Through the end of the third quarter of fiscal 2006, the Company has repurchased 1.3 million shares of common stock at an aggregate cost, including broker commissions, of $13.1 million, resulting in an average purchase price of $9.74 per share. No repurchases, however, were made during the third quarter of fiscal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third quarter of fiscal 2006, sales, which include the Company’s e-commerce and catalog businesses, increased 13.9% to $106.9 million as compared to $93.8 million for the third quarter of fiscal 2005. The sales increase was primarily due to an increase of 13.0%, or $11.9 million, in comparable sales, as defined above. This increase of $11.9 million was driven by increases among all channels, with the Casual Male retail store operations representing approximately 50% of this increase. The primary reason for this increase is the result of the Company’s improved merchandise assortments and overall improved product offerings, which is supported by the Company’s overall increase in its items per transaction and dollars per transaction statistics.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direct-to-consumer business, which contributed approximately $4.1 million to the comparable sales increase this quarter, continues to perform strongly as a result of increased catalog circulation, its new co-branded Sears-Casual Male catalog and its continued internet growth.</w:t>
      </w:r>
    </w:p>
    <w:p>
      <w:pPr>
        <w:spacing w:after="0" w:line="8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the nine months ended October 28, 2006, total sales increased 10.2% to $321.5 million from $291.7 million for the nine months ended October 29, 2005. Comparable sales for the first nine months of fiscal 2006 increased 9.7% when compared with the first nine months of the prior year. Similar to the third quarter results, the increase in sales was attributed to all business channels with the Casual Male stores contributing 50% of the comparable sales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third quarter of fiscal 2006, the Company’s gross margin rate, inclusive of occupancy costs, was 44.0%, which was an increase of 2.9 percentage points as compared to a gross margin rate of 41.1% for the third quarter of fiscal 2005. This increase was primarily attributable to improved merchandise margins of 2.0 percentage points and the leveraging of occupancy costs of 0.9 percentage points. The continued merchandise margin improvement was due to less markdowns and promotional activity as well improved initial margins from the Casual Male direct sourcing.</w:t>
      </w:r>
    </w:p>
    <w:p>
      <w:pPr>
        <w:spacing w:after="0" w:line="11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For the nine months ended October 28, 2006, the Company’s gross margin rate was 44.4% as compared to 42.0% for the nine months ended October 29, 2005 of the prior year. This increase of 2.4 percentage points was primarily attributable to improved merchandise margins of approximately 1.6 percentage points over the prior year and leveraging of occupancy costs of 0.8 percentage points. Similar to the third quarter improvement, the increase in merchandise margin was due to a decrease in promotional markdowns, less clearance of its fashion inventory and improved initial margins related to the Company’s direct sourcing initiatives.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margin rates for the past two fiscal years have increased more than 200 basis points each year as a result of the Company’s improved inventory management systems, increased penetration in higher margin private label merchandise, and lower merchandise costs resulting from the Company’s new product development and sourcing capabilities. For fiscal 2007, the Company expects that gross margin rates will improve each quarter by approximately 100 basis points over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Selling, general and administrative (“SG&amp;A”) expenses as a percentage of sales for the third quarter of fiscal 2006 were 39.4% as compared to 38.6% for the third quarter of fiscal 2005. For the nine months ended October 28, 2006, SG&amp;A expenses were 37.8% of sales as compared to 37.7% of sales for the nine months ended October 29, 2005. The increase in SG&amp;A expenses of $5.9 million and $11.7 million for the third quarter and first nine months of fiscal 2006, respectively, is partly due to increases in sales volume-related costs, such as store payroll, transaction costs and marketing expenses of approximately $2.1 million and $3.2 million to support increased sales volumes in the third quarter and first nine months of $13.1 million and $29.8 million, respectively. The remaining increase in SG&amp;A is due to four factors: (1) marketing expenses of $0.7 million and $1.2 million, respectively for the for the third quarter and first nine months of fiscal 2006 of marketing funds expended for new customer acquisition activities, (2) occupancy costs of $0.9 million and $2.7 million, respectively, for the third quarter and first nine months of fiscal 2006 associated with the Company’s new lease on its corporate headquarters which was part of the sale-leaseback that occurred on January 30, 2006, (3) expense accruals of $0.5 million and $2.5 million, respectively, for the third quarter and first nine months of fiscal 2006 related to performance bonuses previously not earned and (4) operational expenses of $0.7 million and $1.1 million, respectively, for the third quarter and first nine months of fiscal 2006 associated with the Company’s newly acquired Jared M. business. In addition, SG&amp;A expenses for the third quarter and first nine months of fiscal 2005 included a benefit of $1.0 million related to a class action settlement with Visa/Mastercard for past overcharges and other accrual benefits.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Consistent with SG&amp;A trends through the end of the third quarter of fiscal 2006, the Company expects that total SG&amp;A for the full fiscal year will approximate 10% of total sales. The Company expects that SG&amp;A expenses for fiscal 2007 will increase between 2%—3%, plus an estimate of 10% for incremental sales during the year.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Employment Contract Termination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third quarter of fiscal 2006, the Company decided to terminate certain employment agreements with Rochester management as part of the Company’s plan to integrate its remaining San Francisco-based Rochester operations into its headquarters in Canton, MA. In connection with this decision to terminate, the Company incurred a charge of $1.2 million in the third quarter of fiscal 2006 to accrue its remaining obligations pursuant to these employees’ employment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third quarter of fiscal 2006, depreciation and amortization increased approximately $0.5 million to $3.6 million as compared to $3.1 million for the third quarter of fiscal 2005. For the first nine months of fiscal 2006, depreciation and amortization increased $1.2 million to $10.3 million as compared to $9.1 million for the first nine months of fiscal 2005 as a result of capital expenditures associated with new and remodeled stores, the Company’s rebranding initiatives and other corporate capital expenditures.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first quarter of fiscal 2006, the Company sold its loss prevention subsidiary, LP Innovations, Inc. (“LPI”). The Company realized an initial gain on the sale of LPI in the amount of $1.5 million which is included as part of other income (expense), net on the Consolidated Statement of Operations for the first nine months of fiscal 2006. This gain was offset slightly by an accrual of approximately $0.4 million primarily related to the reimbursement to Jewelcor Management, Inc. (“JMI”) for certain legal costs incurred by JMI related to the Company. See Note 11 to the Notes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Net interest expense was $1.5 million for the third quarter of fiscal 2006 as compared to $2.1 million for the third quarter of fiscal 2005. For the first nine months of fiscal 2006, interest expense was $4.1 million as compared to $6.1 million for the first nine months of fiscal 2005. This decrease in interest expense is due to the repayment of approximately $22.1 million of long-term debt in addition to a decrease in average borrowings under the Company’s credit facility of approximately $22.8 million for the first nine months of fiscal 2006 as compared to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During the fourth quarter of fiscal 2005, the Company determined that it is more likely than not that it will be able to realize the benefits of a portion of its deferred tax assets and a portion of the Company’s valuation allowance was reversed at that time. For fiscal 2006, the Company began recording an income tax provision on its pretax earnings at its effective rate of 39.5%. Based on the net operating loss carryforwards available to the Company, management expects that cash payments for taxes will continue to be minimal at this time. As such, the Company utilized these net loss carryforwards toward a portion of its income tax provision for the first nine months of fiscal 2006, which resulted in a reduction of its deferred tax assets of approximately $1.6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third quarter of fiscal 2006, the Company had a net loss of $0.8 million, or $(0.02) per diluted share, as compared to a net loss of $2.8 million, or $(0.08) per diluted share, for the third quarter of fiscal 2005. For the first nine months of fiscal 2006, the Company had net income of $4.0 million, or $0.11 per diluted share, as compared to a net loss of $2.7 million, or $(0.08) per diluted share, for the first nine months of fiscal 2005. Results for the third quarter and first nine months of fiscal 2006 include a charge of $1.2 million related to severance costs incurred in connection with the termination of employment of certain members of Rochester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October 28, 2006, total inventory equaled $124.1 million as compared to $91.5 million at January 28, 2006 and $107.1 million at October 29, 2005. The inventory increase since January 28, 2006 of approximately $32.6 million is indicative of the time of year and the Company’s preparation for the holiday season. The inventory increase for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19" w:name="page20"/>
    <w:bookmarkEnd w:id="1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quarter of fiscal 2006 as compared to the prior year’s third quarter of $17.0 million relates primarily to an increase of $6.0 million to support increased sales volumes in its direct businesses, as well as another $7.2 million of added inventories in the Rochester stores to strengthen its basic inventory levels, introduce private label sportswear product and support warehouse distribution levels to fill back store sales.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quarter of fiscal 2006, the Company changed its inventory valuation method from lower of cost or market, on a FIFO basis, using the retail method to lower of cost or market, on a weighted-average cost basis, using the cost method. The effect of this change in accounting principle was not material at January 29, 2006, April 29, 2006, July 29, 2006 and October 28,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 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the use of incurring any additional debt.</w:t>
      </w:r>
    </w:p>
    <w:p>
      <w:pPr>
        <w:spacing w:after="0" w:line="12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For the first nine months of fiscal 2006, cash used for operating activities was $6.8 million as compared to cash used for operating activities of $8.5 million for the corresponding period of the prior year. The primary reason for the improvement in cash flows from operating activities was due to the substantial improvement in operating income for the first nine months of fiscal 2006 as compared to fiscal 2005, offset slightly by the timing of cash flows among the Company’s working capital accounts.</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cash flow from operations, the Company’s other primary source of working capital is its credit facility with Bank of America Retail Group, Inc., which was most recently amended effective May 19, 2006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was subject to prepayment penalties through October 29, 2006. Borrowings under the Amended Credit Facility bear interest at variable rates based on Bank of America’s prime rate or the London Interbank Offering Rate and vary depending on the Company’s levels of excess availability.</w:t>
      </w:r>
    </w:p>
    <w:p>
      <w:pPr>
        <w:spacing w:after="0" w:line="14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Company had $21.3 million in borrowings under the Amended Credit Facility at October 28, 2006. Outstanding standby letters of credit were $4.3 million and outstanding documentary letters of credit were $0.8 million. Average borrowings outstanding under this facility during the first nine months of fiscal 2006 were approximately $5.8 million, resulting in an average unused excess availability of approximately $68.4 million. Unused excess availability at October 28, 2006 was $63.7 million.</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October 28, 2006, the Company had $94.7 million in outstanding convertible notes. The convertible notes are convertible into shares of the Company’s common stock at a conversion price of $10.65 per share. The Company’s common stock was trading at $14 per share at the end of the third quarter of fiscal 2006. On or after January 6, 2007, the Company has the option to redeem the convertible notes, in whole or in part, at the redemption price, which is 100% of the principal amount plus accrued and unpaid interest and additional interest, if any, to, but excluding the redemption date. If the Company were to redeem all of the convertible notes outstanding, the Company’s debt obligations would be limited to its borrowings under the Amended Credit Facility, as discussed above. Correspondingly, shares of the Company’s common stock would increase by approximately 8.9 million shares.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part of the Company’s approved $30 million stock repurchase program discussed above, during the second quarter of fiscal 2006, the Company repurchased 1.3 million shares for an aggregate cost, including broker commissions, of $13.1 million, resulting in an average price of $9.74 per share. The Company utilized funds available from its operating cash and borrowings under its Amended Credit Facility. No stock repurchases were made during the third quarter of fiscal 2006.</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January 28, 2006, the Company had approximately $103.3 million of net operating loss carryforwards available for federal tax purposes and approximately $91.0 million for state income tax purposes to offset future taxable income,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jc w:val="both"/>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certain annual limitations, through fiscal 2024. Based on these net operating loss carryforwards, management expects that cash payments for taxes will continue to be minimal at this time. In addition, the Company will be able to utilize these net operating loss carryforwards to offset the gain of $29.3 million that the Company recognized during the first quarter of fiscal 2006 in connection with the sale-leaseback transaction discussed above.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October 28, 2006 and October 29, 2005,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26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At October 28, 2006</w:t>
            </w:r>
          </w:p>
        </w:tc>
        <w:tc>
          <w:tcPr>
            <w:tcW w:w="6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At October 29, 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3"/>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1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Square Footage</w:t>
            </w: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Casual Male Big &amp; Tall retail and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1,661</w:t>
            </w: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Total cash outlays for capital expenditures for the first nine months of fiscal 2006 were $15.8 million as compared to $10.7 million for the first nine months of fiscal 2005. Below is a summary of store openings and closings since January 28, 2006:</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Rochester</w:t>
            </w:r>
          </w:p>
        </w:tc>
        <w:tc>
          <w:tcPr>
            <w:tcW w:w="1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4"/>
              </w:rPr>
              <w:t>Sears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1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6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Big &amp;Tall</w:t>
            </w:r>
          </w:p>
        </w:tc>
        <w:tc>
          <w:tcPr>
            <w:tcW w:w="6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Canada</w:t>
            </w:r>
          </w:p>
        </w:tc>
        <w:tc>
          <w:tcPr>
            <w:tcW w:w="6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Total stores</w:t>
            </w:r>
          </w:p>
        </w:tc>
        <w:tc>
          <w:tcPr>
            <w:tcW w:w="60" w:type="dxa"/>
            <w:vAlign w:val="bottom"/>
          </w:tcPr>
          <w:p>
            <w:pPr>
              <w:spacing w:after="0"/>
              <w:rPr>
                <w:sz w:val="15"/>
                <w:szCs w:val="15"/>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At January 28, 2006</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481</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New outlet stores</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retail stores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Closed stores</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At October 28, 2006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r>
      <w:tr>
        <w:trPr>
          <w:trHeight w:val="221"/>
        </w:trPr>
        <w:tc>
          <w:tcPr>
            <w:tcW w:w="5120" w:type="dxa"/>
            <w:vAlign w:val="bottom"/>
          </w:tcPr>
          <w:p>
            <w:pPr>
              <w:ind w:left="440"/>
              <w:spacing w:after="0"/>
              <w:rPr>
                <w:sz w:val="20"/>
                <w:szCs w:val="20"/>
                <w:color w:val="auto"/>
              </w:rPr>
            </w:pPr>
            <w:r>
              <w:rPr>
                <w:rFonts w:ascii="Arial" w:cs="Arial" w:eastAsia="Arial" w:hAnsi="Arial"/>
                <w:sz w:val="18"/>
                <w:szCs w:val="18"/>
                <w:color w:val="auto"/>
              </w:rPr>
              <w:t>Remodels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r>
    </w:tbl>
    <w:p>
      <w:pPr>
        <w:spacing w:after="0" w:line="15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expects that its total capital expenditures for fiscal 2006 will be approximately $22.0—$23.0 million, of which $8.0—$10.0 million relates to its re-branding of the Casual Male Big &amp; Tall retail stores to Casual Male XL. The Company expects to incur approximately $6.0-$7.0 million for store capital related to new stores as well as remodels and relocations, with the remainder for system enhancements, distribution and corporate facilities and other corporate level expenditures.</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remainder of fiscal 2006, the Company intends to open one additional Casual Male store, close up to 13 of its older Casual Male stores as their respective leases expire and relocate two other Casual Male stores to more desirable locations.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For fiscal 2007, the Company is currently estimating that capital expenditures will approximate $15.0 million to fund projects for new and relocated stores, certain IT programs and an additional $3.5 million for distribution center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the adoption of SFAS 123R at the beginning of the Company’s first quarter of fiscal 2006, “Stock-Based Compensation” was added as a critical accounting policy. Also, the Company has updated its critical accounting policy for Inventory for its change in accounting principle. There have been no other material changes to the critical accounting policies and estimates disclosed in the Company’s Annual Report on Form 10-K for the year ended January 28, 2006, filed with the SEC on March 31,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Stock-Based Compensation</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January 29, 2006, the Company adopted SFAS 123R using the modified prospective method, which requires measurement of compensation cost for all stock awards at fair value on date of grant and recognition of compensation over the service period for awards expected to vest. The fair value of stock options is determined using the Black-Scholes valuation model, which is consistent with our valuation techniques previously utilized for options in footnote disclosures required under SFAS 123, as amended by SFAS 148, and requires the input of highly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Prior periods have not been restated to incorporate the stock-based compensation charge. For the third quarter and nine months ended October 28, 2006, the Company recognized total compensation expense of $264,000 and $513,000,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90"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color w:val="auto"/>
        </w:rPr>
        <w:t>During the second quarter of fiscal 2006, the Company changed its inventory valuation method. Previously, inventory was principally valued at the lower of cost or market on a first in, first out (“FIFO”) basis, under the retail inventory method. Inventory for the Company’s catalog and e-commerce businesses were accounted for using the average cost method, which approximated the retail method. Commencing in second quarter of fiscal 2006, all inventories will be valued at the lower of cost or market, using a weighted-average cost method. The Company believes that the weighted-average cost method is preferable as compared to the retail inventory method because it will provide much greater precision in the costing of sales and inventory, which will enable the Company to better manage its margins, control its promotions and value its inventory. Because the weighted-average cost values inventory based on actual quantities of specific SKUs on hand valued at an average purchase cost for a particular SKU rather than an estimate of an average cost complement for a pool of inventory, the average cost method increases the accuracy of reporting the value of inventory and improves the matching of costs with revenue. Further, it is consistent with the practices of many other retailers. In addition, since implementation of the new inventory system, the Company’s operations have been managed based on data provided from the perpetual inventory system. By valuing inventory based on the perpetual records, financial reporting of the Company is aligned with operations. Furthermore, the perpetual inventory provides SKU level/store level shrink measures to allow for more accurate estimates of shrink reserves for periodic reporting.</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revaluation of inventory using the weighted-average cost method approximated the Company’s inventory valuation under the previous FIFO retail method at January 29, 2006, April 29, 2006 and July 29, 2006; accordingly, the impact of the change was not material to the financial statements for the three and six months ended July 29, 2006. Further, the impact of the change did not have a material impact to the results for the third quarter of fiscal 2006 and is not expected to have a material effect on future periods. Due to system conversions that were completed at the end of fiscal 2005, the Company was able to generate SKU-level cost detail for all locations. Prior to such conversions, the Company could not determine the impact of the change to the weighted-average cost method and therefore could not retroactively apply the change to prior year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Bank of America’s prime rate or the London Interbank Offering Rate (“LIBOR”). At October 28, 2006, the Company had $5.3 million of borrowings accruing interest at the prime rate of 8.25% per annum and $16.0 million of outstanding LIBOR contracts accruing interest at a rate of approximately 7.07% per annum. Based upon a sensitivity analysis as of October 28, 2006, assuming average outstanding borrowing during fiscal 2006 of $5.8 million, a 50 basis point increase in the prime based interest rates would have resulted in a potential increase in interest expense of approximately $29,000.</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October 28, 2006,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October 28, 2006.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October 28, 2006,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No change in the Company's internal control over financial reporting (as defined in Rules 13a-15(f) and 15d-15(f) under the Exchange Act) occurred during the quarter ended October 28, 2006 that has materially affected, or is reasonably likely to materially affect, the Company's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We are subject to various legal proceedings and claims that may arise in the ordinary course of business. We believe that the resolution of these matters will not have an adverse impact on our results of operations or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the Company’s Annual Report on Form 10-K for the year ended January 28, 2006 filed with the SEC on March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third quarter of fiscal 2006, the Company issued 93 shares of common stock upon conversion of $1,000 principal amount of Convertible Notes.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shares were issued pursuant to an exemption provided by Section 3(a)(9) of the Securities Act of 1933.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right="260"/>
        <w:spacing w:after="0" w:line="306" w:lineRule="auto"/>
        <w:rPr>
          <w:sz w:val="20"/>
          <w:szCs w:val="20"/>
          <w:color w:val="auto"/>
        </w:rPr>
      </w:pPr>
      <w:r>
        <w:rPr>
          <w:rFonts w:ascii="Arial" w:cs="Arial" w:eastAsia="Arial" w:hAnsi="Arial"/>
          <w:sz w:val="16"/>
          <w:szCs w:val="16"/>
          <w:color w:val="auto"/>
        </w:rPr>
        <w:t>The Company held its Annual Meeting of Stockholders on July 31, 2006. The matters submitted to a vote of the Company's stockholders were (i) the election of seven directors, (ii) approval of the adoption of the Company’s 2006 Incentive Compensation Plan and (iii) the ratification of Ernst &amp; Young LLP as the independent registered public accounting firm for the Company for the current fiscal year.</w:t>
      </w:r>
    </w:p>
    <w:p>
      <w:pPr>
        <w:spacing w:after="0" w:line="26" w:lineRule="exact"/>
        <w:rPr>
          <w:sz w:val="20"/>
          <w:szCs w:val="20"/>
          <w:color w:val="auto"/>
        </w:rPr>
      </w:pPr>
    </w:p>
    <w:p>
      <w:pPr>
        <w:ind w:left="900" w:right="7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stockholders elected seven directors to hold office until the 2007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38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4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Votes AGAINST</w:t>
            </w:r>
          </w:p>
        </w:tc>
      </w:tr>
      <w:tr>
        <w:trPr>
          <w:trHeight w:val="195"/>
        </w:trPr>
        <w:tc>
          <w:tcPr>
            <w:tcW w:w="3060" w:type="dxa"/>
            <w:vAlign w:val="bottom"/>
          </w:tcPr>
          <w:p>
            <w:pPr>
              <w:spacing w:after="0" w:line="195" w:lineRule="exact"/>
              <w:rPr>
                <w:sz w:val="20"/>
                <w:szCs w:val="20"/>
                <w:color w:val="auto"/>
              </w:rPr>
            </w:pPr>
            <w:r>
              <w:rPr>
                <w:rFonts w:ascii="Arial" w:cs="Arial" w:eastAsia="Arial" w:hAnsi="Arial"/>
                <w:sz w:val="18"/>
                <w:szCs w:val="18"/>
                <w:color w:val="auto"/>
              </w:rPr>
              <w:t>Seymour Holtzman</w:t>
            </w:r>
          </w:p>
        </w:tc>
        <w:tc>
          <w:tcPr>
            <w:tcW w:w="4300" w:type="dxa"/>
            <w:vAlign w:val="bottom"/>
            <w:gridSpan w:val="2"/>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8"/>
              </w:rPr>
              <w:t>24,848,036</w:t>
            </w:r>
          </w:p>
        </w:tc>
        <w:tc>
          <w:tcPr>
            <w:tcW w:w="4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7,540,598</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David A. Levin</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30,949,889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71,465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Alan S. Bernikow</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30,995,966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25,388</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Jesse Choper</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30,116,739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904,615</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Ward K. Mooney</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30,996,735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24,619</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George T. Porter, Jr.</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30,659,509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361,845</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Robert L. Sockolov</w:t>
            </w:r>
          </w:p>
        </w:tc>
        <w:tc>
          <w:tcPr>
            <w:tcW w:w="5100" w:type="dxa"/>
            <w:vAlign w:val="bottom"/>
            <w:gridSpan w:val="3"/>
          </w:tcPr>
          <w:p>
            <w:pPr>
              <w:jc w:val="center"/>
              <w:ind w:left="4212"/>
              <w:spacing w:after="0"/>
              <w:rPr>
                <w:sz w:val="20"/>
                <w:szCs w:val="20"/>
                <w:color w:val="auto"/>
              </w:rPr>
            </w:pPr>
            <w:r>
              <w:rPr>
                <w:rFonts w:ascii="Arial" w:cs="Arial" w:eastAsia="Arial" w:hAnsi="Arial"/>
                <w:sz w:val="18"/>
                <w:szCs w:val="18"/>
                <w:color w:val="auto"/>
                <w:w w:val="88"/>
              </w:rPr>
              <w:t>30,450,919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570,435</w:t>
            </w:r>
          </w:p>
        </w:tc>
      </w:tr>
      <w:tr>
        <w:trPr>
          <w:trHeight w:val="365"/>
        </w:trPr>
        <w:tc>
          <w:tcPr>
            <w:tcW w:w="3060" w:type="dxa"/>
            <w:vAlign w:val="bottom"/>
          </w:tcPr>
          <w:p>
            <w:pPr>
              <w:spacing w:after="0"/>
              <w:rPr>
                <w:sz w:val="24"/>
                <w:szCs w:val="24"/>
                <w:color w:val="auto"/>
              </w:rPr>
            </w:pPr>
          </w:p>
        </w:tc>
        <w:tc>
          <w:tcPr>
            <w:tcW w:w="3820" w:type="dxa"/>
            <w:vAlign w:val="bottom"/>
          </w:tcPr>
          <w:p>
            <w:pPr>
              <w:jc w:val="right"/>
              <w:ind w:right="1912"/>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24" w:name="page25"/>
    <w:bookmarkEnd w:id="24"/>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stockholders approved the adoption of the Company’s 2006 Incentive Compensation Plan. The results of the voting were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Votes FOR</w:t>
            </w:r>
          </w:p>
        </w:tc>
        <w:tc>
          <w:tcPr>
            <w:tcW w:w="7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Votes AGAINST</w:t>
            </w:r>
          </w:p>
        </w:tc>
        <w:tc>
          <w:tcPr>
            <w:tcW w:w="76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Votes ABSTAINED</w:t>
            </w:r>
          </w:p>
        </w:tc>
      </w:tr>
      <w:tr>
        <w:trPr>
          <w:trHeight w:val="209"/>
        </w:trPr>
        <w:tc>
          <w:tcPr>
            <w:tcW w:w="5960" w:type="dxa"/>
            <w:vAlign w:val="bottom"/>
          </w:tcPr>
          <w:p>
            <w:pPr>
              <w:spacing w:after="0" w:line="202" w:lineRule="exact"/>
              <w:rPr>
                <w:sz w:val="20"/>
                <w:szCs w:val="20"/>
                <w:color w:val="auto"/>
              </w:rPr>
            </w:pPr>
            <w:r>
              <w:rPr>
                <w:rFonts w:ascii="Arial" w:cs="Arial" w:eastAsia="Arial" w:hAnsi="Arial"/>
                <w:sz w:val="18"/>
                <w:szCs w:val="18"/>
                <w:color w:val="auto"/>
              </w:rPr>
              <w:t>21,578,247</w:t>
            </w:r>
          </w:p>
        </w:tc>
        <w:tc>
          <w:tcPr>
            <w:tcW w:w="7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4,428,421</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61,582</w:t>
            </w:r>
          </w:p>
        </w:tc>
      </w:tr>
    </w:tbl>
    <w:p>
      <w:pPr>
        <w:spacing w:after="0" w:line="188" w:lineRule="exact"/>
        <w:rPr>
          <w:sz w:val="20"/>
          <w:szCs w:val="20"/>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stockholders also ratified the appointment of Ernst &amp; Young LLP as the Company's independent registered public accounting firm for the current fiscal year.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Votes FOR</w:t>
            </w:r>
          </w:p>
        </w:tc>
        <w:tc>
          <w:tcPr>
            <w:tcW w:w="900" w:type="dxa"/>
            <w:vAlign w:val="bottom"/>
          </w:tcPr>
          <w:p>
            <w:pPr>
              <w:spacing w:after="0"/>
              <w:rPr>
                <w:sz w:val="15"/>
                <w:szCs w:val="15"/>
                <w:color w:val="auto"/>
              </w:rPr>
            </w:pP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7"/>
              </w:rPr>
              <w:t>Votes AGAINST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Votes ABSTAINED</w:t>
            </w:r>
          </w:p>
        </w:tc>
      </w:tr>
      <w:tr>
        <w:trPr>
          <w:trHeight w:val="209"/>
        </w:trPr>
        <w:tc>
          <w:tcPr>
            <w:tcW w:w="5720" w:type="dxa"/>
            <w:vAlign w:val="bottom"/>
          </w:tcPr>
          <w:p>
            <w:pPr>
              <w:spacing w:after="0" w:line="202" w:lineRule="exact"/>
              <w:rPr>
                <w:sz w:val="20"/>
                <w:szCs w:val="20"/>
                <w:color w:val="auto"/>
              </w:rPr>
            </w:pPr>
            <w:r>
              <w:rPr>
                <w:rFonts w:ascii="Arial" w:cs="Arial" w:eastAsia="Arial" w:hAnsi="Arial"/>
                <w:sz w:val="18"/>
                <w:szCs w:val="18"/>
                <w:color w:val="auto"/>
              </w:rPr>
              <w:t>31,001,578</w:t>
            </w:r>
          </w:p>
        </w:tc>
        <w:tc>
          <w:tcPr>
            <w:tcW w:w="9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14,937</w:t>
            </w:r>
          </w:p>
        </w:tc>
        <w:tc>
          <w:tcPr>
            <w:tcW w:w="9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November 17, 2006</w:t>
            </w:r>
          </w:p>
        </w:tc>
        <w:tc>
          <w:tcPr>
            <w:tcW w:w="7720" w:type="dxa"/>
            <w:vAlign w:val="bottom"/>
            <w:gridSpan w:val="2"/>
          </w:tcPr>
          <w:p>
            <w:pPr>
              <w:ind w:left="1880"/>
              <w:spacing w:after="0"/>
              <w:rPr>
                <w:sz w:val="20"/>
                <w:szCs w:val="20"/>
                <w:color w:val="auto"/>
              </w:rPr>
            </w:pPr>
            <w:r>
              <w:rPr>
                <w:rFonts w:ascii="Arial" w:cs="Arial" w:eastAsia="Arial" w:hAnsi="Arial"/>
                <w:sz w:val="18"/>
                <w:szCs w:val="18"/>
                <w:color w:val="auto"/>
              </w:rPr>
              <w:t>By:  /S/ DENNIS R. HERNREICH</w:t>
            </w:r>
          </w:p>
        </w:tc>
      </w:tr>
      <w:tr>
        <w:trPr>
          <w:trHeight w:val="216"/>
        </w:trPr>
        <w:tc>
          <w:tcPr>
            <w:tcW w:w="3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37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365"/>
        </w:trPr>
        <w:tc>
          <w:tcPr>
            <w:tcW w:w="3700" w:type="dxa"/>
            <w:vAlign w:val="bottom"/>
          </w:tcPr>
          <w:p>
            <w:pPr>
              <w:spacing w:after="0"/>
              <w:rPr>
                <w:sz w:val="24"/>
                <w:szCs w:val="24"/>
                <w:color w:val="auto"/>
              </w:rPr>
            </w:pP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17, 2006</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28, 2006,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17, 2006</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28, 2006,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17, 2006</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5"/>
    </w:lvl>
  </w:abstractNum>
  <w:abstractNum w:abstractNumId="2">
    <w:nsid w:val="7545E146"/>
    <w:multiLevelType w:val="hybridMultilevel"/>
    <w:lvl w:ilvl="0">
      <w:lvlJc w:val="left"/>
      <w:lvlText w:val="%1."/>
      <w:numFmt w:val="decimal"/>
      <w:start w:val="7"/>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2019-12-20T18:43:41Z</dcterms:created>
  <dcterms:modified xsi:type="dcterms:W3CDTF">2019-12-20T18:43:41Z</dcterms:modified>
</cp:coreProperties>
</file>