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3"/>
        <w:spacing w:after="0"/>
        <w:rPr>
          <w:sz w:val="20"/>
          <w:szCs w:val="20"/>
          <w:color w:val="auto"/>
        </w:rPr>
      </w:pPr>
      <w:r>
        <w:rPr>
          <w:rFonts w:ascii="Arial" w:cs="Arial" w:eastAsia="Arial" w:hAnsi="Arial"/>
          <w:sz w:val="29"/>
          <w:szCs w:val="29"/>
          <w:b w:val="1"/>
          <w:bCs w:val="1"/>
          <w:color w:val="auto"/>
        </w:rPr>
        <w:t>UNITED STATES</w:t>
      </w:r>
    </w:p>
    <w:p>
      <w:pPr>
        <w:spacing w:after="0" w:line="87"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SECURITIES AND EXCHANGE COMMISSION</w:t>
      </w:r>
    </w:p>
    <w:p>
      <w:pPr>
        <w:spacing w:after="0" w:line="24"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145415</wp:posOffset>
            </wp:positionV>
            <wp:extent cx="5645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29"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154940</wp:posOffset>
            </wp:positionV>
            <wp:extent cx="5645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5"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CURRENT REPORT</w:t>
      </w:r>
    </w:p>
    <w:p>
      <w:pPr>
        <w:spacing w:after="0" w:line="142"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0" w:lineRule="exact"/>
        <w:rPr>
          <w:sz w:val="24"/>
          <w:szCs w:val="24"/>
          <w:color w:val="auto"/>
        </w:rPr>
      </w:pPr>
    </w:p>
    <w:p>
      <w:pPr>
        <w:ind w:left="3624"/>
        <w:spacing w:after="0"/>
        <w:rPr>
          <w:sz w:val="20"/>
          <w:szCs w:val="20"/>
          <w:color w:val="auto"/>
        </w:rPr>
      </w:pPr>
      <w:r>
        <w:rPr>
          <w:rFonts w:ascii="Arial" w:cs="Arial" w:eastAsia="Arial" w:hAnsi="Arial"/>
          <w:sz w:val="16"/>
          <w:szCs w:val="16"/>
          <w:b w:val="1"/>
          <w:bCs w:val="1"/>
          <w:color w:val="auto"/>
        </w:rPr>
        <w:t>Date of Report (Date of earliest event reported): April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160655</wp:posOffset>
            </wp:positionV>
            <wp:extent cx="564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1" w:lineRule="exact"/>
        <w:rPr>
          <w:sz w:val="24"/>
          <w:szCs w:val="24"/>
          <w:color w:val="auto"/>
        </w:rPr>
      </w:pPr>
    </w:p>
    <w:p>
      <w:pPr>
        <w:jc w:val="center"/>
        <w:ind w:right="-383"/>
        <w:spacing w:after="0"/>
        <w:rPr>
          <w:sz w:val="20"/>
          <w:szCs w:val="20"/>
          <w:color w:val="auto"/>
        </w:rPr>
      </w:pPr>
      <w:r>
        <w:rPr>
          <w:rFonts w:ascii="Arial" w:cs="Arial" w:eastAsia="Arial" w:hAnsi="Arial"/>
          <w:sz w:val="38"/>
          <w:szCs w:val="38"/>
          <w:b w:val="1"/>
          <w:bCs w:val="1"/>
          <w:color w:val="auto"/>
        </w:rPr>
        <w:t>DESTINATION XL GROUP, INC.</w:t>
      </w:r>
    </w:p>
    <w:p>
      <w:pPr>
        <w:spacing w:after="0" w:line="47"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140335</wp:posOffset>
            </wp:positionV>
            <wp:extent cx="564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68" w:lineRule="exact"/>
        <w:rPr>
          <w:sz w:val="24"/>
          <w:szCs w:val="24"/>
          <w:color w:val="auto"/>
        </w:rPr>
      </w:pPr>
    </w:p>
    <w:tbl>
      <w:tblPr>
        <w:tblLayout w:type="fixed"/>
        <w:tblInd w:w="924" w:type="dxa"/>
        <w:tblCellMar>
          <w:top w:w="0" w:type="dxa"/>
          <w:left w:w="0" w:type="dxa"/>
          <w:bottom w:w="0" w:type="dxa"/>
          <w:right w:w="0" w:type="dxa"/>
        </w:tblCellMar>
      </w:tblPr>
      <w:tr>
        <w:trPr>
          <w:trHeight w:val="228"/>
        </w:trPr>
        <w:tc>
          <w:tcPr>
            <w:tcW w:w="2240" w:type="dxa"/>
            <w:vAlign w:val="bottom"/>
          </w:tcPr>
          <w:p>
            <w:pPr>
              <w:jc w:val="center"/>
              <w:ind w:right="107"/>
              <w:spacing w:after="0"/>
              <w:rPr>
                <w:sz w:val="20"/>
                <w:szCs w:val="20"/>
                <w:color w:val="auto"/>
              </w:rPr>
            </w:pPr>
            <w:r>
              <w:rPr>
                <w:rFonts w:ascii="Arial" w:cs="Arial" w:eastAsia="Arial" w:hAnsi="Arial"/>
                <w:sz w:val="19"/>
                <w:szCs w:val="19"/>
                <w:b w:val="1"/>
                <w:bCs w:val="1"/>
                <w:color w:val="auto"/>
                <w:w w:val="93"/>
              </w:rPr>
              <w:t>Delaware</w:t>
            </w:r>
          </w:p>
        </w:tc>
        <w:tc>
          <w:tcPr>
            <w:tcW w:w="3000" w:type="dxa"/>
            <w:vAlign w:val="bottom"/>
            <w:gridSpan w:val="2"/>
          </w:tcPr>
          <w:p>
            <w:pPr>
              <w:jc w:val="center"/>
              <w:ind w:left="2021"/>
              <w:spacing w:after="0"/>
              <w:rPr>
                <w:sz w:val="20"/>
                <w:szCs w:val="20"/>
                <w:color w:val="auto"/>
              </w:rPr>
            </w:pPr>
            <w:r>
              <w:rPr>
                <w:rFonts w:ascii="Arial" w:cs="Arial" w:eastAsia="Arial" w:hAnsi="Arial"/>
                <w:sz w:val="19"/>
                <w:szCs w:val="19"/>
                <w:b w:val="1"/>
                <w:bCs w:val="1"/>
                <w:color w:val="auto"/>
                <w:w w:val="92"/>
              </w:rPr>
              <w:t>01-34219</w:t>
            </w:r>
          </w:p>
        </w:tc>
        <w:tc>
          <w:tcPr>
            <w:tcW w:w="2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04-2623104</w:t>
            </w:r>
          </w:p>
        </w:tc>
        <w:tc>
          <w:tcPr>
            <w:tcW w:w="0" w:type="dxa"/>
            <w:vAlign w:val="bottom"/>
          </w:tcPr>
          <w:p>
            <w:pPr>
              <w:spacing w:after="0"/>
              <w:rPr>
                <w:sz w:val="1"/>
                <w:szCs w:val="1"/>
                <w:color w:val="auto"/>
              </w:rPr>
            </w:pPr>
          </w:p>
        </w:tc>
      </w:tr>
      <w:tr>
        <w:trPr>
          <w:trHeight w:val="132"/>
        </w:trPr>
        <w:tc>
          <w:tcPr>
            <w:tcW w:w="2240" w:type="dxa"/>
            <w:vAlign w:val="bottom"/>
          </w:tcPr>
          <w:p>
            <w:pPr>
              <w:jc w:val="center"/>
              <w:ind w:right="127"/>
              <w:spacing w:after="0" w:line="132" w:lineRule="exact"/>
              <w:rPr>
                <w:sz w:val="20"/>
                <w:szCs w:val="20"/>
                <w:color w:val="auto"/>
              </w:rPr>
            </w:pPr>
            <w:r>
              <w:rPr>
                <w:rFonts w:ascii="Arial" w:cs="Arial" w:eastAsia="Arial" w:hAnsi="Arial"/>
                <w:sz w:val="12"/>
                <w:szCs w:val="12"/>
                <w:b w:val="1"/>
                <w:bCs w:val="1"/>
                <w:color w:val="auto"/>
                <w:w w:val="92"/>
              </w:rPr>
              <w:t>(State or Other Jurisdiction</w:t>
            </w:r>
          </w:p>
        </w:tc>
        <w:tc>
          <w:tcPr>
            <w:tcW w:w="2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0" w:type="dxa"/>
            <w:vAlign w:val="bottom"/>
          </w:tcPr>
          <w:p>
            <w:pPr>
              <w:jc w:val="center"/>
              <w:ind w:left="386"/>
              <w:spacing w:after="0" w:line="13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91"/>
              </w:rPr>
              <w:t>of Incorporation)</w:t>
            </w:r>
          </w:p>
        </w:tc>
        <w:tc>
          <w:tcPr>
            <w:tcW w:w="540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1"/>
              </w:rPr>
              <w:t>(Commission File Number)</w:t>
            </w:r>
          </w:p>
        </w:tc>
        <w:tc>
          <w:tcPr>
            <w:tcW w:w="1400" w:type="dxa"/>
            <w:vAlign w:val="bottom"/>
          </w:tcPr>
          <w:p>
            <w:pPr>
              <w:jc w:val="center"/>
              <w:ind w:left="386"/>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5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91"/>
              </w:rPr>
              <w:t>555 Turnpike Street,</w:t>
            </w: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vMerge w:val="restart"/>
          </w:tcPr>
          <w:p>
            <w:pPr>
              <w:jc w:val="right"/>
              <w:ind w:right="166"/>
              <w:spacing w:after="0"/>
              <w:rPr>
                <w:sz w:val="20"/>
                <w:szCs w:val="20"/>
                <w:color w:val="auto"/>
              </w:rPr>
            </w:pPr>
            <w:r>
              <w:rPr>
                <w:rFonts w:ascii="Arial" w:cs="Arial" w:eastAsia="Arial" w:hAnsi="Arial"/>
                <w:sz w:val="19"/>
                <w:szCs w:val="19"/>
                <w:b w:val="1"/>
                <w:bCs w:val="1"/>
                <w:color w:val="auto"/>
              </w:rPr>
              <w:t>02021</w:t>
            </w:r>
          </w:p>
        </w:tc>
        <w:tc>
          <w:tcPr>
            <w:tcW w:w="0" w:type="dxa"/>
            <w:vAlign w:val="bottom"/>
          </w:tcPr>
          <w:p>
            <w:pPr>
              <w:spacing w:after="0"/>
              <w:rPr>
                <w:sz w:val="1"/>
                <w:szCs w:val="1"/>
                <w:color w:val="auto"/>
              </w:rPr>
            </w:pPr>
          </w:p>
        </w:tc>
      </w:tr>
      <w:tr>
        <w:trPr>
          <w:trHeight w:val="19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87"/>
              </w:rPr>
              <w:t>Canton, Massachusetts</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0" w:type="dxa"/>
            <w:vAlign w:val="bottom"/>
          </w:tcPr>
          <w:p>
            <w:pPr>
              <w:jc w:val="center"/>
              <w:ind w:left="366"/>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54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Registrant’s Telephone Number, Including Area Code: (781) 828-9300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Instructions A.2. below):</w:t>
      </w:r>
    </w:p>
    <w:p>
      <w:pPr>
        <w:spacing w:after="0" w:line="140" w:lineRule="exact"/>
        <w:rPr>
          <w:sz w:val="24"/>
          <w:szCs w:val="24"/>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915670</wp:posOffset>
            </wp:positionV>
            <wp:extent cx="730250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044"/>
          </w:cols>
          <w:pgMar w:left="236" w:top="679" w:right="61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7.01 −Regulation FD Disclosure</w:t>
      </w:r>
    </w:p>
    <w:p>
      <w:pPr>
        <w:spacing w:after="0" w:line="196" w:lineRule="exact"/>
        <w:rPr>
          <w:sz w:val="20"/>
          <w:szCs w:val="20"/>
          <w:color w:val="auto"/>
        </w:rPr>
      </w:pPr>
    </w:p>
    <w:p>
      <w:pPr>
        <w:ind w:right="460"/>
        <w:spacing w:after="0" w:line="266" w:lineRule="auto"/>
        <w:rPr>
          <w:sz w:val="20"/>
          <w:szCs w:val="20"/>
          <w:color w:val="auto"/>
        </w:rPr>
      </w:pPr>
      <w:r>
        <w:rPr>
          <w:rFonts w:ascii="Arial" w:cs="Arial" w:eastAsia="Arial" w:hAnsi="Arial"/>
          <w:sz w:val="19"/>
          <w:szCs w:val="19"/>
          <w:color w:val="auto"/>
        </w:rPr>
        <w:t>Destination XL Group, Inc. (the “Company”) will be presenting a slide presentation at upcoming investor conferences. A copy of the slides is attached to this report as Exhibit 99.1 and is incorporated by reference herein.</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slides include financial information not prepared in accordance with generally accepted accounting principles (“Non−GAAP Financial Measures”). The Company believes that the non−GAAP measures are useful as an additional means for investors to evaluate the Company’s operating results, when reviewed in conjunction with the Company’s GAAP financial statements. A reconciliation of the Non−GAAP Financial Measures to financial information prepared in accordance with generally accepted accounting principles (“GAAP”), as required by Regulation G, is included as Appendix A to the investor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The full slide presentation is available on the investor relations page of the Company’s website at www.destinationxl.com.</w:t>
      </w:r>
    </w:p>
    <w:p>
      <w:pPr>
        <w:spacing w:after="0" w:line="190" w:lineRule="exact"/>
        <w:rPr>
          <w:sz w:val="20"/>
          <w:szCs w:val="20"/>
          <w:color w:val="auto"/>
        </w:rPr>
      </w:pPr>
    </w:p>
    <w:p>
      <w:pPr>
        <w:ind w:right="380"/>
        <w:spacing w:after="0" w:line="326" w:lineRule="auto"/>
        <w:rPr>
          <w:sz w:val="20"/>
          <w:szCs w:val="20"/>
          <w:color w:val="auto"/>
        </w:rPr>
      </w:pPr>
      <w:r>
        <w:rPr>
          <w:rFonts w:ascii="Arial" w:cs="Arial" w:eastAsia="Arial" w:hAnsi="Arial"/>
          <w:sz w:val="17"/>
          <w:szCs w:val="17"/>
          <w:color w:val="auto"/>
        </w:rPr>
        <w:t>The slides contained in the exhibit include statements intended as “forward−looking statements,” which are subject to the cautionary statement about forward−looking statements set forth in the exhibit. The additional slides are being furnished, not filed, pursuant to Regulation FD.</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Accordingly, the slides will not be incorporated by reference into any registration statement filed by the Company under the Securities Act of 1933, as amended, unless specifically identified therein as being incorporated therein by reference. The furnishing of these slides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 Exhibits</w:t>
      </w:r>
    </w:p>
    <w:p>
      <w:pPr>
        <w:spacing w:after="0" w:line="214"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8"/>
          <w:szCs w:val="18"/>
          <w:color w:val="auto"/>
        </w:rPr>
        <w:t>DXL Investor Presentation – April 2016</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185420</wp:posOffset>
            </wp:positionV>
            <wp:extent cx="7302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60"/>
          </w:cols>
          <w:pgMar w:left="240" w:top="1123" w:right="299" w:bottom="1440" w:gutter="0" w:footer="0" w:header="0"/>
        </w:sectPr>
      </w:pPr>
    </w:p>
    <w:bookmarkStart w:id="2" w:name="page3"/>
    <w:bookmarkEnd w:id="2"/>
    <w:p>
      <w:pPr>
        <w:spacing w:after="0"/>
        <w:rPr>
          <w:sz w:val="20"/>
          <w:szCs w:val="20"/>
          <w:color w:val="auto"/>
        </w:rPr>
      </w:pPr>
      <w:r>
        <w:rPr>
          <w:rFonts w:ascii="Arial" w:cs="Arial" w:eastAsia="Arial" w:hAnsi="Arial"/>
          <w:sz w:val="19"/>
          <w:szCs w:val="19"/>
          <w:color w:val="000033"/>
        </w:rPr>
        <w:t>.</w:t>
      </w:r>
    </w:p>
    <w:p>
      <w:pPr>
        <w:spacing w:after="0" w:line="209"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auto"/>
        </w:rPr>
        <w:t>SIGNATURES</w:t>
      </w:r>
    </w:p>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DESTINATION XL GROUP, INC.</w:t>
      </w:r>
    </w:p>
    <w:p>
      <w:pPr>
        <w:spacing w:after="0" w:line="166" w:lineRule="exact"/>
        <w:rPr>
          <w:sz w:val="20"/>
          <w:szCs w:val="20"/>
          <w:color w:val="auto"/>
        </w:rPr>
      </w:pPr>
    </w:p>
    <w:p>
      <w:pPr>
        <w:ind w:left="20"/>
        <w:spacing w:after="0"/>
        <w:tabs>
          <w:tab w:leader="none" w:pos="840" w:val="left"/>
          <w:tab w:leader="none" w:pos="5860" w:val="left"/>
          <w:tab w:leader="none" w:pos="82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April 5, 2016</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10795</wp:posOffset>
            </wp:positionV>
            <wp:extent cx="30206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0695" cy="762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3"/>
          <w:szCs w:val="13"/>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General Counsel and Secretary</w:t>
      </w:r>
    </w:p>
    <w:p>
      <w:pPr>
        <w:spacing w:after="0" w:line="200" w:lineRule="exact"/>
        <w:rPr>
          <w:sz w:val="20"/>
          <w:szCs w:val="20"/>
          <w:color w:val="auto"/>
        </w:rPr>
      </w:pPr>
    </w:p>
    <w:p>
      <w:pPr>
        <w:spacing w:after="0" w:line="39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185420</wp:posOffset>
            </wp:positionV>
            <wp:extent cx="730250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0980"/>
          </w:cols>
          <w:pgMar w:left="240" w:top="120" w:right="679" w:bottom="1440" w:gutter="0" w:footer="0" w:header="0"/>
        </w:sectPr>
      </w:pPr>
    </w:p>
    <w:bookmarkStart w:id="3" w:name="page4"/>
    <w:bookmarkEnd w:id="3"/>
    <w:p>
      <w:pPr>
        <w:jc w:val="right"/>
        <w:ind w:right="4039"/>
        <w:spacing w:after="0"/>
        <w:rPr>
          <w:sz w:val="20"/>
          <w:szCs w:val="20"/>
          <w:color w:val="auto"/>
        </w:rPr>
      </w:pPr>
      <w:r>
        <w:rPr>
          <w:rFonts w:ascii="Arial" w:cs="Arial" w:eastAsia="Arial" w:hAnsi="Arial"/>
          <w:sz w:val="19"/>
          <w:szCs w:val="19"/>
          <w:u w:val="single" w:color="auto"/>
          <w:color w:val="auto"/>
        </w:rPr>
        <w:t>Exhibit List</w:t>
      </w:r>
    </w:p>
    <w:p>
      <w:pPr>
        <w:spacing w:after="0" w:line="215"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u w:val="single" w:color="auto"/>
          <w:color w:val="auto"/>
        </w:rPr>
        <w:t>Exhibit No</w:t>
      </w:r>
      <w:r>
        <w:rPr>
          <w:rFonts w:ascii="Arial" w:cs="Arial" w:eastAsia="Arial" w:hAnsi="Arial"/>
          <w:sz w:val="19"/>
          <w:szCs w:val="19"/>
          <w:color w:val="auto"/>
        </w:rPr>
        <w:t>.</w:t>
      </w:r>
      <w:r>
        <w:rPr>
          <w:sz w:val="20"/>
          <w:szCs w:val="20"/>
          <w:color w:val="auto"/>
        </w:rPr>
        <w:tab/>
      </w:r>
      <w:r>
        <w:rPr>
          <w:rFonts w:ascii="Arial" w:cs="Arial" w:eastAsia="Arial" w:hAnsi="Arial"/>
          <w:sz w:val="17"/>
          <w:szCs w:val="17"/>
          <w:u w:val="single" w:color="auto"/>
          <w:color w:val="auto"/>
        </w:rPr>
        <w:t>Description</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8"/>
          <w:szCs w:val="18"/>
          <w:color w:val="auto"/>
        </w:rPr>
        <w:t>DXL Investor Presentation – April 2016</w:t>
      </w:r>
    </w:p>
    <w:p>
      <w:pPr>
        <w:spacing w:after="0" w:line="3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0"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2019-12-05T20:17:06Z</dcterms:created>
  <dcterms:modified xsi:type="dcterms:W3CDTF">2019-12-05T20:17:06Z</dcterms:modified>
</cp:coreProperties>
</file>