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November 15, 2006</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507"/>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60" w:type="dxa"/>
            <w:vAlign w:val="bottom"/>
          </w:tcPr>
          <w:p>
            <w:pPr>
              <w:jc w:val="center"/>
              <w:ind w:left="12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12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020" w:type="dxa"/>
            <w:vAlign w:val="bottom"/>
            <w:gridSpan w:val="2"/>
          </w:tcPr>
          <w:p>
            <w:pPr>
              <w:jc w:val="center"/>
              <w:ind w:left="960"/>
              <w:spacing w:after="0"/>
              <w:rPr>
                <w:sz w:val="20"/>
                <w:szCs w:val="20"/>
                <w:color w:val="auto"/>
              </w:rPr>
            </w:pPr>
            <w:r>
              <w:rPr>
                <w:rFonts w:ascii="Arial" w:cs="Arial" w:eastAsia="Arial" w:hAnsi="Arial"/>
                <w:sz w:val="18"/>
                <w:szCs w:val="18"/>
                <w:b w:val="1"/>
                <w:bCs w:val="1"/>
                <w:color w:val="auto"/>
                <w:w w:val="89"/>
              </w:rPr>
              <w:t>(781) 828-9300</w:t>
            </w:r>
          </w:p>
        </w:tc>
        <w:tc>
          <w:tcPr>
            <w:tcW w:w="26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20" w:type="dxa"/>
            <w:vAlign w:val="bottom"/>
            <w:gridSpan w:val="2"/>
          </w:tcPr>
          <w:p>
            <w:pPr>
              <w:jc w:val="center"/>
              <w:ind w:right="261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November 16, 2006, Casual Male Retail Group, Inc. (the “Company”) issued a press release announcing the Company’s results of operations for the third quarter and first nine months of fiscal 2006. A copy of this press release is attached hereto as Exhibit 99.1.</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November 15, 2006, Robert L. Sockolov’s employment as the chief executive officer of the Company’s Rochester division terminated as part of the Company’s plan to integrate its remaining San Francisco-based Rochester operations into its headquarters in Canton, MA. Mr. Sockolov was a “named executive officer” in the Company’s 2006 Proxy Statement.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Sockolov will continue to serve on the Board of Directors of the Company.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Financial Statements and Exhibits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80" w:lineRule="exact"/>
        <w:rPr>
          <w:sz w:val="20"/>
          <w:szCs w:val="20"/>
          <w:color w:val="auto"/>
        </w:rPr>
      </w:pPr>
    </w:p>
    <w:p>
      <w:pPr>
        <w:ind w:left="800"/>
        <w:spacing w:after="0"/>
        <w:tabs>
          <w:tab w:leader="none" w:pos="18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8890</wp:posOffset>
            </wp:positionV>
            <wp:extent cx="6449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ind w:left="1840" w:right="580" w:hanging="828"/>
        <w:spacing w:after="0" w:line="268" w:lineRule="auto"/>
        <w:tabs>
          <w:tab w:leader="none" w:pos="1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announcing results of operations for the third quarter and first nine months of fiscal 2006 for Casual Male Retail Group, Inc.</w:t>
      </w:r>
    </w:p>
    <w:p>
      <w:pPr>
        <w:sectPr>
          <w:pgSz w:w="11900" w:h="16838" w:orient="portrait"/>
          <w:cols w:equalWidth="0" w:num="1">
            <w:col w:w="11320"/>
          </w:cols>
          <w:pgMar w:left="240" w:top="2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16, 2006</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118110</wp:posOffset>
            </wp:positionV>
            <wp:extent cx="278701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701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Company Contact: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(561) 514-0115</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Bard, Weber Shandwick Worldwide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 445-8368</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Third Quarter Fiscal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Breakeven Earnings, Excluding a Special Charge Loss</w:t>
      </w:r>
    </w:p>
    <w:p>
      <w:pPr>
        <w:spacing w:after="0" w:line="16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CANTON, MA, November 16, 2006 — Casual Male Retail Group, Inc. (NASDAQ/GM: “</w:t>
      </w:r>
      <w:r>
        <w:rPr>
          <w:rFonts w:ascii="Arial" w:cs="Arial" w:eastAsia="Arial" w:hAnsi="Arial"/>
          <w:sz w:val="18"/>
          <w:szCs w:val="18"/>
          <w:u w:val="single" w:color="auto"/>
          <w:color w:val="auto"/>
        </w:rPr>
        <w:t>CMRG</w:t>
      </w:r>
      <w:r>
        <w:rPr>
          <w:rFonts w:ascii="Arial" w:cs="Arial" w:eastAsia="Arial" w:hAnsi="Arial"/>
          <w:sz w:val="18"/>
          <w:szCs w:val="18"/>
          <w:color w:val="auto"/>
        </w:rPr>
        <w:t>“), retail brand operator of Casual Male XL and Rochester Big &amp; Tall, today reported its operating results for the third quarter and first nine months of fiscal 2006.</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For the 13 week period ended October 28, 2006, the Company reported a net loss of $0.8 million, or $0.02 per diluted share, compared to a net loss of $2.8 million, or $0.08 per diluted share for the corresponding 13 week period ended October 29, 2005. The net loss for the third quarter of fiscal 2006 includes a charge of $1.2 million or $0.02 per diluted share from the early termination of employment contracts in the Rochester division. The net loss for the third quarter of fiscal 2005 would have been $0.05 per diluted share after adjusting for income taxes at a normalized tax rate.</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October 28, 2006, net income was $3.9 million, or $0.11 per diluted share, compared to a net loss of $2.7 million, or $0.08 per diluted share, for the nine months ended October 29, 2005. The net loss for the first nine months of fiscal 2005 would have been $0.05 per diluted share after adjusting for income taxes at a normalized tax rate.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fourth quarter of fiscal 2006, the Company plans to consolidate its Rochester Clothing division by closing its San Francisco offices and moving those operations to Casual Male’s corporate offices in Canton. In connection with those plans, during the third quarter of fiscal 2006, the Company terminated certain of its employment agreements and, accordingly, as disclosed above, incurred a charge of $1.2 million, or $0.02 diluted share. The prior year’s third quarter results included a benefit of $0.7 million, or $0.02 per diluted share, related to a class action settlement with Visa/MasterCard.</w:t>
      </w:r>
    </w:p>
    <w:p>
      <w:pPr>
        <w:sectPr>
          <w:pgSz w:w="11900" w:h="16838" w:orient="portrait"/>
          <w:cols w:equalWidth="0" w:num="1">
            <w:col w:w="11420"/>
          </w:cols>
          <w:pgMar w:left="240" w:top="125" w:right="239" w:bottom="1440" w:gutter="0" w:footer="0" w:header="0"/>
        </w:sectPr>
      </w:pPr>
    </w:p>
    <w:bookmarkStart w:id="4" w:name="page5"/>
    <w:bookmarkEnd w:id="4"/>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 the Company reported that comparable store sales for the third quarter of 2006 increased by 13.0% when compared to the third quarter of fiscal 2005 and comparable store sales for the nine months ended October 28, 2006 increased by 9.7% when compared to the nine months of the prior year.</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a normalized tax rate, which is a non-GAAP measure. The above discussion for the third quarter and nine months ended October 29, 2005 includes net loss per diluted share of $0.05 for both periods, assuming a normalized tax basis which reflects a 37.5% effective tax rate on pre-tax income(loss). The Company believes that the inclusion of this non-GAAP measure helps investors to gain a better understanding of the Company’s performance, especially when comparing fiscal 2006 results to fiscal 2005. However, this non-GAAP financial measure included in this press release is not meant to be considered superior to or as a substitute for results of operations prepared in accordance with GAAP. The following table shows the reconciliation of the net loss of $0.05 per diluted share for both the third quarter and nine months ended October 29, 2005, effected for the adjustment for normalized taxes: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400"/>
              <w:spacing w:after="0"/>
              <w:rPr>
                <w:sz w:val="20"/>
                <w:szCs w:val="20"/>
                <w:color w:val="auto"/>
              </w:rPr>
            </w:pPr>
            <w:r>
              <w:rPr>
                <w:rFonts w:ascii="Arial" w:cs="Arial" w:eastAsia="Arial" w:hAnsi="Arial"/>
                <w:sz w:val="14"/>
                <w:szCs w:val="14"/>
                <w:b w:val="1"/>
                <w:bCs w:val="1"/>
                <w:i w:val="1"/>
                <w:iCs w:val="1"/>
                <w:color w:val="auto"/>
                <w:w w:val="84"/>
              </w:rPr>
              <w:t>For the 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220"/>
              <w:spacing w:after="0"/>
              <w:rPr>
                <w:sz w:val="20"/>
                <w:szCs w:val="20"/>
                <w:color w:val="auto"/>
              </w:rPr>
            </w:pPr>
            <w:r>
              <w:rPr>
                <w:rFonts w:ascii="Arial" w:cs="Arial" w:eastAsia="Arial" w:hAnsi="Arial"/>
                <w:sz w:val="14"/>
                <w:szCs w:val="14"/>
                <w:b w:val="1"/>
                <w:bCs w:val="1"/>
                <w:i w:val="1"/>
                <w:iCs w:val="1"/>
                <w:color w:val="auto"/>
                <w:w w:val="84"/>
              </w:rPr>
              <w:t>For the 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6"/>
          </w:tcPr>
          <w:p>
            <w:pPr>
              <w:jc w:val="right"/>
              <w:ind w:right="700"/>
              <w:spacing w:after="0" w:line="159" w:lineRule="exact"/>
              <w:rPr>
                <w:sz w:val="20"/>
                <w:szCs w:val="20"/>
                <w:color w:val="auto"/>
              </w:rPr>
            </w:pPr>
            <w:r>
              <w:rPr>
                <w:rFonts w:ascii="Arial" w:cs="Arial" w:eastAsia="Arial" w:hAnsi="Arial"/>
                <w:sz w:val="14"/>
                <w:szCs w:val="14"/>
                <w:b w:val="1"/>
                <w:bCs w:val="1"/>
                <w:i w:val="1"/>
                <w:iCs w:val="1"/>
                <w:color w:val="auto"/>
              </w:rPr>
              <w:t>October 29, 2005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right"/>
              <w:ind w:right="500"/>
              <w:spacing w:after="0" w:line="159" w:lineRule="exact"/>
              <w:rPr>
                <w:sz w:val="20"/>
                <w:szCs w:val="20"/>
                <w:color w:val="auto"/>
              </w:rPr>
            </w:pPr>
            <w:r>
              <w:rPr>
                <w:rFonts w:ascii="Arial" w:cs="Arial" w:eastAsia="Arial" w:hAnsi="Arial"/>
                <w:sz w:val="14"/>
                <w:szCs w:val="14"/>
                <w:b w:val="1"/>
                <w:bCs w:val="1"/>
                <w:i w:val="1"/>
                <w:iCs w:val="1"/>
                <w:color w:val="auto"/>
              </w:rPr>
              <w:t>October 29, 2005</w:t>
            </w:r>
          </w:p>
        </w:tc>
        <w:tc>
          <w:tcPr>
            <w:tcW w:w="0" w:type="dxa"/>
            <w:vAlign w:val="bottom"/>
          </w:tcPr>
          <w:p>
            <w:pPr>
              <w:spacing w:after="0"/>
              <w:rPr>
                <w:sz w:val="1"/>
                <w:szCs w:val="1"/>
                <w:color w:val="auto"/>
              </w:rPr>
            </w:pPr>
          </w:p>
        </w:tc>
      </w:tr>
      <w:tr>
        <w:trPr>
          <w:trHeight w:val="142"/>
        </w:trPr>
        <w:tc>
          <w:tcPr>
            <w:tcW w:w="72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 except for per share amounts)</w:t>
            </w:r>
          </w:p>
        </w:tc>
        <w:tc>
          <w:tcPr>
            <w:tcW w:w="6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i w:val="1"/>
                <w:iCs w:val="1"/>
                <w:color w:val="auto"/>
                <w:w w:val="91"/>
              </w:rPr>
              <w:t>Net Loss</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i w:val="1"/>
                <w:iCs w:val="1"/>
                <w:color w:val="auto"/>
                <w:w w:val="85"/>
              </w:rPr>
              <w:t>Per Share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91"/>
              </w:rPr>
              <w:t>Net Loss</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i w:val="1"/>
                <w:iCs w:val="1"/>
                <w:color w:val="auto"/>
                <w:w w:val="85"/>
              </w:rPr>
              <w:t>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loss,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Income tax benefit, assuming normalized tax rate of 37.5%</w:t>
            </w:r>
          </w:p>
        </w:tc>
        <w:tc>
          <w:tcPr>
            <w:tcW w:w="120" w:type="dxa"/>
            <w:vAlign w:val="bottom"/>
          </w:tcPr>
          <w:p>
            <w:pPr>
              <w:jc w:val="right"/>
              <w:spacing w:after="0"/>
              <w:rPr>
                <w:sz w:val="20"/>
                <w:szCs w:val="20"/>
                <w:color w:val="auto"/>
              </w:rPr>
            </w:pPr>
            <w:r>
              <w:rPr>
                <w:rFonts w:ascii="Arial" w:cs="Arial" w:eastAsia="Arial" w:hAnsi="Arial"/>
                <w:sz w:val="15"/>
                <w:szCs w:val="15"/>
                <w:i w:val="1"/>
                <w:iCs w:val="1"/>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1.1</w:t>
            </w:r>
          </w:p>
        </w:tc>
        <w:tc>
          <w:tcPr>
            <w:tcW w:w="28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0.03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net loss, after normalized tax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(0.05)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Weighted average shares outstanding - diluted</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34.3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CMRG will host a conference call with security analysts beginning at 11:00 a.m. ET today, Thursday, November 16, 2006, to review the operating results for the third quarter ended October 28, 2006. The call is being web cast by CCBN and can be accessed at </w:t>
      </w:r>
      <w:r>
        <w:rPr>
          <w:rFonts w:ascii="Arial" w:cs="Arial" w:eastAsia="Arial" w:hAnsi="Arial"/>
          <w:sz w:val="16"/>
          <w:szCs w:val="16"/>
          <w:u w:val="single" w:color="auto"/>
          <w:color w:val="auto"/>
        </w:rPr>
        <w:t>www.casualmale.com/investor</w:t>
      </w:r>
      <w:r>
        <w:rPr>
          <w:rFonts w:ascii="Arial" w:cs="Arial" w:eastAsia="Arial" w:hAnsi="Arial"/>
          <w:sz w:val="16"/>
          <w:szCs w:val="16"/>
          <w:color w:val="auto"/>
        </w:rPr>
        <w: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1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Casual Male Retail Group, Inc., the largest retailer of big and tall men’s apparel with retail operations throughout the United States, Canada and London, England, operates 484 Casual Male XL stores, the Casual Male e-commerce site, Casual Male catalog business, 12 Casual Male at Sears-Canada stores, 25 Rochester</w:t>
      </w:r>
    </w:p>
    <w:p>
      <w:pPr>
        <w:ind w:right="200"/>
        <w:spacing w:after="0" w:line="261" w:lineRule="auto"/>
        <w:rPr>
          <w:sz w:val="20"/>
          <w:szCs w:val="20"/>
          <w:color w:val="auto"/>
        </w:rPr>
      </w:pPr>
      <w:r>
        <w:rPr>
          <w:rFonts w:ascii="Arial" w:cs="Arial" w:eastAsia="Arial" w:hAnsi="Arial"/>
          <w:sz w:val="18"/>
          <w:szCs w:val="18"/>
          <w:color w:val="auto"/>
        </w:rPr>
        <w:t>Big &amp; Tall stores and a direct-to-consumer business. The Company is headquartered in Canton, Massachusetts, and its common stock is listed on the NASDAQ Global Market under the symbol “CMRG.”</w:t>
      </w:r>
    </w:p>
    <w:p>
      <w:pPr>
        <w:spacing w:after="0" w:line="13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The discussion of forward-looking information requires management of the Company to make certain estimates and assumptions regarding the Company’s strategic direction and the effect of such plans on the</w:t>
      </w:r>
    </w:p>
    <w:p>
      <w:pPr>
        <w:sectPr>
          <w:pgSz w:w="11900" w:h="16838" w:orient="portrait"/>
          <w:cols w:equalWidth="0" w:num="1">
            <w:col w:w="11420"/>
          </w:cols>
          <w:pgMar w:left="240" w:top="280" w:right="239" w:bottom="1440" w:gutter="0" w:footer="0" w:header="0"/>
        </w:sectPr>
      </w:pPr>
    </w:p>
    <w:bookmarkStart w:id="5" w:name="page6"/>
    <w:bookmarkEnd w:id="5"/>
    <w:p>
      <w:pPr>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w:t>
      </w:r>
    </w:p>
    <w:p>
      <w:pPr>
        <w:sectPr>
          <w:pgSz w:w="11900" w:h="16838" w:orient="portrait"/>
          <w:cols w:equalWidth="0" w:num="1">
            <w:col w:w="11340"/>
          </w:cols>
          <w:pgMar w:left="240" w:top="28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ind w:left="240"/>
              <w:spacing w:after="0"/>
              <w:rPr>
                <w:sz w:val="20"/>
                <w:szCs w:val="20"/>
                <w:color w:val="auto"/>
              </w:rPr>
            </w:pPr>
            <w:r>
              <w:rPr>
                <w:rFonts w:ascii="Arial" w:cs="Arial" w:eastAsia="Arial" w:hAnsi="Arial"/>
                <w:sz w:val="14"/>
                <w:szCs w:val="14"/>
                <w:b w:val="1"/>
                <w:bCs w:val="1"/>
                <w:color w:val="auto"/>
                <w:w w:val="85"/>
              </w:rPr>
              <w:t>For the three months ended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28, 2006</w:t>
            </w:r>
          </w:p>
        </w:tc>
        <w:tc>
          <w:tcPr>
            <w:tcW w:w="6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October 29, 2005</w:t>
            </w:r>
          </w:p>
        </w:tc>
        <w:tc>
          <w:tcPr>
            <w:tcW w:w="62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October 28, 2006</w:t>
            </w:r>
          </w:p>
        </w:tc>
        <w:tc>
          <w:tcPr>
            <w:tcW w:w="6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29,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106,851</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93,770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59,790</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w w:val="83"/>
              </w:rPr>
              <w:t>55,185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178,829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38,585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42,082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36,175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Provision for employment contract termination</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1,200</w:t>
            </w:r>
          </w:p>
        </w:tc>
        <w:tc>
          <w:tcPr>
            <w:tcW w:w="50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3,131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46,906</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w w:val="83"/>
              </w:rPr>
              <w:t>39,306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133,189</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1,112</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(2,114)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(4,092)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(1,367)</w:t>
            </w:r>
          </w:p>
        </w:tc>
        <w:tc>
          <w:tcPr>
            <w:tcW w:w="5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(2,835)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6,519</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(844)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(2,835)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3,944</w:t>
            </w:r>
          </w:p>
        </w:tc>
        <w:tc>
          <w:tcPr>
            <w:tcW w:w="6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6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34,393</w:t>
            </w:r>
          </w:p>
        </w:tc>
        <w:tc>
          <w:tcPr>
            <w:tcW w:w="5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w w:val="83"/>
              </w:rPr>
              <w:t>34,345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34,665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34,393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34,345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28, 2006 and January 28,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October 28, 2006</w:t>
            </w:r>
          </w:p>
        </w:tc>
        <w:tc>
          <w:tcPr>
            <w:tcW w:w="6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28,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7,185</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(land and building)</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124,176</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56,976</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299,942</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69,059</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21,298</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gain</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26,744</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88,092</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299,942</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2019-12-20T17:56:42Z</dcterms:created>
  <dcterms:modified xsi:type="dcterms:W3CDTF">2019-12-20T17:56:42Z</dcterms:modified>
</cp:coreProperties>
</file>