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580"/>
        <w:spacing w:after="0"/>
        <w:tabs>
          <w:tab w:leader="none" w:pos="3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CASUAL MALE RETAIL GROUP, INC. 401(K) HOURLY SAVINGS PLAN</w:t>
      </w:r>
    </w:p>
    <w:p>
      <w:pPr>
        <w:spacing w:after="0" w:line="37"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(Full title of the plan)</w:t>
      </w:r>
    </w:p>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Canton, Massachusetts 02021</w:t>
      </w:r>
    </w:p>
    <w:p>
      <w:pPr>
        <w:jc w:val="center"/>
        <w:ind w:right="-499"/>
        <w:spacing w:after="0"/>
        <w:rPr>
          <w:sz w:val="20"/>
          <w:szCs w:val="20"/>
          <w:color w:val="auto"/>
        </w:rPr>
      </w:pPr>
      <w:r>
        <w:rPr>
          <w:rFonts w:ascii="Arial" w:cs="Arial" w:eastAsia="Arial" w:hAnsi="Arial"/>
          <w:sz w:val="14"/>
          <w:szCs w:val="14"/>
          <w:b w:val="1"/>
          <w:bCs w:val="1"/>
          <w:color w:val="auto"/>
        </w:rPr>
        <w:t>(Name of issuer of the securities held pursuant to the plan and the address</w:t>
      </w:r>
    </w:p>
    <w:p>
      <w:pPr>
        <w:jc w:val="center"/>
        <w:ind w:right="-499"/>
        <w:spacing w:after="0"/>
        <w:rPr>
          <w:sz w:val="20"/>
          <w:szCs w:val="20"/>
          <w:color w:val="auto"/>
        </w:rPr>
      </w:pPr>
      <w:r>
        <w:rPr>
          <w:rFonts w:ascii="Arial" w:cs="Arial" w:eastAsia="Arial" w:hAnsi="Arial"/>
          <w:sz w:val="14"/>
          <w:szCs w:val="14"/>
          <w:b w:val="1"/>
          <w:b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160" w:type="dxa"/>
            <w:vAlign w:val="bottom"/>
            <w:gridSpan w:val="5"/>
          </w:tcPr>
          <w:p>
            <w:pPr>
              <w:jc w:val="center"/>
              <w:ind w:right="1120"/>
              <w:spacing w:after="0"/>
              <w:rPr>
                <w:sz w:val="20"/>
                <w:szCs w:val="20"/>
                <w:color w:val="auto"/>
              </w:rPr>
            </w:pPr>
            <w:r>
              <w:rPr>
                <w:rFonts w:ascii="Arial" w:cs="Arial" w:eastAsia="Arial" w:hAnsi="Arial"/>
                <w:sz w:val="18"/>
                <w:szCs w:val="18"/>
                <w:color w:val="auto"/>
                <w:w w:val="89"/>
              </w:rPr>
              <w:t>Casual Male Retail Group 401(k) Hourly Savings Plan</w:t>
            </w:r>
          </w:p>
        </w:tc>
        <w:tc>
          <w:tcPr>
            <w:tcW w:w="206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60" w:type="dxa"/>
            <w:vAlign w:val="bottom"/>
            <w:gridSpan w:val="5"/>
          </w:tcPr>
          <w:p>
            <w:pPr>
              <w:jc w:val="center"/>
              <w:ind w:right="1140"/>
              <w:spacing w:after="0"/>
              <w:rPr>
                <w:sz w:val="20"/>
                <w:szCs w:val="20"/>
                <w:color w:val="auto"/>
              </w:rPr>
            </w:pPr>
            <w:r>
              <w:rPr>
                <w:rFonts w:ascii="Arial" w:cs="Arial" w:eastAsia="Arial" w:hAnsi="Arial"/>
                <w:sz w:val="18"/>
                <w:szCs w:val="18"/>
                <w:color w:val="auto"/>
                <w:w w:val="86"/>
              </w:rPr>
              <w:t>Financial Statements and Supplemental Schedule</w:t>
            </w:r>
          </w:p>
        </w:tc>
        <w:tc>
          <w:tcPr>
            <w:tcW w:w="206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00" w:type="dxa"/>
            <w:vAlign w:val="bottom"/>
            <w:gridSpan w:val="4"/>
          </w:tcPr>
          <w:p>
            <w:pPr>
              <w:jc w:val="center"/>
              <w:ind w:right="2200"/>
              <w:spacing w:after="0"/>
              <w:rPr>
                <w:sz w:val="20"/>
                <w:szCs w:val="20"/>
                <w:color w:val="auto"/>
              </w:rPr>
            </w:pPr>
            <w:r>
              <w:rPr>
                <w:rFonts w:ascii="Arial" w:cs="Arial" w:eastAsia="Arial" w:hAnsi="Arial"/>
                <w:sz w:val="18"/>
                <w:szCs w:val="18"/>
                <w:color w:val="auto"/>
                <w:w w:val="86"/>
              </w:rPr>
              <w:t>Year ended December 31, 2008</w:t>
            </w:r>
          </w:p>
        </w:tc>
        <w:tc>
          <w:tcPr>
            <w:tcW w:w="206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w w:val="86"/>
              </w:rPr>
              <w:t>Table of Contents</w:t>
            </w:r>
          </w:p>
        </w:tc>
        <w:tc>
          <w:tcPr>
            <w:tcW w:w="2060" w:type="dxa"/>
            <w:vAlign w:val="bottom"/>
          </w:tcPr>
          <w:p>
            <w:pPr>
              <w:spacing w:after="0"/>
              <w:rPr>
                <w:sz w:val="24"/>
                <w:szCs w:val="24"/>
                <w:color w:val="auto"/>
              </w:rPr>
            </w:pPr>
          </w:p>
        </w:tc>
      </w:tr>
      <w:tr>
        <w:trPr>
          <w:trHeight w:val="380"/>
        </w:trPr>
        <w:tc>
          <w:tcPr>
            <w:tcW w:w="93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Reports of Independent Registered Public Accounting Firms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Statements of Net Assets Available for Benefits as of December 31, 2008 and 2007</w:t>
              </w:r>
            </w:hyperlink>
          </w:p>
        </w:tc>
        <w:tc>
          <w:tcPr>
            <w:tcW w:w="350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36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2008</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694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24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412"/>
        </w:trPr>
        <w:tc>
          <w:tcPr>
            <w:tcW w:w="1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Supplementary Schedule</w:t>
              </w:r>
            </w:hyperlink>
          </w:p>
        </w:tc>
        <w:tc>
          <w:tcPr>
            <w:tcW w:w="340" w:type="dxa"/>
            <w:vAlign w:val="bottom"/>
            <w:tcBorders>
              <w:top w:val="single" w:sz="8" w:color="0000EE"/>
            </w:tcBorders>
          </w:tcPr>
          <w:p>
            <w:pPr>
              <w:spacing w:after="0"/>
              <w:rPr>
                <w:sz w:val="24"/>
                <w:szCs w:val="24"/>
                <w:color w:val="auto"/>
              </w:rPr>
            </w:pPr>
          </w:p>
        </w:tc>
        <w:tc>
          <w:tcPr>
            <w:tcW w:w="726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440" w:type="dxa"/>
            <w:vAlign w:val="bottom"/>
          </w:tcPr>
          <w:p>
            <w:pPr>
              <w:spacing w:after="0"/>
              <w:rPr>
                <w:sz w:val="24"/>
                <w:szCs w:val="24"/>
                <w:color w:val="auto"/>
              </w:rPr>
            </w:pPr>
          </w:p>
        </w:tc>
        <w:tc>
          <w:tcPr>
            <w:tcW w:w="50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Schedule H, Line 4i – Schedule of Assets Held for Investment Purposes</w:t>
              </w:r>
            </w:hyperlink>
          </w:p>
        </w:tc>
        <w:tc>
          <w:tcPr>
            <w:tcW w:w="386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at End of Year (December 31, 2008)</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the Casual Male Retail Group, Inc. 401 (k) Hourly Savings Plan as of December 31, 2008,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2008 financial statements referred to above present fairly, in all material respects, the net assets available for benefits of the Plan as of December 31, 2008 and the changes in its net assets available for benefits for the year then ended, in conformity with accounting principles generally accepted in the United States of America.</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for investment purposes at end of year (December 31, 2008)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MHM Mahoney Cohen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 of net assets available for benefits of the Casual Male Retail Group, Inc. 401 (k) Hourly Savings Plan as of December 31, 2007. This financial statement is the responsibility of the Plan's management. Our responsibility is to express an opinion on this financial statement based on our audit.</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In our opinion, the 2007 financial statement referred to above presents fairly, in all material respects, the net assets available for benefits of the Plan as of December 31, 2007, in conformity with accounting principles generally accepted in the United States of America.</w:t>
      </w:r>
    </w:p>
    <w:p>
      <w:pPr>
        <w:spacing w:after="0" w:line="3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Mahoney Cohen &amp; Company, CPA,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0" w:type="dxa"/>
            <w:vAlign w:val="bottom"/>
            <w:gridSpan w:val="2"/>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Investments, at fair value (Note 2 and 3)</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$ 10,098,840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$ 13,385,139</w:t>
            </w:r>
          </w:p>
        </w:tc>
        <w:tc>
          <w:tcPr>
            <w:tcW w:w="20" w:type="dxa"/>
            <w:vAlign w:val="bottom"/>
          </w:tcPr>
          <w:p>
            <w:pPr>
              <w:spacing w:after="0"/>
              <w:rPr>
                <w:sz w:val="18"/>
                <w:szCs w:val="18"/>
                <w:color w:val="auto"/>
              </w:rPr>
            </w:pPr>
          </w:p>
        </w:tc>
      </w:tr>
      <w:tr>
        <w:trPr>
          <w:trHeight w:val="231"/>
        </w:trPr>
        <w:tc>
          <w:tcPr>
            <w:tcW w:w="8080" w:type="dxa"/>
            <w:vAlign w:val="bottom"/>
            <w:gridSpan w:val="2"/>
          </w:tcPr>
          <w:p>
            <w:pPr>
              <w:spacing w:after="0"/>
              <w:rPr>
                <w:sz w:val="20"/>
                <w:szCs w:val="20"/>
                <w:color w:val="auto"/>
              </w:rPr>
            </w:pPr>
            <w:r>
              <w:rPr>
                <w:rFonts w:ascii="Arial" w:cs="Arial" w:eastAsia="Arial" w:hAnsi="Arial"/>
                <w:sz w:val="18"/>
                <w:szCs w:val="18"/>
                <w:color w:val="auto"/>
              </w:rPr>
              <w:t>Participant loans receivable</w:t>
            </w:r>
          </w:p>
        </w:tc>
        <w:tc>
          <w:tcPr>
            <w:tcW w:w="12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320,006</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307,233</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(Note 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10,418,846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13,692,372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Employer contributions receivable</w:t>
            </w:r>
          </w:p>
        </w:tc>
        <w:tc>
          <w:tcPr>
            <w:tcW w:w="1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at fair value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10,633,966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13,864,008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140,316</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$ 10,774,282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$ 13,880,605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3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Year ended December 31,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net assets attributed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 depreciation in fair value of investments (Note 3)</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investment loss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Benefits paid directly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Transfers out of the Plan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decrease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9"/>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517,607</w:t>
      </w:r>
    </w:p>
    <w:p>
      <w:pPr>
        <w:spacing w:after="0" w:line="38"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216,949</w:t>
      </w:r>
    </w:p>
    <w:p>
      <w:pPr>
        <w:spacing w:after="0" w:line="5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734,556</w:t>
      </w:r>
    </w:p>
    <w:p>
      <w:pPr>
        <w:spacing w:after="0" w:line="38"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89,030</w:t>
      </w:r>
    </w:p>
    <w:p>
      <w:pPr>
        <w:spacing w:after="0" w:line="2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823,586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-419735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3,086,188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(421,765)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2,664,423</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1,209,900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36,586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3,929,909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5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(3,106,323)</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13,880,605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$10,774,282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565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00" w:space="720"/>
            <w:col w:w="96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Plan is a defined contribution plan covering eligible employees of the Casual Male Retail Group, Inc. (the “Company”). The Plan is subject to the provisions of the Employee Retirement Income Security Act of 1974 (ERISA).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All regular, full-time (as defined in the Plan) employees, excluding salaried employees, of the Company who have completed one year of employment and are at least 21 years of age are eligible to participate in the Plan. After completing age and service requirements, the employee can enter the Plan on the first day of any subsequent month.</w:t>
      </w:r>
    </w:p>
    <w:p>
      <w:pPr>
        <w:spacing w:after="0" w:line="14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Salaried Savings Plan during the year ended December 31, 2008 were $36,586. Assets transferred from the Casual Male Retail Group Inc. 401(k) Salaried Savings Plan during the year ended December 31, 2008 were $89,030.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Effective January 1, 2008, the Plan approved and adopted the Safe Harbor Matching provisions permitted under the Pension Protection Act of 2006. For the year ended December 31, 2008, the Company contributed a match equal to the sum of ( i ) 100% of the participant’s elective deferral for the first 1% of compensation plus ( ii ) 50% of the participant’s elective deferral for the next 5% of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Effective January 1, 2008, the Plan was amended for automatic enrollment. Under this provision, each employee who has satisfied the eligibility requirement as of January 1, 2009 shall be automatically enrolled and shall have an amount equal to 3% of their compensation automatically deducted unless the employee affirmatively elects a different elective deferral contribution percent (including a zero percent election). Unless an eligible employee affirmatively elects not to contribute or changes it’s deferral rate, the pre-tax deferral will increase annually by 1% not to exceed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Each participant’s account is credited with the participant’s contributions, the Company’s matching contribution, plan earnings and an allocation of plan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benefit to which a participant is entitled is the benefit that can be provided from the participant’s account.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2008 and 2007, forfeited non-vested accounts totaled $1,770 and $6,888,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Effective January 1, 2008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Loans</w:t>
      </w:r>
    </w:p>
    <w:p>
      <w:pPr>
        <w:spacing w:after="0" w:line="90"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2008. Principal and interest is paid ratably through payroll deductions.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2008, certain administrative expenses were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termination of service for any reason, a participant shall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 (continued)</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w:t>
      </w:r>
    </w:p>
    <w:p>
      <w:pPr>
        <w:spacing w:after="0" w:line="8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depreciation includes the plan’s gains and losses on investments bought and sold as well as held during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2008, the Plan’s investments (including investments purchased, sold as well as held during the year) depreciated in fair value as follows: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40" w:type="dxa"/>
            <w:vAlign w:val="bottom"/>
            <w:gridSpan w:val="2"/>
          </w:tcPr>
          <w:p>
            <w:pPr>
              <w:jc w:val="center"/>
              <w:ind w:right="1406"/>
              <w:spacing w:after="0"/>
              <w:rPr>
                <w:sz w:val="20"/>
                <w:szCs w:val="20"/>
                <w:color w:val="auto"/>
              </w:rPr>
            </w:pPr>
            <w:r>
              <w:rPr>
                <w:rFonts w:ascii="Arial" w:cs="Arial" w:eastAsia="Arial" w:hAnsi="Arial"/>
                <w:sz w:val="18"/>
                <w:szCs w:val="18"/>
                <w:color w:val="auto"/>
                <w:w w:val="89"/>
              </w:rPr>
              <w:t>Casual Male Retail Group, Inc. 401(k) Hourly Savings Plan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40" w:type="dxa"/>
            <w:vAlign w:val="bottom"/>
            <w:gridSpan w:val="2"/>
          </w:tcPr>
          <w:p>
            <w:pPr>
              <w:jc w:val="center"/>
              <w:ind w:right="1426"/>
              <w:spacing w:after="0"/>
              <w:rPr>
                <w:sz w:val="20"/>
                <w:szCs w:val="20"/>
                <w:color w:val="auto"/>
              </w:rPr>
            </w:pPr>
            <w:r>
              <w:rPr>
                <w:rFonts w:ascii="Arial" w:cs="Arial" w:eastAsia="Arial" w:hAnsi="Arial"/>
                <w:sz w:val="18"/>
                <w:szCs w:val="18"/>
                <w:color w:val="auto"/>
                <w:w w:val="87"/>
              </w:rPr>
              <w:t>Notes to Financial Statements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940" w:type="dxa"/>
            <w:vAlign w:val="bottom"/>
            <w:gridSpan w:val="4"/>
          </w:tcPr>
          <w:p>
            <w:pPr>
              <w:spacing w:after="0"/>
              <w:rPr>
                <w:sz w:val="20"/>
                <w:szCs w:val="20"/>
                <w:color w:val="auto"/>
              </w:rPr>
            </w:pPr>
            <w:r>
              <w:rPr>
                <w:rFonts w:ascii="Arial" w:cs="Arial" w:eastAsia="Arial" w:hAnsi="Arial"/>
                <w:sz w:val="18"/>
                <w:szCs w:val="18"/>
                <w:color w:val="auto"/>
              </w:rPr>
              <w:t>Note 3- Investments (continued)</w:t>
            </w:r>
          </w:p>
        </w:tc>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Net Depreciation</w:t>
            </w:r>
          </w:p>
        </w:tc>
      </w:tr>
      <w:tr>
        <w:trPr>
          <w:trHeight w:val="149"/>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 Fair Value of</w:t>
            </w:r>
          </w:p>
        </w:tc>
      </w:tr>
      <w:tr>
        <w:trPr>
          <w:trHeight w:val="161"/>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Investments</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p>
        </w:tc>
        <w:tc>
          <w:tcPr>
            <w:tcW w:w="7040" w:type="dxa"/>
            <w:vAlign w:val="bottom"/>
            <w:gridSpan w:val="2"/>
            <w:shd w:val="clear" w:color="auto" w:fill="CCEEFF"/>
          </w:tcPr>
          <w:p>
            <w:pPr>
              <w:ind w:left="69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(3,013,844)</w:t>
            </w:r>
          </w:p>
        </w:tc>
      </w:tr>
      <w:tr>
        <w:trPr>
          <w:trHeight w:val="216"/>
        </w:trPr>
        <w:tc>
          <w:tcPr>
            <w:tcW w:w="46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(72,344)</w:t>
            </w:r>
          </w:p>
        </w:tc>
      </w:tr>
      <w:tr>
        <w:trPr>
          <w:trHeight w:val="27"/>
        </w:trPr>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(3,086,188)</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$5,256,939</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2"/>
              </w:rPr>
              <w:t>48.8%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$4,191,172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30.2%</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Fidelity Advisor Freedom 2005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820,916</w:t>
            </w:r>
          </w:p>
        </w:tc>
        <w:tc>
          <w:tcPr>
            <w:tcW w:w="44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7.6%</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1,328,868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Freedom 2010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702,398</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1,335,704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JP Morgan Equity Index</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798,835</w:t>
            </w:r>
          </w:p>
        </w:tc>
        <w:tc>
          <w:tcPr>
            <w:tcW w:w="44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1,413,481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10.2%</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713,995</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75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7,579,088</w:t>
            </w:r>
          </w:p>
        </w:tc>
        <w:tc>
          <w:tcPr>
            <w:tcW w:w="44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w w:val="82"/>
              </w:rPr>
              <w:t>70.3%</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8,983,220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64.7%</w:t>
            </w: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amount represents contract value for this investment.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Non Participant 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changes in net assets relating to the non participant directed investments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Asset: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3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20" w:type="dxa"/>
            <w:vAlign w:val="bottom"/>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Fidelity Advisor Freedom 2010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6,888</w:t>
            </w:r>
          </w:p>
        </w:tc>
        <w:tc>
          <w:tcPr>
            <w:tcW w:w="2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 in net Assets: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Current year forfeitures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Forfeitures used for employer match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u w:val="single" w:color="auto"/>
          <w:color w:val="auto"/>
        </w:rPr>
        <w:t>December 31, 2008</w:t>
      </w:r>
    </w:p>
    <w:p>
      <w:pPr>
        <w:spacing w:after="0" w:line="22" w:lineRule="exact"/>
        <w:rPr>
          <w:sz w:val="20"/>
          <w:szCs w:val="20"/>
          <w:color w:val="auto"/>
        </w:rPr>
      </w:pPr>
    </w:p>
    <w:p>
      <w:pPr>
        <w:ind w:left="921" w:hanging="921"/>
        <w:spacing w:after="0"/>
        <w:tabs>
          <w:tab w:leader="none" w:pos="921" w:val="left"/>
        </w:tabs>
        <w:numPr>
          <w:ilvl w:val="0"/>
          <w:numId w:val="5"/>
        </w:numPr>
        <w:rPr>
          <w:rFonts w:ascii="Arial" w:cs="Arial" w:eastAsia="Arial" w:hAnsi="Arial"/>
          <w:sz w:val="18"/>
          <w:szCs w:val="18"/>
          <w:color w:val="auto"/>
        </w:rPr>
      </w:pPr>
      <w:r>
        <w:rPr>
          <w:rFonts w:ascii="Arial" w:cs="Arial" w:eastAsia="Arial" w:hAnsi="Arial"/>
          <w:sz w:val="18"/>
          <w:szCs w:val="18"/>
          <w:color w:val="auto"/>
        </w:rPr>
        <w:t>87</w:t>
      </w:r>
    </w:p>
    <w:p>
      <w:pPr>
        <w:spacing w:after="0" w:line="7" w:lineRule="exact"/>
        <w:rPr>
          <w:rFonts w:ascii="Arial" w:cs="Arial" w:eastAsia="Arial" w:hAnsi="Arial"/>
          <w:sz w:val="18"/>
          <w:szCs w:val="18"/>
          <w:color w:val="auto"/>
        </w:rPr>
      </w:pPr>
    </w:p>
    <w:p>
      <w:pPr>
        <w:ind w:left="701"/>
        <w:spacing w:after="0"/>
        <w:rPr>
          <w:rFonts w:ascii="Arial" w:cs="Arial" w:eastAsia="Arial" w:hAnsi="Arial"/>
          <w:sz w:val="18"/>
          <w:szCs w:val="18"/>
          <w:color w:val="auto"/>
        </w:rPr>
      </w:pPr>
      <w:r>
        <w:rPr>
          <w:rFonts w:ascii="Arial" w:cs="Arial" w:eastAsia="Arial" w:hAnsi="Arial"/>
          <w:sz w:val="18"/>
          <w:szCs w:val="18"/>
          <w:color w:val="auto"/>
        </w:rPr>
        <w:t>1,458</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(6,663)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46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 w:lineRule="exact"/>
        <w:rPr>
          <w:sz w:val="20"/>
          <w:szCs w:val="20"/>
          <w:color w:val="auto"/>
        </w:rPr>
      </w:pPr>
    </w:p>
    <w:p>
      <w:pPr>
        <w:ind w:left="641" w:hanging="641"/>
        <w:spacing w:after="0"/>
        <w:tabs>
          <w:tab w:leader="none" w:pos="641" w:val="left"/>
        </w:tabs>
        <w:numPr>
          <w:ilvl w:val="0"/>
          <w:numId w:val="6"/>
        </w:numPr>
        <w:rPr>
          <w:rFonts w:ascii="Arial" w:cs="Arial" w:eastAsia="Arial" w:hAnsi="Arial"/>
          <w:sz w:val="16"/>
          <w:szCs w:val="16"/>
          <w:color w:val="auto"/>
        </w:rPr>
      </w:pPr>
      <w:r>
        <w:rPr>
          <w:rFonts w:ascii="Arial" w:cs="Arial" w:eastAsia="Arial" w:hAnsi="Arial"/>
          <w:sz w:val="16"/>
          <w:szCs w:val="16"/>
          <w:color w:val="auto"/>
        </w:rPr>
        <w:t>(5,118)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694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38" w:orient="portrait"/>
          <w:cols w:equalWidth="0" w:num="2">
            <w:col w:w="9039" w:space="720"/>
            <w:col w:w="1661"/>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Effective January 1, 2008, the Plan adopted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Statement No. 157 are described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Level 1</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w w:val="88"/>
              </w:rPr>
              <w:t>Inputs to the valuation methodology are unadjusted quoted prices for identical assets or liabilities in active markets that the plan has the ability to</w:t>
            </w:r>
          </w:p>
        </w:tc>
      </w:tr>
      <w:tr>
        <w:trPr>
          <w:trHeight w:val="222"/>
        </w:trPr>
        <w:tc>
          <w:tcPr>
            <w:tcW w:w="840" w:type="dxa"/>
            <w:vAlign w:val="bottom"/>
          </w:tcPr>
          <w:p>
            <w:pPr>
              <w:spacing w:after="0"/>
              <w:rPr>
                <w:sz w:val="19"/>
                <w:szCs w:val="19"/>
                <w:color w:val="auto"/>
              </w:rPr>
            </w:pP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access.</w:t>
            </w: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Level 2</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Inputs to the valuation methodology include</w:t>
            </w:r>
          </w:p>
        </w:tc>
      </w:tr>
      <w:tr>
        <w:trPr>
          <w:trHeight w:val="216"/>
        </w:trPr>
        <w:tc>
          <w:tcPr>
            <w:tcW w:w="8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Quoted prices for similar assets or liabilities in active markets;</w:t>
            </w:r>
          </w:p>
        </w:tc>
      </w:tr>
      <w:tr>
        <w:trPr>
          <w:trHeight w:val="216"/>
        </w:trPr>
        <w:tc>
          <w:tcPr>
            <w:tcW w:w="8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Quoted prices for identical or similar assets or liabilities in inactive markets;</w:t>
            </w:r>
          </w:p>
        </w:tc>
      </w:tr>
      <w:tr>
        <w:trPr>
          <w:trHeight w:val="216"/>
        </w:trPr>
        <w:tc>
          <w:tcPr>
            <w:tcW w:w="8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Inputs other than quoted prices that are observable for the asset or liability;</w:t>
            </w:r>
          </w:p>
        </w:tc>
      </w:tr>
      <w:tr>
        <w:trPr>
          <w:trHeight w:val="222"/>
        </w:trPr>
        <w:tc>
          <w:tcPr>
            <w:tcW w:w="8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9940" w:type="dxa"/>
            <w:vAlign w:val="bottom"/>
          </w:tcPr>
          <w:p>
            <w:pPr>
              <w:ind w:left="18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tc>
      </w:tr>
      <w:tr>
        <w:trPr>
          <w:trHeight w:val="372"/>
        </w:trPr>
        <w:tc>
          <w:tcPr>
            <w:tcW w:w="840" w:type="dxa"/>
            <w:vAlign w:val="bottom"/>
          </w:tcPr>
          <w:p>
            <w:pPr>
              <w:spacing w:after="0"/>
              <w:rPr>
                <w:sz w:val="24"/>
                <w:szCs w:val="24"/>
                <w:color w:val="auto"/>
              </w:rPr>
            </w:pP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w w:val="93"/>
              </w:rPr>
              <w:t>If the asset or liability has a specified (contractual) term, the level 2 input must be observable for substantially the full term of the asset or</w:t>
            </w:r>
          </w:p>
        </w:tc>
      </w:tr>
      <w:tr>
        <w:trPr>
          <w:trHeight w:val="222"/>
        </w:trPr>
        <w:tc>
          <w:tcPr>
            <w:tcW w:w="840" w:type="dxa"/>
            <w:vAlign w:val="bottom"/>
          </w:tcPr>
          <w:p>
            <w:pPr>
              <w:spacing w:after="0"/>
              <w:rPr>
                <w:sz w:val="19"/>
                <w:szCs w:val="19"/>
                <w:color w:val="auto"/>
              </w:rPr>
            </w:pP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liability.</w:t>
            </w:r>
          </w:p>
        </w:tc>
      </w:tr>
      <w:tr>
        <w:trPr>
          <w:trHeight w:val="419"/>
        </w:trPr>
        <w:tc>
          <w:tcPr>
            <w:tcW w:w="840" w:type="dxa"/>
            <w:vAlign w:val="bottom"/>
          </w:tcPr>
          <w:p>
            <w:pPr>
              <w:spacing w:after="0"/>
              <w:rPr>
                <w:sz w:val="20"/>
                <w:szCs w:val="20"/>
                <w:color w:val="auto"/>
              </w:rPr>
            </w:pPr>
            <w:r>
              <w:rPr>
                <w:rFonts w:ascii="Arial" w:cs="Arial" w:eastAsia="Arial" w:hAnsi="Arial"/>
                <w:sz w:val="18"/>
                <w:szCs w:val="18"/>
                <w:color w:val="auto"/>
              </w:rPr>
              <w:t>Level 3</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Inputs to the valuation methodology are unobservable and significant to the fair value measurement.</w:t>
            </w:r>
          </w:p>
        </w:tc>
      </w:tr>
    </w:tbl>
    <w:p>
      <w:pPr>
        <w:spacing w:after="0" w:line="15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2008 and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stocks: </w:t>
      </w:r>
      <w:r>
        <w:rPr>
          <w:rFonts w:ascii="Arial" w:cs="Arial" w:eastAsia="Arial" w:hAnsi="Arial"/>
          <w:sz w:val="18"/>
          <w:szCs w:val="18"/>
          <w:color w:val="auto"/>
        </w:rPr>
        <w:t>Valued at the closing price reported on the active market on which the individual securities are traded.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net asset value (NAV) of shares held by the plan at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Valued at amortized cost, which approximates fair value.</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 xml:space="preserve">Fidelity Advisor Stable Value Fund: </w:t>
      </w:r>
      <w:r>
        <w:rPr>
          <w:rFonts w:ascii="Arial" w:cs="Arial" w:eastAsia="Arial" w:hAnsi="Arial"/>
          <w:sz w:val="18"/>
          <w:szCs w:val="18"/>
          <w:color w:val="auto"/>
        </w:rPr>
        <w:t>Valued at fair value by discounting the related cash flows based on current yields of similar instruments with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durations considering the credit-worthiness of the issuer of the specific instruments of the fund at year-end.</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2008.</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i w:val="1"/>
          <w:iCs w:val="1"/>
          <w:color w:val="auto"/>
        </w:rPr>
        <w:t>Assets at Fair Value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$ 4,946,061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4,946,061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Stocks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36,156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5,116,623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5,116,623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Participant Loans</w:t>
            </w:r>
          </w:p>
        </w:tc>
        <w:tc>
          <w:tcPr>
            <w:tcW w:w="3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320,006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4,982,217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5,116,623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10,418,846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760" w:type="dxa"/>
            <w:vAlign w:val="bottom"/>
            <w:vMerge w:val="restart"/>
          </w:tcPr>
          <w:p>
            <w:pPr>
              <w:jc w:val="right"/>
              <w:ind w:right="1632"/>
              <w:spacing w:after="0"/>
              <w:rPr>
                <w:sz w:val="20"/>
                <w:szCs w:val="20"/>
                <w:color w:val="auto"/>
              </w:rPr>
            </w:pPr>
            <w:r>
              <w:rPr>
                <w:rFonts w:ascii="Arial" w:cs="Arial" w:eastAsia="Arial" w:hAnsi="Arial"/>
                <w:sz w:val="18"/>
                <w:szCs w:val="18"/>
                <w:color w:val="auto"/>
              </w:rPr>
              <w:t>11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180" w:type="dxa"/>
            <w:vAlign w:val="bottom"/>
          </w:tcPr>
          <w:p>
            <w:pPr>
              <w:jc w:val="center"/>
              <w:ind w:right="2132"/>
              <w:spacing w:after="0"/>
              <w:rPr>
                <w:sz w:val="20"/>
                <w:szCs w:val="20"/>
                <w:color w:val="auto"/>
              </w:rPr>
            </w:pPr>
            <w:r>
              <w:rPr>
                <w:rFonts w:ascii="Arial" w:cs="Arial" w:eastAsia="Arial" w:hAnsi="Arial"/>
                <w:sz w:val="18"/>
                <w:szCs w:val="18"/>
                <w:color w:val="auto"/>
                <w:w w:val="89"/>
              </w:rPr>
              <w:t>Casual Male Retail Group, Inc. 401(k) Hourly Savings Plan</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180" w:type="dxa"/>
            <w:vAlign w:val="bottom"/>
          </w:tcPr>
          <w:p>
            <w:pPr>
              <w:jc w:val="center"/>
              <w:ind w:right="2152"/>
              <w:spacing w:after="0"/>
              <w:rPr>
                <w:sz w:val="20"/>
                <w:szCs w:val="20"/>
                <w:color w:val="auto"/>
              </w:rPr>
            </w:pPr>
            <w:r>
              <w:rPr>
                <w:rFonts w:ascii="Arial" w:cs="Arial" w:eastAsia="Arial" w:hAnsi="Arial"/>
                <w:sz w:val="18"/>
                <w:szCs w:val="18"/>
                <w:color w:val="auto"/>
                <w:w w:val="87"/>
              </w:rPr>
              <w:t>Notes to Financial Statements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0420" w:type="dxa"/>
            <w:vAlign w:val="bottom"/>
            <w:gridSpan w:val="4"/>
          </w:tcPr>
          <w:p>
            <w:pPr>
              <w:spacing w:after="0"/>
              <w:rPr>
                <w:sz w:val="20"/>
                <w:szCs w:val="20"/>
                <w:color w:val="auto"/>
              </w:rPr>
            </w:pPr>
            <w:r>
              <w:rPr>
                <w:rFonts w:ascii="Arial" w:cs="Arial" w:eastAsia="Arial" w:hAnsi="Arial"/>
                <w:sz w:val="18"/>
                <w:szCs w:val="18"/>
                <w:color w:val="auto"/>
              </w:rPr>
              <w:t>Note 5- Fair Value Measurements (continued)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0420" w:type="dxa"/>
            <w:vAlign w:val="bottom"/>
            <w:gridSpan w:val="4"/>
          </w:tcPr>
          <w:p>
            <w:pPr>
              <w:spacing w:after="0"/>
              <w:rPr>
                <w:sz w:val="20"/>
                <w:szCs w:val="20"/>
                <w:color w:val="auto"/>
              </w:rPr>
            </w:pPr>
            <w:r>
              <w:rPr>
                <w:rFonts w:ascii="Arial" w:cs="Arial" w:eastAsia="Arial" w:hAnsi="Arial"/>
                <w:sz w:val="18"/>
                <w:szCs w:val="18"/>
                <w:color w:val="auto"/>
                <w:w w:val="96"/>
              </w:rPr>
              <w:t>The following table sets forth a summary of changes in the fair value of the plan’s level 3 assets for the year ended December 31, 2008.</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8"/>
              </w:rPr>
              <w:t>Participant loans</w:t>
            </w:r>
          </w:p>
        </w:tc>
      </w:tr>
      <w:tr>
        <w:trPr>
          <w:trHeight w:val="210"/>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307,233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Purchases, sales, issuances, and settlements (net)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7</w:t>
      </w:r>
      <w:r>
        <w:rPr>
          <w:rFonts w:ascii="Arial" w:cs="Arial" w:eastAsia="Arial" w:hAnsi="Arial"/>
          <w:sz w:val="18"/>
          <w:szCs w:val="18"/>
          <w:u w:val="single" w:color="auto"/>
          <w:color w:val="auto"/>
        </w:rPr>
        <w:t>- Income Tax Status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August 9, 2002 stating that the form of the plan is qualified under Section 401 of the Internal Revenue Code (the “Code”) and, therefore, the related trust is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determination letter. However, the plan administrator believes the Plan is being operated in compliance with the applicable requirements of the Code and, therefore, believes that the Plan is qualified and the related trust is tax-exempt.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December 31, 2008 and 2007:</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$10,774,282</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$13,880,605</w:t>
            </w:r>
          </w:p>
        </w:tc>
      </w:tr>
      <w:tr>
        <w:trPr>
          <w:trHeight w:val="208"/>
        </w:trPr>
        <w:tc>
          <w:tcPr>
            <w:tcW w:w="6760" w:type="dxa"/>
            <w:vAlign w:val="bottom"/>
          </w:tcPr>
          <w:p>
            <w:pPr>
              <w:spacing w:after="0"/>
              <w:rPr>
                <w:sz w:val="20"/>
                <w:szCs w:val="20"/>
                <w:color w:val="auto"/>
              </w:rPr>
            </w:pPr>
            <w:r>
              <w:rPr>
                <w:rFonts w:ascii="Arial" w:cs="Arial" w:eastAsia="Arial" w:hAnsi="Arial"/>
                <w:sz w:val="18"/>
                <w:szCs w:val="18"/>
                <w:color w:val="auto"/>
                <w:w w:val="96"/>
              </w:rPr>
              <w:t>Less: Adjustment from fair value to contract value for fully benefit-responsive investment</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6760" w:type="dxa"/>
            <w:vAlign w:val="bottom"/>
          </w:tcPr>
          <w:p>
            <w:pPr>
              <w:ind w:left="220"/>
              <w:spacing w:after="0"/>
              <w:rPr>
                <w:sz w:val="20"/>
                <w:szCs w:val="20"/>
                <w:color w:val="auto"/>
              </w:rPr>
            </w:pPr>
            <w:r>
              <w:rPr>
                <w:rFonts w:ascii="Arial" w:cs="Arial" w:eastAsia="Arial" w:hAnsi="Arial"/>
                <w:sz w:val="18"/>
                <w:szCs w:val="18"/>
                <w:color w:val="auto"/>
              </w:rPr>
              <w:t>contract</w:t>
            </w:r>
          </w:p>
        </w:tc>
        <w:tc>
          <w:tcPr>
            <w:tcW w:w="4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(140,316)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(16,597)</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4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10,633,966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13,864,008</w:t>
            </w:r>
          </w:p>
        </w:tc>
        <w:tc>
          <w:tcPr>
            <w:tcW w:w="100" w:type="dxa"/>
            <w:vAlign w:val="bottom"/>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depreciation in fair value of investments and interest and dividend income for the year ended December 31, 2008 per the financial statements to Form 5500:</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depreciation in fair value of investments and interest and dividend income per the financial statements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$(2,664,423)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in 2008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(140,316)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 in 2007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shd w:val="clear" w:color="auto" w:fill="CCEEFF"/>
          </w:tcPr>
          <w:p>
            <w:pPr>
              <w:spacing w:after="0"/>
              <w:rPr>
                <w:sz w:val="18"/>
                <w:szCs w:val="18"/>
                <w:color w:val="auto"/>
              </w:rPr>
            </w:pPr>
          </w:p>
        </w:tc>
      </w:t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Net depreciation in fair value of investments and interest and dividend income per Form 5500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(2,788,142)</w:t>
            </w:r>
          </w:p>
        </w:tc>
      </w:tr>
      <w:tr>
        <w:trPr>
          <w:trHeight w:val="20"/>
        </w:trPr>
        <w:tc>
          <w:tcPr>
            <w:tcW w:w="8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Subsequent Event</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Effective May 31, 2009, the Company has cancelled the Safe Harbor Matching contribution. While there is no immediate intent to match the participant’s deferrals beyond the pay period ending May 31, 2009, the Company retains the right to make a discretionary matching contribution.</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28"/>
          <w:szCs w:val="28"/>
          <w:b w:val="1"/>
          <w:bCs w:val="1"/>
          <w:color w:val="auto"/>
        </w:rPr>
        <w:t>Supplemental Schedule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EIN: 04-2623104/Plan Number: 005</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Schedule H, Line 4i – Schedule of Assets Held For Investment Purposes at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Identity of Issue,</w:t>
            </w:r>
          </w:p>
        </w:tc>
        <w:tc>
          <w:tcPr>
            <w:tcW w:w="7660" w:type="dxa"/>
            <w:vAlign w:val="bottom"/>
          </w:tcPr>
          <w:p>
            <w:pPr>
              <w:spacing w:after="0"/>
              <w:rPr>
                <w:sz w:val="20"/>
                <w:szCs w:val="20"/>
                <w:color w:val="auto"/>
              </w:rPr>
            </w:pPr>
            <w:r>
              <w:rPr>
                <w:rFonts w:ascii="Arial" w:cs="Arial" w:eastAsia="Arial" w:hAnsi="Arial"/>
                <w:sz w:val="14"/>
                <w:szCs w:val="14"/>
                <w:b w:val="1"/>
                <w:bCs w:val="1"/>
                <w:color w:val="auto"/>
              </w:rPr>
              <w:t>Description of investment including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Borrower, Lessor,</w:t>
            </w:r>
          </w:p>
        </w:tc>
        <w:tc>
          <w:tcPr>
            <w:tcW w:w="7660" w:type="dxa"/>
            <w:vAlign w:val="bottom"/>
          </w:tcPr>
          <w:p>
            <w:pPr>
              <w:spacing w:after="0" w:line="149" w:lineRule="exact"/>
              <w:rPr>
                <w:sz w:val="20"/>
                <w:szCs w:val="20"/>
                <w:color w:val="auto"/>
              </w:rPr>
            </w:pPr>
            <w:r>
              <w:rPr>
                <w:rFonts w:ascii="Arial" w:cs="Arial" w:eastAsia="Arial" w:hAnsi="Arial"/>
                <w:sz w:val="14"/>
                <w:szCs w:val="14"/>
                <w:b w:val="1"/>
                <w:bCs w:val="1"/>
                <w:color w:val="auto"/>
              </w:rPr>
              <w:t>maturity date, rate of interest,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or Similar Party</w:t>
            </w:r>
          </w:p>
        </w:tc>
        <w:tc>
          <w:tcPr>
            <w:tcW w:w="7660" w:type="dxa"/>
            <w:vAlign w:val="bottom"/>
          </w:tcPr>
          <w:p>
            <w:pPr>
              <w:spacing w:after="0"/>
              <w:rPr>
                <w:sz w:val="20"/>
                <w:szCs w:val="20"/>
                <w:color w:val="auto"/>
              </w:rPr>
            </w:pPr>
            <w:r>
              <w:rPr>
                <w:rFonts w:ascii="Arial" w:cs="Arial" w:eastAsia="Arial" w:hAnsi="Arial"/>
                <w:sz w:val="14"/>
                <w:szCs w:val="14"/>
                <w:b w:val="1"/>
                <w:bCs w:val="1"/>
                <w:color w:val="auto"/>
              </w:rPr>
              <w:t>collateral, par, or maturity value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8"/>
              </w:rPr>
              <w:t>Shares/Units</w:t>
            </w:r>
          </w:p>
        </w:tc>
        <w:tc>
          <w:tcPr>
            <w:tcW w:w="2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Current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held through</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Fidelity</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7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Stable Value Fund (1)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5,256,939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5,116,623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held</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through Fidelity</w:t>
            </w: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 interest bearing</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Leveraged Company Stock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High Income Adv.</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Strategic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2010 (2)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39,611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2035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Fidelity Advisor Freedom 2050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Columbia Acorn USA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First America Midcap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Columbia Acorn International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Columbia Small Cap Val II</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JP Morgan Equity Index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38,930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Goldman Sachs Large Cap Value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45,856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392,531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Alliance Bernstein International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held through</w:t>
            </w: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Fidelity</w:t>
            </w: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Investments:</w:t>
            </w:r>
          </w:p>
        </w:tc>
        <w:tc>
          <w:tcPr>
            <w:tcW w:w="7660" w:type="dxa"/>
            <w:vAlign w:val="bottom"/>
          </w:tcPr>
          <w:p>
            <w:pPr>
              <w:spacing w:after="0"/>
              <w:rPr>
                <w:sz w:val="20"/>
                <w:szCs w:val="20"/>
                <w:color w:val="auto"/>
              </w:rPr>
            </w:pPr>
            <w:r>
              <w:rPr>
                <w:rFonts w:ascii="Arial" w:cs="Arial" w:eastAsia="Arial" w:hAnsi="Arial"/>
                <w:sz w:val="18"/>
                <w:szCs w:val="18"/>
                <w:color w:val="auto"/>
              </w:rPr>
              <w:t>*Casual Male Retail Group,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69,531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4.75% - 9.25%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10,418,846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$1,466 of nonparticipant-directed, unallocated forfeitures for which historical cost approximates to current value.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$304 of nonparticipant-directed, unallocated forfeitures for when historical cost approximates to current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401(k) Hourly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Savings plan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Dennis R. Hernreich, Executive Vice President, Chief</w:t>
      </w:r>
    </w:p>
    <w:p>
      <w:pPr>
        <w:spacing w:after="0" w:line="38"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Financial Officer and Chief Operating Officer of Casual</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Male Retail 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240" w:top="459" w:right="5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Reg. No. 333-112218) of Casual Male Retail Group, Inc. of our report dated June 29, 2009, with respect to the financial statements and schedule of the Casual Male Retail Group, Inc. 401(k) Hourly Savings Plan included in this Annual Report (Form 11-K) for the year ended December 31, 2008.</w:t>
      </w:r>
    </w:p>
    <w:p>
      <w:pPr>
        <w:spacing w:after="0" w:line="221"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MHM Mahoney Cohen CPAs</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of Casual Male Retail Group, Inc. of our report dated June 26, 2008, with respect to the statement of net assets available for benefits as of December 31, 2007 of the Casual Male Retail Group, Inc. 401(k) Hourly Savings Plan included in this Annual Report (Form 11-K) for the year ended December 31, 2008.</w:t>
      </w:r>
    </w:p>
    <w:p>
      <w:pPr>
        <w:spacing w:after="0" w:line="18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Hourly Saving Plan (the “Plan”) for the period ending December 31, 2008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Operating Officer of Casual Male Retail Group, Inc., the Plan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2019-12-10T06:58:59Z</dcterms:created>
  <dcterms:modified xsi:type="dcterms:W3CDTF">2019-12-10T06:58:59Z</dcterms:modified>
</cp:coreProperties>
</file>