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November 11, 2003</w:t>
      </w:r>
    </w:p>
    <w:p>
      <w:pPr>
        <w:spacing w:after="0" w:line="200" w:lineRule="exact"/>
        <w:rPr>
          <w:sz w:val="24"/>
          <w:szCs w:val="24"/>
          <w:color w:val="auto"/>
        </w:rPr>
      </w:pPr>
    </w:p>
    <w:p>
      <w:pPr>
        <w:spacing w:after="0" w:line="22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0-15898</w:t>
      </w:r>
    </w:p>
    <w:p>
      <w:pPr>
        <w:ind w:left="296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10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108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04-2623104</w:t>
      </w:r>
    </w:p>
    <w:p>
      <w:pPr>
        <w:ind w:left="3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880" w:space="720"/>
            <w:col w:w="4619"/>
          </w:cols>
          <w:pgMar w:left="240" w:top="244" w:right="1440" w:bottom="1440" w:gutter="0" w:footer="0" w:header="0"/>
          <w:type w:val="continuous"/>
        </w:sectPr>
      </w:pPr>
    </w:p>
    <w:p>
      <w:pPr>
        <w:spacing w:after="0" w:line="22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175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firstLine="1264"/>
        <w:spacing w:after="0" w:line="271" w:lineRule="auto"/>
        <w:rPr>
          <w:sz w:val="20"/>
          <w:szCs w:val="20"/>
          <w:color w:val="auto"/>
        </w:rPr>
      </w:pPr>
      <w:r>
        <w:rPr>
          <w:rFonts w:ascii="Courier New" w:cs="Courier New" w:eastAsia="Courier New" w:hAnsi="Courier New"/>
          <w:sz w:val="16"/>
          <w:szCs w:val="16"/>
          <w:color w:val="auto"/>
        </w:rPr>
        <w:t>Filed as an exhibit hereto is the registrant's press release, dated November 11, 2003, in which the registrant announced that it intends to offer, subject to market and other conditions, approximately $75 million in aggregate principal amount (excluding any option for the initial purchaser to purchase additional Notes (as defined below)) of Convertible Senior Subordinated Notes due 2024 (the "Notes") in a private placement to qualified institutional buyers pursuant to Rule 144A under the Securities Act of 1933, as amended.</w:t>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exhibits are filed herewith:</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ectPr>
          <w:pgSz w:w="11900" w:h="16838" w:orient="portrait"/>
          <w:cols w:equalWidth="0" w:num="2">
            <w:col w:w="1380" w:space="200"/>
            <w:col w:w="8639"/>
          </w:cols>
          <w:pgMar w:left="240" w:top="244" w:right="1440" w:bottom="1440" w:gutter="0" w:footer="0" w:header="0"/>
          <w:type w:val="continuous"/>
        </w:sectPr>
      </w:pPr>
    </w:p>
    <w:p>
      <w:pPr>
        <w:spacing w:after="0"/>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issued on November 11, 2003.</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Dennis R. Hernreich</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ind w:left="3800"/>
        <w:spacing w:after="0" w:line="237" w:lineRule="auto"/>
        <w:rPr>
          <w:sz w:val="20"/>
          <w:szCs w:val="20"/>
          <w:color w:val="auto"/>
        </w:rPr>
      </w:pPr>
      <w:r>
        <w:rPr>
          <w:rFonts w:ascii="Courier New" w:cs="Courier New" w:eastAsia="Courier New" w:hAnsi="Courier New"/>
          <w:sz w:val="18"/>
          <w:szCs w:val="18"/>
          <w:color w:val="auto"/>
        </w:rPr>
        <w:t>Title: Executive Vice President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13, 2003</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2199"/>
        <w:spacing w:after="0"/>
        <w:rPr>
          <w:sz w:val="20"/>
          <w:szCs w:val="20"/>
          <w:color w:val="auto"/>
        </w:rPr>
      </w:pPr>
      <w:r>
        <w:rPr>
          <w:rFonts w:ascii="Courier New" w:cs="Courier New" w:eastAsia="Courier New" w:hAnsi="Courier New"/>
          <w:sz w:val="18"/>
          <w:szCs w:val="18"/>
          <w:color w:val="auto"/>
        </w:rPr>
        <w:t>INDEX TO EXHIBITS FILED WITH</w:t>
      </w:r>
    </w:p>
    <w:p>
      <w:pPr>
        <w:spacing w:after="0" w:line="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THE CURRENT REPORT ON FORM 8-K DATED NOVEMBER 13, 2003</w:t>
      </w:r>
    </w:p>
    <w:p>
      <w:pPr>
        <w:sectPr>
          <w:pgSz w:w="11900" w:h="16838" w:orient="portrait"/>
          <w:cols w:equalWidth="0" w:num="1">
            <w:col w:w="9799"/>
          </w:cols>
          <w:pgMar w:left="660" w:top="91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3300" w:space="720"/>
            <w:col w:w="5779"/>
          </w:cols>
          <w:pgMar w:left="660" w:top="919" w:right="1440"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on November 11, 2003.</w:t>
      </w:r>
    </w:p>
    <w:p>
      <w:pPr>
        <w:sectPr>
          <w:pgSz w:w="11900" w:h="16838" w:orient="portrait"/>
          <w:cols w:equalWidth="0" w:num="2">
            <w:col w:w="1600" w:space="720"/>
            <w:col w:w="7479"/>
          </w:cols>
          <w:pgMar w:left="660" w:top="919" w:right="1440" w:bottom="144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7060"/>
        <w:spacing w:after="0"/>
        <w:rPr>
          <w:sz w:val="20"/>
          <w:szCs w:val="20"/>
          <w:color w:val="auto"/>
        </w:rPr>
      </w:pPr>
      <w:r>
        <w:rPr>
          <w:rFonts w:ascii="Courier New" w:cs="Courier New" w:eastAsia="Courier New" w:hAnsi="Courier New"/>
          <w:sz w:val="18"/>
          <w:szCs w:val="18"/>
          <w:color w:val="auto"/>
        </w:rPr>
        <w:t>Exhibit 99.1</w:t>
      </w:r>
    </w:p>
    <w:p>
      <w:pPr>
        <w:ind w:left="7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Casual Male Retail Group, Inc. Announces Proposed Offering Of $75 Million in Convertible Debt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Tuesday November 11, 11:04 pm ET</w:t>
      </w:r>
    </w:p>
    <w:p>
      <w:pPr>
        <w:spacing w:after="0" w:line="207" w:lineRule="exact"/>
        <w:rPr>
          <w:sz w:val="20"/>
          <w:szCs w:val="20"/>
          <w:color w:val="auto"/>
        </w:rPr>
      </w:pPr>
    </w:p>
    <w:p>
      <w:pPr>
        <w:ind w:right="2199" w:firstLine="1264"/>
        <w:spacing w:after="0" w:line="273" w:lineRule="auto"/>
        <w:rPr>
          <w:sz w:val="20"/>
          <w:szCs w:val="20"/>
          <w:color w:val="auto"/>
        </w:rPr>
      </w:pPr>
      <w:r>
        <w:rPr>
          <w:rFonts w:ascii="Courier New" w:cs="Courier New" w:eastAsia="Courier New" w:hAnsi="Courier New"/>
          <w:sz w:val="16"/>
          <w:szCs w:val="16"/>
          <w:color w:val="auto"/>
        </w:rPr>
        <w:t>CANTON, Mass., Nov. 11 /PRNewswire-FirstCall/ -- Casual Male Retail Group, Inc. (Nasdaq: CMRG - News), today announced that it intends to offer, subject to market and other conditions, approximately $75 million in aggregate principal amount of Convertible Senior Subordinated Notes due 2024 in a private placement to qualified institutional investors.</w:t>
      </w:r>
    </w:p>
    <w:p>
      <w:pPr>
        <w:spacing w:after="0" w:line="18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notes will be convertible at the option of the holder into shares of CMRG common stock. The interest rate, conversion price and offering price are to be determined by negotiations between CMRG and the initial purchaser of the notes. The notes will be general unsecured obligations of the company and will be subordinate to all existing and future designated senior indebtedness of the company. CMRG will grant the initial purchaser of the notes a 13-day option to purchase up to an additional aggregate $15 million principal amount of the notes.</w:t>
      </w:r>
    </w:p>
    <w:p>
      <w:pPr>
        <w:spacing w:after="0" w:line="212"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CMRG intends to use approximately $8.4 million of the net proceeds to purchase 1,000,000 shares of its common stock from purchasers of the notes, in negotiated transactions concurrent with the offering, and $24.9 million of the net proceeds to redeem its 12% senior subordinated notes due 2007. The Company also intends, subject to market and other conditions, to seek to redeem approximately $29.6 million in aggregate principal amount of its 12% senior notes due 2010, which are not redeemable at this time. CMRG plans to place $62.9 million of the net proceeds of the offering in escrow pending the application of proceeds as previously described. The Company will use the balance of the net proceeds to reduce the outstanding balance under its revolving credit facility, and thereafter for working capital and general corporate purposes. In the event the initial purchaser of the notes exercises its option in whole or in part to purchase additional notes, CMRG may also purchase up to an additional 1,000,000 additional shares of its common stock in the open market or in negotiated transactions from time to time in accordance with applicable laws depending on market and other conditions.</w:t>
      </w:r>
    </w:p>
    <w:p>
      <w:pPr>
        <w:spacing w:after="0" w:line="208" w:lineRule="exact"/>
        <w:rPr>
          <w:sz w:val="20"/>
          <w:szCs w:val="20"/>
          <w:color w:val="auto"/>
        </w:rPr>
      </w:pPr>
    </w:p>
    <w:p>
      <w:pPr>
        <w:ind w:right="1779" w:firstLine="1264"/>
        <w:spacing w:after="0" w:line="279" w:lineRule="auto"/>
        <w:rPr>
          <w:sz w:val="20"/>
          <w:szCs w:val="20"/>
          <w:color w:val="auto"/>
        </w:rPr>
      </w:pPr>
      <w:r>
        <w:rPr>
          <w:rFonts w:ascii="Courier New" w:cs="Courier New" w:eastAsia="Courier New" w:hAnsi="Courier New"/>
          <w:sz w:val="16"/>
          <w:szCs w:val="16"/>
          <w:color w:val="auto"/>
        </w:rPr>
        <w:t>This press release is neither an offer to sell nor a solicitation to buy any of these securities and shall not constitute an offer, solicitation or sale in any jurisdiction in which such offer, solicitation or sale is unlawful.</w:t>
      </w:r>
    </w:p>
    <w:p>
      <w:pPr>
        <w:spacing w:after="0" w:line="17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notes and the common stock issuable upon conversion of the notes to be offered have not been registered under the Securities Act of 1933, or any state securities laws, and unless so registered, the notes and common stock issued upon conversion of the notes may not be offered or sold in the United States except pursuant to an exemption from the registration requirements of the Securities Act and applicable state laws.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78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2019-12-20T01:11:58Z</dcterms:created>
  <dcterms:modified xsi:type="dcterms:W3CDTF">2019-12-20T01:11:58Z</dcterms:modified>
</cp:coreProperties>
</file>