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3"/>
        <w:spacing w:after="0"/>
        <w:rPr>
          <w:sz w:val="20"/>
          <w:szCs w:val="20"/>
          <w:color w:val="auto"/>
        </w:rPr>
      </w:pPr>
      <w:r>
        <w:rPr>
          <w:rFonts w:ascii="Courier New" w:cs="Courier New" w:eastAsia="Courier New" w:hAnsi="Courier New"/>
          <w:sz w:val="18"/>
          <w:szCs w:val="18"/>
          <w:color w:val="auto"/>
        </w:rPr>
        <w:t>SCHEDULE 14A</w:t>
      </w:r>
    </w:p>
    <w:p>
      <w:pPr>
        <w:spacing w:after="0" w:line="29"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(Rule 14a-101)</w:t>
      </w:r>
    </w:p>
    <w:p>
      <w:pPr>
        <w:jc w:val="center"/>
        <w:ind w:right="2413"/>
        <w:spacing w:after="0" w:line="238" w:lineRule="auto"/>
        <w:rPr>
          <w:sz w:val="20"/>
          <w:szCs w:val="20"/>
          <w:color w:val="auto"/>
        </w:rPr>
      </w:pPr>
      <w:r>
        <w:rPr>
          <w:rFonts w:ascii="Courier New" w:cs="Courier New" w:eastAsia="Courier New" w:hAnsi="Courier New"/>
          <w:sz w:val="18"/>
          <w:szCs w:val="18"/>
          <w:color w:val="auto"/>
        </w:rPr>
        <w:t>Information Required In Proxy Statement</w:t>
      </w:r>
    </w:p>
    <w:p>
      <w:pPr>
        <w:jc w:val="center"/>
        <w:ind w:right="2313"/>
        <w:spacing w:after="0"/>
        <w:rPr>
          <w:sz w:val="20"/>
          <w:szCs w:val="20"/>
          <w:color w:val="auto"/>
        </w:rPr>
      </w:pPr>
      <w:r>
        <w:rPr>
          <w:rFonts w:ascii="Courier New" w:cs="Courier New" w:eastAsia="Courier New" w:hAnsi="Courier New"/>
          <w:sz w:val="18"/>
          <w:szCs w:val="18"/>
          <w:color w:val="auto"/>
        </w:rPr>
        <w:t>Schedule 14A Information</w:t>
      </w:r>
    </w:p>
    <w:p>
      <w:pPr>
        <w:jc w:val="center"/>
        <w:ind w:right="2413"/>
        <w:spacing w:after="0" w:line="238" w:lineRule="auto"/>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2313"/>
        <w:spacing w:after="0"/>
        <w:rPr>
          <w:sz w:val="20"/>
          <w:szCs w:val="20"/>
          <w:color w:val="auto"/>
        </w:rPr>
      </w:pPr>
      <w:r>
        <w:rPr>
          <w:rFonts w:ascii="Courier New" w:cs="Courier New" w:eastAsia="Courier New" w:hAnsi="Courier New"/>
          <w:sz w:val="18"/>
          <w:szCs w:val="18"/>
          <w:color w:val="auto"/>
        </w:rPr>
        <w:t>Exchange Act of 1934</w:t>
      </w:r>
    </w:p>
    <w:p>
      <w:pPr>
        <w:spacing w:after="0" w:line="200" w:lineRule="exact"/>
        <w:rPr>
          <w:sz w:val="24"/>
          <w:szCs w:val="24"/>
          <w:color w:val="auto"/>
        </w:rPr>
      </w:pPr>
    </w:p>
    <w:p>
      <w:pPr>
        <w:spacing w:after="0" w:line="374"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Filed by the Registrant (X)</w:t>
      </w:r>
    </w:p>
    <w:p>
      <w:pPr>
        <w:spacing w:after="0" w:line="29"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Filed by a Party other than the Registrant ( )</w:t>
      </w:r>
    </w:p>
    <w:p>
      <w:pPr>
        <w:ind w:left="7"/>
        <w:spacing w:after="0" w:line="238" w:lineRule="auto"/>
        <w:rPr>
          <w:sz w:val="20"/>
          <w:szCs w:val="20"/>
          <w:color w:val="auto"/>
        </w:rPr>
      </w:pPr>
      <w:r>
        <w:rPr>
          <w:rFonts w:ascii="Courier New" w:cs="Courier New" w:eastAsia="Courier New" w:hAnsi="Courier New"/>
          <w:sz w:val="18"/>
          <w:szCs w:val="18"/>
          <w:color w:val="auto"/>
        </w:rPr>
        <w:t>Check the appropriate box:</w:t>
      </w:r>
    </w:p>
    <w:p>
      <w:pPr>
        <w:ind w:left="7"/>
        <w:spacing w:after="0"/>
        <w:rPr>
          <w:sz w:val="20"/>
          <w:szCs w:val="20"/>
          <w:color w:val="auto"/>
        </w:rPr>
      </w:pPr>
      <w:r>
        <w:rPr>
          <w:rFonts w:ascii="Courier New" w:cs="Courier New" w:eastAsia="Courier New" w:hAnsi="Courier New"/>
          <w:sz w:val="18"/>
          <w:szCs w:val="18"/>
          <w:color w:val="auto"/>
        </w:rPr>
        <w:t>( ) Preliminary Proxy Statement</w:t>
      </w:r>
    </w:p>
    <w:p>
      <w:pPr>
        <w:ind w:left="627" w:right="3259" w:hanging="627"/>
        <w:spacing w:after="0" w:line="238" w:lineRule="auto"/>
        <w:tabs>
          <w:tab w:leader="none" w:pos="20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7"/>
        <w:spacing w:after="0"/>
        <w:rPr>
          <w:sz w:val="20"/>
          <w:szCs w:val="20"/>
          <w:color w:val="auto"/>
        </w:rPr>
      </w:pPr>
      <w:r>
        <w:rPr>
          <w:rFonts w:ascii="Courier New" w:cs="Courier New" w:eastAsia="Courier New" w:hAnsi="Courier New"/>
          <w:sz w:val="18"/>
          <w:szCs w:val="18"/>
          <w:color w:val="auto"/>
        </w:rPr>
        <w:t>( ) Definitive Proxy Statement</w:t>
      </w:r>
    </w:p>
    <w:p>
      <w:pPr>
        <w:ind w:left="7"/>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ind w:left="7"/>
        <w:spacing w:after="0"/>
        <w:rPr>
          <w:sz w:val="20"/>
          <w:szCs w:val="20"/>
          <w:color w:val="auto"/>
        </w:rPr>
      </w:pPr>
      <w:r>
        <w:rPr>
          <w:rFonts w:ascii="Courier New" w:cs="Courier New" w:eastAsia="Courier New" w:hAnsi="Courier New"/>
          <w:sz w:val="18"/>
          <w:szCs w:val="18"/>
          <w:color w:val="auto"/>
        </w:rPr>
        <w:t>(X) Soliciting Material Pursuant to Rule 14a-11 (c) or Rule 14a-12</w:t>
      </w:r>
    </w:p>
    <w:p>
      <w:pPr>
        <w:spacing w:after="0" w:line="372" w:lineRule="exact"/>
        <w:rPr>
          <w:sz w:val="24"/>
          <w:szCs w:val="24"/>
          <w:color w:val="auto"/>
        </w:rPr>
      </w:pPr>
    </w:p>
    <w:p>
      <w:pPr>
        <w:jc w:val="center"/>
        <w:ind w:right="2413"/>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107"/>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ind w:left="107"/>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07"/>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4"/>
          <w:szCs w:val="24"/>
          <w:color w:val="auto"/>
        </w:rPr>
      </w:pPr>
    </w:p>
    <w:p>
      <w:pPr>
        <w:spacing w:after="0" w:line="204"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For Information, Contact:</w:t>
      </w:r>
    </w:p>
    <w:p>
      <w:pPr>
        <w:spacing w:after="0" w:line="200" w:lineRule="exact"/>
        <w:rPr>
          <w:sz w:val="24"/>
          <w:szCs w:val="24"/>
          <w:color w:val="auto"/>
        </w:rPr>
      </w:pPr>
    </w:p>
    <w:p>
      <w:pPr>
        <w:spacing w:after="0" w:line="204" w:lineRule="exact"/>
        <w:rPr>
          <w:sz w:val="24"/>
          <w:szCs w:val="24"/>
          <w:color w:val="auto"/>
        </w:rPr>
      </w:pPr>
    </w:p>
    <w:p>
      <w:pPr>
        <w:ind w:left="1887"/>
        <w:spacing w:after="0"/>
        <w:rPr>
          <w:sz w:val="20"/>
          <w:szCs w:val="20"/>
          <w:color w:val="auto"/>
        </w:rPr>
      </w:pPr>
      <w:r>
        <w:rPr>
          <w:rFonts w:ascii="Courier New" w:cs="Courier New" w:eastAsia="Courier New" w:hAnsi="Courier New"/>
          <w:sz w:val="18"/>
          <w:szCs w:val="18"/>
          <w:color w:val="auto"/>
        </w:rPr>
        <w:t>Carolyn R. Faulkner, Vice President,</w:t>
      </w:r>
    </w:p>
    <w:p>
      <w:pPr>
        <w:spacing w:after="0" w:line="29" w:lineRule="exact"/>
        <w:rPr>
          <w:sz w:val="24"/>
          <w:szCs w:val="24"/>
          <w:color w:val="auto"/>
        </w:rPr>
      </w:pPr>
    </w:p>
    <w:p>
      <w:pPr>
        <w:ind w:left="1887"/>
        <w:spacing w:after="0"/>
        <w:rPr>
          <w:sz w:val="20"/>
          <w:szCs w:val="20"/>
          <w:color w:val="auto"/>
        </w:rPr>
      </w:pPr>
      <w:r>
        <w:rPr>
          <w:rFonts w:ascii="Courier New" w:cs="Courier New" w:eastAsia="Courier New" w:hAnsi="Courier New"/>
          <w:sz w:val="18"/>
          <w:szCs w:val="18"/>
          <w:color w:val="auto"/>
        </w:rPr>
        <w:t>Chief Financial Officer and Treasurer</w:t>
      </w:r>
    </w:p>
    <w:p>
      <w:pPr>
        <w:ind w:left="1887"/>
        <w:spacing w:after="0" w:line="238" w:lineRule="auto"/>
        <w:rPr>
          <w:sz w:val="20"/>
          <w:szCs w:val="20"/>
          <w:color w:val="auto"/>
        </w:rPr>
      </w:pPr>
      <w:r>
        <w:rPr>
          <w:rFonts w:ascii="Courier New" w:cs="Courier New" w:eastAsia="Courier New" w:hAnsi="Courier New"/>
          <w:sz w:val="18"/>
          <w:szCs w:val="18"/>
          <w:color w:val="auto"/>
        </w:rPr>
        <w:t>Designs, Inc.</w:t>
      </w:r>
    </w:p>
    <w:p>
      <w:pPr>
        <w:ind w:left="1887"/>
        <w:spacing w:after="0"/>
        <w:rPr>
          <w:sz w:val="20"/>
          <w:szCs w:val="20"/>
          <w:color w:val="auto"/>
        </w:rPr>
      </w:pPr>
      <w:r>
        <w:rPr>
          <w:rFonts w:ascii="Courier New" w:cs="Courier New" w:eastAsia="Courier New" w:hAnsi="Courier New"/>
          <w:sz w:val="18"/>
          <w:szCs w:val="18"/>
          <w:color w:val="auto"/>
        </w:rPr>
        <w:t>(781) 444-7222</w:t>
      </w:r>
    </w:p>
    <w:p>
      <w:pPr>
        <w:spacing w:after="0" w:line="169" w:lineRule="exact"/>
        <w:rPr>
          <w:sz w:val="24"/>
          <w:szCs w:val="24"/>
          <w:color w:val="auto"/>
        </w:rPr>
      </w:pPr>
    </w:p>
    <w:p>
      <w:pPr>
        <w:ind w:left="1887"/>
        <w:spacing w:after="0"/>
        <w:rPr>
          <w:sz w:val="20"/>
          <w:szCs w:val="20"/>
          <w:color w:val="auto"/>
        </w:rPr>
      </w:pPr>
      <w:r>
        <w:rPr>
          <w:rFonts w:ascii="Courier New" w:cs="Courier New" w:eastAsia="Courier New" w:hAnsi="Courier New"/>
          <w:sz w:val="18"/>
          <w:szCs w:val="18"/>
          <w:color w:val="auto"/>
        </w:rPr>
        <w:t>Shareholder Information Line</w:t>
      </w:r>
    </w:p>
    <w:p>
      <w:pPr>
        <w:spacing w:after="0" w:line="31" w:lineRule="exact"/>
        <w:rPr>
          <w:sz w:val="24"/>
          <w:szCs w:val="24"/>
          <w:color w:val="auto"/>
        </w:rPr>
      </w:pPr>
    </w:p>
    <w:p>
      <w:pPr>
        <w:ind w:left="1887"/>
        <w:spacing w:after="0"/>
        <w:rPr>
          <w:sz w:val="20"/>
          <w:szCs w:val="20"/>
          <w:color w:val="auto"/>
        </w:rPr>
      </w:pPr>
      <w:r>
        <w:rPr>
          <w:rFonts w:ascii="Courier New" w:cs="Courier New" w:eastAsia="Courier New" w:hAnsi="Courier New"/>
          <w:sz w:val="18"/>
          <w:szCs w:val="18"/>
          <w:color w:val="auto"/>
        </w:rPr>
        <w:t>1-888-DESI-333</w:t>
      </w:r>
    </w:p>
    <w:p>
      <w:pPr>
        <w:spacing w:after="0" w:line="200" w:lineRule="exact"/>
        <w:rPr>
          <w:sz w:val="24"/>
          <w:szCs w:val="24"/>
          <w:color w:val="auto"/>
        </w:rPr>
      </w:pPr>
    </w:p>
    <w:p>
      <w:pPr>
        <w:spacing w:after="0" w:line="374" w:lineRule="exact"/>
        <w:rPr>
          <w:sz w:val="24"/>
          <w:szCs w:val="24"/>
          <w:color w:val="auto"/>
        </w:rPr>
      </w:pPr>
    </w:p>
    <w:p>
      <w:pPr>
        <w:ind w:left="2207"/>
        <w:spacing w:after="0"/>
        <w:rPr>
          <w:sz w:val="20"/>
          <w:szCs w:val="20"/>
          <w:color w:val="auto"/>
        </w:rPr>
      </w:pPr>
      <w:r>
        <w:rPr>
          <w:rFonts w:ascii="Courier New" w:cs="Courier New" w:eastAsia="Courier New" w:hAnsi="Courier New"/>
          <w:sz w:val="18"/>
          <w:szCs w:val="18"/>
          <w:color w:val="auto"/>
        </w:rPr>
        <w:t>DESIGNS, INC. SPECIAL COMMITTEE</w:t>
      </w:r>
    </w:p>
    <w:p>
      <w:pPr>
        <w:spacing w:after="0" w:line="31" w:lineRule="exact"/>
        <w:rPr>
          <w:sz w:val="24"/>
          <w:szCs w:val="24"/>
          <w:color w:val="auto"/>
        </w:rPr>
      </w:pPr>
    </w:p>
    <w:p>
      <w:pPr>
        <w:ind w:left="2627"/>
        <w:spacing w:after="0"/>
        <w:rPr>
          <w:sz w:val="20"/>
          <w:szCs w:val="20"/>
          <w:color w:val="auto"/>
        </w:rPr>
      </w:pPr>
      <w:r>
        <w:rPr>
          <w:rFonts w:ascii="Courier New" w:cs="Courier New" w:eastAsia="Courier New" w:hAnsi="Courier New"/>
          <w:sz w:val="18"/>
          <w:szCs w:val="18"/>
          <w:color w:val="auto"/>
        </w:rPr>
        <w:t>SENDS LETTER TO HOLTZMAN</w:t>
      </w:r>
    </w:p>
    <w:p>
      <w:pPr>
        <w:spacing w:after="0" w:line="169" w:lineRule="exact"/>
        <w:rPr>
          <w:sz w:val="24"/>
          <w:szCs w:val="24"/>
          <w:color w:val="auto"/>
        </w:rPr>
      </w:pPr>
    </w:p>
    <w:p>
      <w:pPr>
        <w:ind w:left="7" w:right="2319"/>
        <w:spacing w:after="0" w:line="252" w:lineRule="auto"/>
        <w:rPr>
          <w:sz w:val="20"/>
          <w:szCs w:val="20"/>
          <w:color w:val="auto"/>
        </w:rPr>
      </w:pPr>
      <w:r>
        <w:rPr>
          <w:rFonts w:ascii="Courier New" w:cs="Courier New" w:eastAsia="Courier New" w:hAnsi="Courier New"/>
          <w:sz w:val="18"/>
          <w:szCs w:val="18"/>
          <w:color w:val="auto"/>
        </w:rPr>
        <w:t>(Needham, MA, February 11, 1999) -- Designs, Inc. (NASDAQ:DESI) announced that the Special Committee of its Board of Directors today delivered a letter to dissident stockholder Seymour Holtzman addressing various statements contained in a press release issued by Mr. Holtzman on Tuesday which the Special Committee believes are grossly false and misleading. Designs announced on Monday that it had prevailed in Mr. Holtzman's solicitation of consents from the Company's stockholders to remove five of the six members of the Company's Board of Directors and replace them with his own nominees.</w:t>
      </w:r>
    </w:p>
    <w:p>
      <w:pPr>
        <w:spacing w:after="0" w:line="99" w:lineRule="exact"/>
        <w:rPr>
          <w:sz w:val="24"/>
          <w:szCs w:val="24"/>
          <w:color w:val="auto"/>
        </w:rPr>
      </w:pPr>
    </w:p>
    <w:p>
      <w:pPr>
        <w:ind w:left="7" w:right="2199"/>
        <w:spacing w:after="0" w:line="283" w:lineRule="auto"/>
        <w:rPr>
          <w:sz w:val="20"/>
          <w:szCs w:val="20"/>
          <w:color w:val="auto"/>
        </w:rPr>
      </w:pPr>
      <w:r>
        <w:rPr>
          <w:rFonts w:ascii="Courier New" w:cs="Courier New" w:eastAsia="Courier New" w:hAnsi="Courier New"/>
          <w:sz w:val="16"/>
          <w:szCs w:val="16"/>
          <w:color w:val="auto"/>
        </w:rPr>
        <w:t>A representative of the Special Committee stated, "We are extremely disappointed that Mr. Holtzman continues to engage in disruptive conduct and to mislead our stockholders, especially after our efforts to settle our differences with him. We had hoped that the termination of Holtzman's consent solicitation would allow us to turn our attention back to our principal task of finding a buyer for the Company. However, Mr. Holtzman's insinuations in his recent press release that he is considering another consent solicitation, even though our stockholders have clearly spoken on this issue, are quite disconcerting. This ongoing disruptive activity by Holtzman can only drain the Company of more and more resources and will only serve as a distraction from the process of selling the Company."</w:t>
      </w:r>
    </w:p>
    <w:p>
      <w:pPr>
        <w:spacing w:after="0" w:line="294" w:lineRule="exact"/>
        <w:rPr>
          <w:sz w:val="24"/>
          <w:szCs w:val="24"/>
          <w:color w:val="auto"/>
        </w:rPr>
      </w:pPr>
    </w:p>
    <w:p>
      <w:pPr>
        <w:ind w:left="1047"/>
        <w:spacing w:after="0"/>
        <w:rPr>
          <w:sz w:val="20"/>
          <w:szCs w:val="20"/>
          <w:color w:val="auto"/>
        </w:rPr>
      </w:pPr>
      <w:r>
        <w:rPr>
          <w:rFonts w:ascii="Courier New" w:cs="Courier New" w:eastAsia="Courier New" w:hAnsi="Courier New"/>
          <w:sz w:val="18"/>
          <w:szCs w:val="18"/>
          <w:color w:val="auto"/>
        </w:rPr>
        <w:t>A copy of the letter sent by the Special Committee to Mr.</w:t>
      </w:r>
    </w:p>
    <w:p>
      <w:pPr>
        <w:spacing w:after="0" w:line="31"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Holtzman follows.</w:t>
      </w:r>
    </w:p>
    <w:p>
      <w:pPr>
        <w:spacing w:after="0" w:line="169" w:lineRule="exact"/>
        <w:rPr>
          <w:sz w:val="24"/>
          <w:szCs w:val="24"/>
          <w:color w:val="auto"/>
        </w:rPr>
      </w:pPr>
    </w:p>
    <w:p>
      <w:pPr>
        <w:ind w:left="3167"/>
        <w:spacing w:after="0"/>
        <w:tabs>
          <w:tab w:leader="none" w:pos="3446" w:val="left"/>
          <w:tab w:leader="none" w:pos="3766" w:val="left"/>
          <w:tab w:leader="none" w:pos="4086" w:val="left"/>
          <w:tab w:leader="none" w:pos="4406" w:val="left"/>
        </w:tabs>
        <w:rPr>
          <w:sz w:val="20"/>
          <w:szCs w:val="20"/>
          <w:color w:val="auto"/>
        </w:rPr>
      </w:pPr>
      <w:r>
        <w:rPr>
          <w:rFonts w:ascii="Courier New" w:cs="Courier New" w:eastAsia="Courier New" w:hAnsi="Courier New"/>
          <w:sz w:val="18"/>
          <w:szCs w:val="18"/>
          <w:color w:val="auto"/>
        </w:rPr>
        <w:t>*</w:t>
        <w:tab/>
        <w:t>*</w:t>
        <w:tab/>
        <w:t>*</w:t>
        <w:tab/>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106"/>
          </w:cols>
          <w:pgMar w:left="353" w:top="623" w:right="1440" w:bottom="0" w:gutter="0" w:footer="0" w:header="0"/>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Special Committee of the Board of Directors</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ind w:left="3260"/>
        <w:spacing w:after="0" w:line="238" w:lineRule="auto"/>
        <w:rPr>
          <w:sz w:val="20"/>
          <w:szCs w:val="20"/>
          <w:color w:val="auto"/>
        </w:rPr>
      </w:pPr>
      <w:r>
        <w:rPr>
          <w:rFonts w:ascii="Courier New" w:cs="Courier New" w:eastAsia="Courier New" w:hAnsi="Courier New"/>
          <w:sz w:val="18"/>
          <w:szCs w:val="18"/>
          <w:color w:val="auto"/>
        </w:rPr>
        <w:t>66 B Street</w:t>
      </w:r>
    </w:p>
    <w:p>
      <w:pPr>
        <w:ind w:left="2420"/>
        <w:spacing w:after="0"/>
        <w:rPr>
          <w:sz w:val="20"/>
          <w:szCs w:val="20"/>
          <w:color w:val="auto"/>
        </w:rPr>
      </w:pPr>
      <w:r>
        <w:rPr>
          <w:rFonts w:ascii="Courier New" w:cs="Courier New" w:eastAsia="Courier New" w:hAnsi="Courier New"/>
          <w:sz w:val="18"/>
          <w:szCs w:val="18"/>
          <w:color w:val="auto"/>
        </w:rPr>
        <w:t>Needham, Massachusetts 02494</w:t>
      </w:r>
    </w:p>
    <w:p>
      <w:pPr>
        <w:spacing w:after="0" w:line="37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February 11,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FAX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President and Chief Executive Officer</w:t>
      </w:r>
    </w:p>
    <w:p>
      <w:pPr>
        <w:spacing w:after="0" w:line="238" w:lineRule="auto"/>
        <w:rPr>
          <w:sz w:val="20"/>
          <w:szCs w:val="20"/>
          <w:color w:val="auto"/>
        </w:rPr>
      </w:pPr>
      <w:r>
        <w:rPr>
          <w:rFonts w:ascii="Courier New" w:cs="Courier New" w:eastAsia="Courier New" w:hAnsi="Courier New"/>
          <w:sz w:val="18"/>
          <w:szCs w:val="18"/>
          <w:color w:val="auto"/>
        </w:rPr>
        <w:t>Jewelcor Management, Inc.</w:t>
      </w:r>
    </w:p>
    <w:p>
      <w:pPr>
        <w:spacing w:after="0"/>
        <w:rPr>
          <w:sz w:val="20"/>
          <w:szCs w:val="20"/>
          <w:color w:val="auto"/>
        </w:rPr>
      </w:pPr>
      <w:r>
        <w:rPr>
          <w:rFonts w:ascii="Courier New" w:cs="Courier New" w:eastAsia="Courier New" w:hAnsi="Courier New"/>
          <w:sz w:val="18"/>
          <w:szCs w:val="18"/>
          <w:color w:val="auto"/>
        </w:rPr>
        <w:t>100 North Wilkes-Barre Blvd.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Wilkes-Barre, Pennsylvania 18702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Holtzman:</w:t>
      </w:r>
    </w:p>
    <w:p>
      <w:pPr>
        <w:spacing w:after="0" w:line="201" w:lineRule="exact"/>
        <w:rPr>
          <w:sz w:val="20"/>
          <w:szCs w:val="20"/>
          <w:color w:val="auto"/>
        </w:rPr>
      </w:pPr>
    </w:p>
    <w:p>
      <w:pPr>
        <w:ind w:right="2199" w:firstLine="1053"/>
        <w:spacing w:after="0" w:line="274" w:lineRule="auto"/>
        <w:rPr>
          <w:sz w:val="20"/>
          <w:szCs w:val="20"/>
          <w:color w:val="auto"/>
        </w:rPr>
      </w:pPr>
      <w:r>
        <w:rPr>
          <w:rFonts w:ascii="Courier New" w:cs="Courier New" w:eastAsia="Courier New" w:hAnsi="Courier New"/>
          <w:sz w:val="16"/>
          <w:szCs w:val="16"/>
          <w:color w:val="auto"/>
        </w:rPr>
        <w:t>We are writing to express our outrage and disbelief at the utter nonsense contained in your press release on Tuesday. Despite the fact that late last week we at Designs, Inc. had every reason to believe that we were clearly prevailing in the consent solicitation initiated by you, we continued our attempts to work with you in good faith towards a settlement in which, among other things, we would have expanded our board of directors by two members and appointed two of your nominees to fill the new seats.</w:t>
      </w:r>
    </w:p>
    <w:p>
      <w:pPr>
        <w:spacing w:after="0" w:line="2"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8"/>
          <w:szCs w:val="18"/>
          <w:color w:val="auto"/>
        </w:rPr>
        <w:t>An offer of this type is almost unheard of in the context of prevailing in a consent solicitation, but the offer was nonetheless extended because of Designs' genuine belief that ending our differences would facilitate the process of seeking a buyer for Designs. You have responded by threatening another consent solicitation while providing our stockholders and the general public with a grossly false and misleading characterization of our discussions last week.</w:t>
      </w:r>
    </w:p>
    <w:p>
      <w:pPr>
        <w:spacing w:after="0" w:line="102" w:lineRule="exact"/>
        <w:rPr>
          <w:sz w:val="20"/>
          <w:szCs w:val="20"/>
          <w:color w:val="auto"/>
        </w:rPr>
      </w:pPr>
    </w:p>
    <w:p>
      <w:pPr>
        <w:ind w:right="2319" w:firstLine="1053"/>
        <w:spacing w:after="0" w:line="252" w:lineRule="auto"/>
        <w:rPr>
          <w:sz w:val="20"/>
          <w:szCs w:val="20"/>
          <w:color w:val="auto"/>
        </w:rPr>
      </w:pPr>
      <w:r>
        <w:rPr>
          <w:rFonts w:ascii="Courier New" w:cs="Courier New" w:eastAsia="Courier New" w:hAnsi="Courier New"/>
          <w:sz w:val="18"/>
          <w:szCs w:val="18"/>
          <w:color w:val="auto"/>
        </w:rPr>
        <w:t>Your press release was riddled with inaccuracies. Your claim that you received support from holders of 43% of the outstanding shares is inaccurate and inflated. And your assertion that you have "continually initiated settlement discussions" with us is simply false. The truth is that Designs has continually pursued settlement talks with you, including sending you a term sheet which we were led to believe was acceptable to you. Likewise, your statement that we have insisted that the terms of any settlement agreement would prohibit you from commenting on any proposal to sell the company is just not true.</w:t>
      </w:r>
    </w:p>
    <w:p>
      <w:pPr>
        <w:spacing w:after="0" w:line="99" w:lineRule="exact"/>
        <w:rPr>
          <w:sz w:val="20"/>
          <w:szCs w:val="20"/>
          <w:color w:val="auto"/>
        </w:rPr>
      </w:pPr>
    </w:p>
    <w:p>
      <w:pPr>
        <w:ind w:right="2199" w:firstLine="1053"/>
        <w:spacing w:after="0" w:line="252" w:lineRule="auto"/>
        <w:rPr>
          <w:sz w:val="20"/>
          <w:szCs w:val="20"/>
          <w:color w:val="auto"/>
        </w:rPr>
      </w:pPr>
      <w:r>
        <w:rPr>
          <w:rFonts w:ascii="Courier New" w:cs="Courier New" w:eastAsia="Courier New" w:hAnsi="Courier New"/>
          <w:sz w:val="18"/>
          <w:szCs w:val="18"/>
          <w:color w:val="auto"/>
        </w:rPr>
        <w:t>Moreover, we reject your insinuation that we do not intend to sell the Company at the highest available price. We remain fully committed to that goal. Furthermore, your statement that we are unwilling to "stipulate that management would not receive preferential treatment in any sale transaction" is particularly outrageous since your attorneys have never even requested such a representation. And in any event, as far as we know, there is no plan on the part of any member of management to submit a bid for the company. But even if such a bid were made, the management bidder would be treated like any other bidder in the process.</w:t>
      </w:r>
    </w:p>
    <w:p>
      <w:pPr>
        <w:spacing w:after="0" w:line="99" w:lineRule="exact"/>
        <w:rPr>
          <w:sz w:val="20"/>
          <w:szCs w:val="20"/>
          <w:color w:val="auto"/>
        </w:rPr>
      </w:pPr>
    </w:p>
    <w:p>
      <w:pPr>
        <w:ind w:right="2199" w:firstLine="1053"/>
        <w:spacing w:after="0" w:line="252" w:lineRule="auto"/>
        <w:rPr>
          <w:sz w:val="20"/>
          <w:szCs w:val="20"/>
          <w:color w:val="auto"/>
        </w:rPr>
      </w:pPr>
      <w:r>
        <w:rPr>
          <w:rFonts w:ascii="Courier New" w:cs="Courier New" w:eastAsia="Courier New" w:hAnsi="Courier New"/>
          <w:sz w:val="18"/>
          <w:szCs w:val="18"/>
          <w:color w:val="auto"/>
        </w:rPr>
        <w:t>Your conduct on Tuesday was shameless and appalling. How can you expect us to trust you to engage in good faith negotiations with us? Or to refrain from continually misleading our stockholders in an effort to further your own interests? Your actions continue to serve no purpose other than to force us to expend additional time and resources in responding to and correcting your misleading public statements. You appear to have no real interest in reaching an agreement with us or in allowing us to tend to our principal task of selling the company at the highest attainable price.</w:t>
      </w:r>
    </w:p>
    <w:p>
      <w:pPr>
        <w:spacing w:after="0" w:line="99"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SPECIAL COMMITTEE OF THE</w:t>
      </w:r>
    </w:p>
    <w:p>
      <w:pPr>
        <w:spacing w:after="0" w:line="3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BOARD OF DIRECTORS</w:t>
      </w:r>
    </w:p>
    <w:p>
      <w:pPr>
        <w:spacing w:after="0" w:line="372" w:lineRule="exact"/>
        <w:rPr>
          <w:sz w:val="20"/>
          <w:szCs w:val="20"/>
          <w:color w:val="auto"/>
        </w:rPr>
      </w:pPr>
    </w:p>
    <w:p>
      <w:pPr>
        <w:ind w:left="4100"/>
        <w:spacing w:after="0"/>
        <w:tabs>
          <w:tab w:leader="none" w:pos="4600" w:val="left"/>
        </w:tabs>
        <w:rPr>
          <w:sz w:val="20"/>
          <w:szCs w:val="20"/>
          <w:color w:val="auto"/>
        </w:rPr>
      </w:pPr>
      <w:r>
        <w:rPr>
          <w:rFonts w:ascii="Courier New" w:cs="Courier New" w:eastAsia="Courier New" w:hAnsi="Courier New"/>
          <w:sz w:val="18"/>
          <w:szCs w:val="18"/>
          <w:color w:val="auto"/>
        </w:rPr>
        <w:t>By:</w:t>
        <w:tab/>
        <w:t>/s/ Peter L. Thigpen</w:t>
      </w:r>
    </w:p>
    <w:p>
      <w:pPr>
        <w:spacing w:after="0" w:line="29"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w:t>
      </w:r>
    </w:p>
    <w:p>
      <w:pPr>
        <w:jc w:val="center"/>
        <w:ind w:right="-420"/>
        <w:spacing w:after="0"/>
        <w:rPr>
          <w:sz w:val="20"/>
          <w:szCs w:val="20"/>
          <w:color w:val="auto"/>
        </w:rPr>
      </w:pPr>
      <w:r>
        <w:rPr>
          <w:rFonts w:ascii="Courier New" w:cs="Courier New" w:eastAsia="Courier New" w:hAnsi="Courier New"/>
          <w:sz w:val="18"/>
          <w:szCs w:val="18"/>
          <w:color w:val="auto"/>
        </w:rPr>
        <w:t>Peter L. Thigpen</w:t>
      </w:r>
    </w:p>
    <w:p>
      <w:pPr>
        <w:spacing w:after="0" w:line="372" w:lineRule="exact"/>
        <w:rPr>
          <w:sz w:val="20"/>
          <w:szCs w:val="20"/>
          <w:color w:val="auto"/>
        </w:rPr>
      </w:pPr>
    </w:p>
    <w:p>
      <w:pPr>
        <w:ind w:left="3160"/>
        <w:spacing w:after="0"/>
        <w:tabs>
          <w:tab w:leader="none" w:pos="3440" w:val="left"/>
          <w:tab w:leader="none" w:pos="3760" w:val="left"/>
          <w:tab w:leader="none" w:pos="4080" w:val="left"/>
          <w:tab w:leader="none" w:pos="4400" w:val="left"/>
        </w:tabs>
        <w:rPr>
          <w:sz w:val="20"/>
          <w:szCs w:val="20"/>
          <w:color w:val="auto"/>
        </w:rPr>
      </w:pPr>
      <w:r>
        <w:rPr>
          <w:rFonts w:ascii="Courier New" w:cs="Courier New" w:eastAsia="Courier New" w:hAnsi="Courier New"/>
          <w:sz w:val="18"/>
          <w:szCs w:val="18"/>
          <w:color w:val="auto"/>
        </w:rPr>
        <w:t>*</w:t>
        <w:tab/>
        <w:t>*</w:t>
        <w:tab/>
        <w:t>*</w:t>
        <w:tab/>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099"/>
          </w:cols>
          <w:pgMar w:left="360" w:top="515" w:right="1440" w:bottom="0" w:gutter="0" w:footer="0" w:header="0"/>
        </w:sectPr>
      </w:pPr>
    </w:p>
    <w:bookmarkStart w:id="2" w:name="page3"/>
    <w:bookmarkEnd w:id="2"/>
    <w:p>
      <w:pPr>
        <w:ind w:right="2319"/>
        <w:spacing w:after="0" w:line="287" w:lineRule="auto"/>
        <w:rPr>
          <w:sz w:val="20"/>
          <w:szCs w:val="20"/>
          <w:color w:val="auto"/>
        </w:rPr>
      </w:pPr>
      <w:r>
        <w:rPr>
          <w:rFonts w:ascii="Courier New" w:cs="Courier New" w:eastAsia="Courier New" w:hAnsi="Courier New"/>
          <w:sz w:val="16"/>
          <w:szCs w:val="16"/>
          <w:color w:val="auto"/>
        </w:rPr>
        <w:t>Forward-looking information requires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75"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Designs, Inc. operates 113 outlet and specialty retail apparel stores in two retail formats. These stores are located in outlet parks and enclosed regional shopping malls throughout the eastern United States.</w:t>
      </w:r>
    </w:p>
    <w:p>
      <w:pPr>
        <w:spacing w:after="0" w:line="66" w:lineRule="exact"/>
        <w:rPr>
          <w:sz w:val="20"/>
          <w:szCs w:val="20"/>
          <w:color w:val="auto"/>
        </w:rPr>
      </w:pPr>
    </w:p>
    <w:p>
      <w:pPr>
        <w:jc w:val="center"/>
        <w:ind w:right="2419"/>
        <w:spacing w:after="0"/>
        <w:tabs>
          <w:tab w:leader="none" w:pos="180" w:val="left"/>
          <w:tab w:leader="none" w:pos="180" w:val="left"/>
          <w:tab w:leader="none" w:pos="180" w:val="left"/>
          <w:tab w:leader="none" w:pos="200" w:val="left"/>
        </w:tabs>
        <w:rPr>
          <w:sz w:val="20"/>
          <w:szCs w:val="20"/>
          <w:color w:val="auto"/>
        </w:rPr>
      </w:pPr>
      <w:r>
        <w:rPr>
          <w:rFonts w:ascii="Courier New" w:cs="Courier New" w:eastAsia="Courier New" w:hAnsi="Courier New"/>
          <w:sz w:val="18"/>
          <w:szCs w:val="18"/>
          <w:color w:val="auto"/>
        </w:rPr>
        <w:t>#</w:t>
        <w:tab/>
        <w:t>#</w:t>
        <w:tab/>
        <w:t>#</w:t>
        <w:tab/>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right="2319"/>
        <w:spacing w:after="0" w:line="244" w:lineRule="auto"/>
        <w:rPr>
          <w:sz w:val="20"/>
          <w:szCs w:val="20"/>
          <w:color w:val="auto"/>
        </w:rPr>
      </w:pPr>
      <w:r>
        <w:rPr>
          <w:rFonts w:ascii="Courier New" w:cs="Courier New" w:eastAsia="Courier New" w:hAnsi="Courier New"/>
          <w:sz w:val="18"/>
          <w:szCs w:val="18"/>
          <w:color w:val="auto"/>
        </w:rPr>
        <w:t>Designs, Inc. ("Designs") and certain other persons named below may be deemed to be participants in the solicitation of consents (the "Solicitation") in opposition to the consent solicitation by Seymour H. Holtzman and certain companies controlled by him for the purpose of, among other things, removing five of the six current members of the Board of Directors of Designs and electing five new directors. The participants in this Solicitation may include the following directors of Designs: Stanley I. Berger, Joel H. Reichman, James G. Groninger, Bernard M. Manuel, Melvin I. Shapiro and Peter L. Thigpen; the following executive officers of Designs: Joel H. Reichman, Scott N. Semel and Carolyn R. Faulkner; and the following officer of Designs: Anthony E. Hubbard, the Company's Vice President and Deputy General Counsel (collectively, the "Designs Participants"). As of the date of this communication, Stanley I. Berger, Joel H. Reichman, Scott N. Semel, Carolyn R. Faulkner, James G. Groninger, Melvin I. Shapiro, Bernard M. Manuel, Peter L. Thigpen and Anthony E. Hubbard beneficially owned 1,199,003, 362,455, 280,537, 55,333, 57,383, 58,783, 69,210, 36,083, and 11,100 shares of Designs common stock, respectively (including shares subject to stock options exercisable within 60 days).</w:t>
      </w:r>
    </w:p>
    <w:p>
      <w:pPr>
        <w:spacing w:after="0" w:line="113" w:lineRule="exact"/>
        <w:rPr>
          <w:sz w:val="20"/>
          <w:szCs w:val="20"/>
          <w:color w:val="auto"/>
        </w:rPr>
      </w:pPr>
    </w:p>
    <w:p>
      <w:pPr>
        <w:ind w:right="2199"/>
        <w:spacing w:after="0" w:line="244" w:lineRule="auto"/>
        <w:rPr>
          <w:sz w:val="20"/>
          <w:szCs w:val="20"/>
          <w:color w:val="auto"/>
        </w:rPr>
      </w:pPr>
      <w:r>
        <w:rPr>
          <w:rFonts w:ascii="Courier New" w:cs="Courier New" w:eastAsia="Courier New" w:hAnsi="Courier New"/>
          <w:sz w:val="18"/>
          <w:szCs w:val="18"/>
          <w:color w:val="auto"/>
        </w:rPr>
        <w:t>Designs has retained Shields &amp; Company, Inc.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sectPr>
      <w:pgSz w:w="11900" w:h="16838" w:orient="portrait"/>
      <w:cols w:equalWidth="0" w:num="1">
        <w:col w:w="10099"/>
      </w:cols>
      <w:pgMar w:left="3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2020-02-22T04:25:46Z</dcterms:created>
  <dcterms:modified xsi:type="dcterms:W3CDTF">2020-02-22T04:25:46Z</dcterms:modified>
</cp:coreProperties>
</file>