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180" w:space="28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MESDAG WILLEM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60"/>
        <w:spacing w:after="0" w:line="294" w:lineRule="auto"/>
        <w:rPr>
          <w:sz w:val="20"/>
          <w:szCs w:val="20"/>
          <w:color w:val="auto"/>
        </w:rPr>
      </w:pPr>
      <w:r>
        <w:rPr>
          <w:rFonts w:ascii="Times New Roman" w:cs="Times New Roman" w:eastAsia="Times New Roman" w:hAnsi="Times New Roman"/>
          <w:sz w:val="17"/>
          <w:szCs w:val="17"/>
          <w:color w:val="0000FF"/>
        </w:rPr>
        <w:t>C/O RED MOUNTAIN CAPITAL MANAGEMENT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1999 AVENUE OF THE STARS, STE 1100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DESTINATION XL GROUP,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837" w:lineRule="exact"/>
        <w:rPr>
          <w:sz w:val="24"/>
          <w:szCs w:val="24"/>
          <w:color w:val="auto"/>
        </w:rPr>
      </w:pPr>
    </w:p>
    <w:p>
      <w:pPr>
        <w:sectPr>
          <w:pgSz w:w="11900" w:h="16838" w:orient="portrait"/>
          <w:cols w:equalWidth="0" w:num="3">
            <w:col w:w="3200" w:space="720"/>
            <w:col w:w="3660" w:space="155"/>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LOS</w:t>
            </w: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90067</w:t>
            </w:r>
          </w:p>
        </w:tc>
        <w:tc>
          <w:tcPr>
            <w:tcW w:w="0" w:type="dxa"/>
            <w:vAlign w:val="bottom"/>
          </w:tcPr>
          <w:p>
            <w:pPr>
              <w:spacing w:after="0"/>
              <w:rPr>
                <w:sz w:val="1"/>
                <w:szCs w:val="1"/>
                <w:color w:val="auto"/>
              </w:rPr>
            </w:pPr>
          </w:p>
        </w:tc>
      </w:tr>
      <w:tr>
        <w:trPr>
          <w:trHeight w:val="120"/>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ANGELES</w:t>
            </w:r>
          </w:p>
        </w:tc>
        <w:tc>
          <w:tcPr>
            <w:tcW w:w="9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8,819</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2,559,248</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4"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issued pursuant to the Director's elected form of compensation for quarterly annual retainer and committee chairperson fee. The Reporting Person's ownership includes (i) 420,286 shares held by the Mesdag Family Limited Partnership, (ii) 97,529 shares held by the Mesdag Family Foundation, (iii) 44,746 shares held by the 2012 Mesdag Trust, (iv) 1,763,373 shares held by Red Mountain Capital Partners LLC, and (v) 233,314 shares held by Red Mountain Capital Management Inc. The Reporting Person is the president, sole executive officer, sole director and sole shareholder of Red Mountain Capital Management Inc. The Reporting Person disclaims beneficial ownership of the reported securities, except to the extent of his pecuniary interest therein. The filing system would not permit the filer to report his ownership as indirect.</w:t>
      </w:r>
    </w:p>
    <w:p>
      <w:pPr>
        <w:spacing w:after="0" w:line="5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Willem Mesdag (on behalf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87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of himself and the other</w:t>
      </w:r>
      <w:r>
        <w:rPr>
          <w:sz w:val="20"/>
          <w:szCs w:val="20"/>
          <w:color w:val="auto"/>
        </w:rPr>
        <w:tab/>
      </w:r>
      <w:r>
        <w:rPr>
          <w:rFonts w:ascii="Times New Roman" w:cs="Times New Roman" w:eastAsia="Times New Roman" w:hAnsi="Times New Roman"/>
          <w:sz w:val="17"/>
          <w:szCs w:val="17"/>
          <w:color w:val="0000FF"/>
        </w:rPr>
        <w:t>08/03/2022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464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2022-08-03T21:06:28Z</dcterms:created>
  <dcterms:modified xsi:type="dcterms:W3CDTF">2022-08-03T21:06:28Z</dcterms:modified>
</cp:coreProperties>
</file>