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Registration No. 333-238929</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u w:val="single" w:color="auto"/>
          <w:color w:val="auto"/>
        </w:rPr>
        <w:t>PROSPECTUS SUPPLEMENT</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160020</wp:posOffset>
            </wp:positionV>
            <wp:extent cx="107124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241"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11,111,111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are offering 11,111,111 shares of our common stock, par value $0.01 per share (our “common stock”), pursuant to this prospectus supplement and the accompanying prospectus to certain institutional investors. The per share offering price of the shares is $0.45.</w:t>
      </w:r>
    </w:p>
    <w:p>
      <w:pPr>
        <w:spacing w:after="0" w:line="146" w:lineRule="exact"/>
        <w:rPr>
          <w:sz w:val="24"/>
          <w:szCs w:val="24"/>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common stock is quoted on the OTC Market Group’s OTCQX market (“OTCQX”) under the symbol “DXLG.” On February 4, 2021, the last reported sales price of our common stock on the OTCQX was $0.6325 per share.</w:t>
      </w:r>
    </w:p>
    <w:p>
      <w:pPr>
        <w:spacing w:after="0" w:line="170" w:lineRule="exact"/>
        <w:rPr>
          <w:sz w:val="24"/>
          <w:szCs w:val="24"/>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subject to General Instruction I.B.6 of Form S-3, which limits the amounts that we may sell under the registration statement of which this prospectus supplement forms a part. The aggregate market value of our outstanding common stock held by non-affiliates is approximately $32,402,071, based on 40,502,589 shares of outstanding common stock held by non-affiliates on February 1, 2021, at a price of $0.80 per share, which was the last reported sale price of our common stock on January 29, 2021. During the 12 calendar months prior to, and including, the date of this prospectus supplement, we have not sold any securities pursuant to General Instruction I.B.6 of 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206375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right="560" w:firstLine="44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8">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and in the documents incorporated by reference herein for a discussion of information that should be considered in connection with an investment in our securities.</w:t>
      </w:r>
    </w:p>
    <w:p>
      <w:pPr>
        <w:spacing w:after="0" w:line="173" w:lineRule="exact"/>
        <w:rPr>
          <w:sz w:val="24"/>
          <w:szCs w:val="24"/>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have retained D.A. Davidson &amp; Co. as our sole placement agent with respect to this offering to use its reasonable best efforts to solicit offers to purchase shares of common stock in this offering.</w:t>
      </w:r>
    </w:p>
    <w:p>
      <w:pPr>
        <w:spacing w:after="0" w:line="176"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7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4,999,999.95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Placement agent fees(1)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0.0315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349,999.99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offering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0.4185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4,649,999.96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4"/>
          <w:szCs w:val="24"/>
          <w:color w:val="auto"/>
        </w:rPr>
      </w:pPr>
    </w:p>
    <w:p>
      <w:pPr>
        <w:ind w:left="540" w:right="300" w:hanging="424"/>
        <w:spacing w:after="0" w:line="308"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also agreed to (i) reimburse the placement agent for certain out-of-pocket accountable expenses incurred by it in connection with this offering, up to a maximum of $50,000 and (ii) pay the placement agent a cash retainer of $100,000. See “Plan of Distribution.”</w:t>
      </w:r>
    </w:p>
    <w:p>
      <w:pPr>
        <w:spacing w:after="0" w:line="142" w:lineRule="exact"/>
        <w:rPr>
          <w:sz w:val="24"/>
          <w:szCs w:val="24"/>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560"/>
        <w:spacing w:after="0"/>
        <w:rPr>
          <w:sz w:val="20"/>
          <w:szCs w:val="20"/>
          <w:color w:val="auto"/>
        </w:rPr>
      </w:pPr>
      <w:r>
        <w:rPr>
          <w:rFonts w:ascii="Arial" w:cs="Arial" w:eastAsia="Arial" w:hAnsi="Arial"/>
          <w:sz w:val="17"/>
          <w:szCs w:val="17"/>
          <w:color w:val="auto"/>
        </w:rPr>
        <w:t>Delivery of the shares of common stock is expected to be made against payment therefor to purchasers on or about February 9, 2021.</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 DAVIDSON &amp; CO.</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Sole Placement Agent</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The date of this prospectus supplement is February 5, 2021.</w:t>
      </w:r>
    </w:p>
    <w:p>
      <w:pPr>
        <w:sectPr>
          <w:pgSz w:w="11900" w:h="16838" w:orient="portrait"/>
          <w:cols w:equalWidth="0" w:num="1">
            <w:col w:w="11100"/>
          </w:cols>
          <w:pgMar w:left="32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620" w:type="dxa"/>
            <w:vAlign w:val="bottom"/>
          </w:tcPr>
          <w:p>
            <w:pPr>
              <w:jc w:val="center"/>
              <w:ind w:right="4211"/>
              <w:spacing w:after="0"/>
              <w:rPr>
                <w:sz w:val="20"/>
                <w:szCs w:val="20"/>
                <w:color w:val="auto"/>
              </w:rPr>
            </w:pPr>
            <w:r>
              <w:rPr>
                <w:rFonts w:ascii="Arial" w:cs="Arial" w:eastAsia="Arial" w:hAnsi="Arial"/>
                <w:sz w:val="18"/>
                <w:szCs w:val="18"/>
                <w:b w:val="1"/>
                <w:bCs w:val="1"/>
                <w:color w:val="auto"/>
                <w:w w:val="98"/>
              </w:rPr>
              <w:t>TABLE OF CONTENTS</w:t>
            </w:r>
          </w:p>
        </w:tc>
      </w:tr>
      <w:tr>
        <w:trPr>
          <w:trHeight w:val="432"/>
        </w:trPr>
        <w:tc>
          <w:tcPr>
            <w:tcW w:w="4340" w:type="dxa"/>
            <w:vAlign w:val="bottom"/>
          </w:tcPr>
          <w:p>
            <w:pPr>
              <w:spacing w:after="0"/>
              <w:rPr>
                <w:sz w:val="24"/>
                <w:szCs w:val="24"/>
                <w:color w:val="auto"/>
              </w:rPr>
            </w:pPr>
          </w:p>
        </w:tc>
        <w:tc>
          <w:tcPr>
            <w:tcW w:w="6620" w:type="dxa"/>
            <w:vAlign w:val="bottom"/>
          </w:tcPr>
          <w:p>
            <w:pPr>
              <w:jc w:val="center"/>
              <w:ind w:right="4211"/>
              <w:spacing w:after="0"/>
              <w:rPr>
                <w:sz w:val="20"/>
                <w:szCs w:val="20"/>
                <w:color w:val="auto"/>
              </w:rPr>
            </w:pPr>
            <w:r>
              <w:rPr>
                <w:rFonts w:ascii="Arial" w:cs="Arial" w:eastAsia="Arial" w:hAnsi="Arial"/>
                <w:sz w:val="18"/>
                <w:szCs w:val="18"/>
                <w:b w:val="1"/>
                <w:bCs w:val="1"/>
                <w:color w:val="auto"/>
                <w:w w:val="87"/>
              </w:rPr>
              <w:t>Prospectus Supplement</w:t>
            </w:r>
          </w:p>
        </w:tc>
      </w:tr>
      <w:tr>
        <w:trPr>
          <w:trHeight w:val="377"/>
        </w:trPr>
        <w:tc>
          <w:tcPr>
            <w:tcW w:w="434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324"/>
        </w:trPr>
        <w:tc>
          <w:tcPr>
            <w:tcW w:w="4340" w:type="dxa"/>
            <w:vAlign w:val="bottom"/>
          </w:tcPr>
          <w:p>
            <w:pPr>
              <w:spacing w:after="0"/>
              <w:rPr>
                <w:rFonts w:ascii="Arial" w:cs="Arial" w:eastAsia="Arial" w:hAnsi="Arial"/>
                <w:sz w:val="18"/>
                <w:szCs w:val="18"/>
                <w:u w:val="single" w:color="auto"/>
                <w:color w:val="0000EE"/>
                <w:w w:val="95"/>
              </w:rPr>
            </w:pPr>
            <w:hyperlink w:anchor="page10">
              <w:r>
                <w:rPr>
                  <w:rFonts w:ascii="Arial" w:cs="Arial" w:eastAsia="Arial" w:hAnsi="Arial"/>
                  <w:sz w:val="18"/>
                  <w:szCs w:val="18"/>
                  <w:u w:val="single" w:color="auto"/>
                  <w:color w:val="0000EE"/>
                  <w:w w:val="95"/>
                </w:rPr>
                <w:t>Cautionary Note Regarding Forward-Looking Statements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Dilution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Plan of Distribution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Legal Matters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Experts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Where You Can Find More Information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Incorporation by Reference</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432"/>
        </w:trPr>
        <w:tc>
          <w:tcPr>
            <w:tcW w:w="4340" w:type="dxa"/>
            <w:vAlign w:val="bottom"/>
          </w:tcPr>
          <w:p>
            <w:pPr>
              <w:spacing w:after="0"/>
              <w:rPr>
                <w:sz w:val="24"/>
                <w:szCs w:val="24"/>
                <w:color w:val="auto"/>
              </w:rPr>
            </w:pPr>
          </w:p>
        </w:tc>
        <w:tc>
          <w:tcPr>
            <w:tcW w:w="6620" w:type="dxa"/>
            <w:vAlign w:val="bottom"/>
          </w:tcPr>
          <w:p>
            <w:pPr>
              <w:jc w:val="center"/>
              <w:ind w:right="4211"/>
              <w:spacing w:after="0"/>
              <w:rPr>
                <w:sz w:val="20"/>
                <w:szCs w:val="20"/>
                <w:color w:val="auto"/>
              </w:rPr>
            </w:pPr>
            <w:r>
              <w:rPr>
                <w:rFonts w:ascii="Arial" w:cs="Arial" w:eastAsia="Arial" w:hAnsi="Arial"/>
                <w:sz w:val="18"/>
                <w:szCs w:val="18"/>
                <w:b w:val="1"/>
                <w:bCs w:val="1"/>
                <w:color w:val="auto"/>
                <w:w w:val="85"/>
              </w:rPr>
              <w:t>Prospectus</w:t>
            </w:r>
          </w:p>
        </w:tc>
      </w:tr>
      <w:tr>
        <w:trPr>
          <w:trHeight w:val="377"/>
        </w:trPr>
        <w:tc>
          <w:tcPr>
            <w:tcW w:w="434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3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About This Prospectus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Prospectus Summary</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Special Note Regarding Forward-Looking Information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Use of Proceeds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The Securities We May Offer</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Common Stock</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Description of Preferred Stock</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Depositary Shares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Description of Warrants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Description of Debt Securities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Purchase Contracts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Rights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Units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Plan of Distribution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Incorporation of Certain Documents by Reference</w:t>
              </w:r>
            </w:hyperlink>
          </w:p>
        </w:tc>
        <w:tc>
          <w:tcPr>
            <w:tcW w:w="6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4"/>
        </w:trPr>
        <w:tc>
          <w:tcPr>
            <w:tcW w:w="4340" w:type="dxa"/>
            <w:vAlign w:val="bottom"/>
          </w:tcPr>
          <w:p>
            <w:pPr>
              <w:spacing w:after="0"/>
              <w:rPr>
                <w:sz w:val="24"/>
                <w:szCs w:val="24"/>
                <w:color w:val="auto"/>
              </w:rPr>
            </w:pPr>
          </w:p>
        </w:tc>
        <w:tc>
          <w:tcPr>
            <w:tcW w:w="6620" w:type="dxa"/>
            <w:vAlign w:val="bottom"/>
          </w:tcPr>
          <w:p>
            <w:pPr>
              <w:jc w:val="center"/>
              <w:ind w:right="4211"/>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5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38531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This prospectus supplement and the accompanying base prospectus are part of a registration statement on Form S-3 (Registration</w:t>
      </w:r>
    </w:p>
    <w:p>
      <w:pPr>
        <w:spacing w:after="0" w:line="35" w:lineRule="exact"/>
        <w:rPr>
          <w:sz w:val="20"/>
          <w:szCs w:val="20"/>
          <w:color w:val="auto"/>
        </w:rPr>
      </w:pPr>
    </w:p>
    <w:p>
      <w:pPr>
        <w:ind w:left="300" w:right="160"/>
        <w:spacing w:after="0" w:line="270" w:lineRule="auto"/>
        <w:rPr>
          <w:sz w:val="20"/>
          <w:szCs w:val="20"/>
          <w:color w:val="auto"/>
        </w:rPr>
      </w:pPr>
      <w:r>
        <w:rPr>
          <w:rFonts w:ascii="Arial" w:cs="Arial" w:eastAsia="Arial" w:hAnsi="Arial"/>
          <w:sz w:val="17"/>
          <w:szCs w:val="17"/>
          <w:color w:val="auto"/>
        </w:rPr>
        <w:t>No. 333-238929) we filed with the Securities and Exchange Commission, or the “SEC,” using a “shelf” registration process. This document is in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78"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You should rely only on information contained in or incorporated by reference in this prospectus supplement and the accompanying prospectus. Neither we, nor the placement agent have authorized anyone to provide you with any information or to make any representations other than those contained or incorporated by reference herein.</w:t>
      </w:r>
    </w:p>
    <w:p>
      <w:pPr>
        <w:spacing w:after="0" w:line="184"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Neither we, nor the placement agent take responsibility for, and can provide no assurance as to the reliability of, any other information that others may give you. This prospectus supplement is an offer to sell only the shares offered hereby, but only under circumstances and in jurisdictions where it is lawful to do so. Neither we, nor the placement agent are making an offer to sell or seeking offers to buy these securities in any jurisdiction where an offer or sale is not permitted. The information contained in this prospectus supplement is current only as of the date of this prospectus supplement regardless of the time of delivery of this prospectus supplement or of any sale of our common stock. Our business, financial condition, results of operation and prospects may have changed since that date.</w:t>
      </w:r>
    </w:p>
    <w:p>
      <w:pPr>
        <w:spacing w:after="0" w:line="178"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 xml:space="preserve">We own various U.S. federal trademark registrations and applications, and unregistered trademarks and service marks, including “DXL” and our corporate logo. All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60" w:firstLine="426"/>
        <w:spacing w:after="0" w:line="289" w:lineRule="auto"/>
        <w:rPr>
          <w:sz w:val="20"/>
          <w:szCs w:val="20"/>
          <w:color w:val="auto"/>
        </w:rPr>
      </w:pPr>
      <w:r>
        <w:rPr>
          <w:rFonts w:ascii="Arial" w:cs="Arial" w:eastAsia="Arial" w:hAnsi="Arial"/>
          <w:sz w:val="16"/>
          <w:szCs w:val="16"/>
          <w:i w:val="1"/>
          <w:iCs w:val="1"/>
          <w:color w:val="auto"/>
        </w:rPr>
        <w:t>This summary description about us and our business highlights selected information contained elsewhere in this prospectus supplement or incorporated by reference in this prospectus supplement and the accompanying prospectus. This summary does not contain all of the information you should consider before deciding to invest in our common stock. You should carefully read this entire prospectus supplement, the accompanying prospectus and any related free writing prospectus, including each of the documents incorporated by reference herein or therein, before making an investment decision. Investors should carefully consider the information set forth under “Risk Factors” and the financial statements and related notes incorporated by reference into this prospectus supplement, the accompanying prospectus and in any related free writing prospectus, and under similar headings in the other documents that are incorporated by reference into this prospectus supplement before deciding to invest in shares of our common stock. Unless the context requires otherwise, references in this prospectus supplement to “our company,” “we,” “us” and “our” refer to Destination XL Group, Inc. and its consolidated subsidiaries, except where the context otherwise requires.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Destination XL Group, Inc., together with its subsidiaries (the “Company”), is the largest specialty retailer of big &amp; tall men’s clothing and shoes with retail locations in the United States and Toronto, Canada.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Men’s Apparel, DXL outlets, Casual Male XL</w:t>
      </w:r>
      <w:r>
        <w:rPr>
          <w:rFonts w:ascii="Arial" w:cs="Arial" w:eastAsia="Arial" w:hAnsi="Arial"/>
          <w:sz w:val="15"/>
          <w:szCs w:val="15"/>
          <w:color w:val="auto"/>
        </w:rPr>
        <w:t>®</w:t>
      </w:r>
      <w:r>
        <w:rPr>
          <w:rFonts w:ascii="Arial" w:cs="Arial" w:eastAsia="Arial" w:hAnsi="Arial"/>
          <w:sz w:val="18"/>
          <w:szCs w:val="18"/>
          <w:color w:val="auto"/>
        </w:rPr>
        <w:t xml:space="preserve"> and Casual Male XL outlets. We currently operate 226 DXL retail stores, 17 DXL outlet stores, 46 Casual Male XL retail stores, 22 Casual Male XL outlet stores and a direct business at www.dxl.com. In fiscal 2018, we launched a wholesale business unit focused on product development and distribution relationships with key retailers offering both private label and co-branded men’s big &amp; tall apparel lines.</w:t>
      </w:r>
    </w:p>
    <w:p>
      <w:pPr>
        <w:spacing w:after="0" w:line="192"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We define the big &amp; tall men’s clothing market as starting at a waist size of 42” and greater, as well as tops sized 1XL and greater. Growth in this segment historically has been driven by rapidly changing market demographics. We believe that we can increase our market share by catering to the broader target market, attracting customers from various income, age and lifestyle segments and offering the widest selection of sizes and styles that fit well. An opportunity also exists for market share growth from the lower-size range of our market, that is, men with a 38” to 46” waist size, which we define as our “end-of-rack” customers. These sizes are usually at the high end of the size range for most men’s apparel retailers and, as a result, the selection is usually limited at such retailers.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operate as an omni-channel retailer of big &amp; tall men’s clothing and shoes. Through our multiple brands, which include both branded apparel and private-label, we provide a premium, personalized shopping experience, whether in-store or online, with a broad range of merchandise at varying price points, catering from the value-oriented customer to the higher-end customer. Our objective is to appeal to all of our customers by providing a good, better, best array of product assortments in all primary lifestyles with multiple and convenient ways to shop. Our DXL retail stores and e-commerce site, dxl.com, cater to all income demographics and offer our customers merchandise to fit a variety of lifestyles from casual to business, young to mature, in all price ranges and in all large sizes from XL and up. In addition, a complete offering of shoes in sizes 10W to 18W is available at dxl.com. Our Casual Male XL retail stores primarily carry moderate-priced branded and private-label casual sportswear and dresswear. We also operate Casual Male XL outlets and DXL outlets for our value-oriented customer. Through online marketplaces, we are able to extend our reach, by providing a select offering of our merchandise to new customers who may not be current DXL customers. In addition to our retail channels, we also launched a wholesale channel in fiscal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Voluntary Delisting and Transition to OTCQX</w:t>
      </w:r>
    </w:p>
    <w:p>
      <w:pPr>
        <w:spacing w:after="0" w:line="117"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In December 2020, we announced that we intended to voluntarily delist our common stock from the Nasdaq Capital Market and to begin trading on the OTCQX, and we began trading on the OTCQX on December 22, 2020.</w:t>
      </w:r>
    </w:p>
    <w:p>
      <w:pPr>
        <w:spacing w:after="0" w:line="170"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As previously disclosed, in 2020 we received notices from Nasdaq regarding noncompliance with its continued listing requirements, including the requirements to maintain a minimum consolidated closing bid price of $1.00 per share and to maintain a minimum $2.5 million stockholders’ equity for continued listing on the Nasdaq Capital Market. At October 31, 2020, the Company’s stockholders’ equity was below the minimum requirement. The Company’s Board of Directors determined that it was in the best interest of the Company and its stockholders to delist from Nasdaq based on several factors, including the cost to stay listed on Nasdaq, the feasibility of regaining compliance with the Listing Standards of Nasdaq, as well as the impact that the COVID-19 pandemic has had on the Company’s revenues and the uncertainty regarding its duration.</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Holiday Sales and Outlook</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January 2021, we announced results for the 9-week holiday sales period ended January 2, 2021, on an unaudited basis, including:</w:t>
      </w:r>
    </w:p>
    <w:p>
      <w:pPr>
        <w:spacing w:after="0" w:line="142" w:lineRule="exact"/>
        <w:rPr>
          <w:sz w:val="20"/>
          <w:szCs w:val="20"/>
          <w:color w:val="auto"/>
        </w:rPr>
      </w:pPr>
    </w:p>
    <w:p>
      <w:pPr>
        <w:ind w:left="1240" w:hanging="415"/>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sales decreased 23.9% to $78.4 million compared to $103.1 million for the 9-week holiday sales period ended January 4, 2020;</w:t>
      </w:r>
    </w:p>
    <w:p>
      <w:pPr>
        <w:spacing w:after="0" w:line="153" w:lineRule="exact"/>
        <w:rPr>
          <w:rFonts w:ascii="Arial" w:cs="Arial" w:eastAsia="Arial" w:hAnsi="Arial"/>
          <w:sz w:val="16"/>
          <w:szCs w:val="16"/>
          <w:color w:val="auto"/>
        </w:rPr>
      </w:pPr>
    </w:p>
    <w:p>
      <w:pPr>
        <w:ind w:left="1240" w:right="60" w:hanging="415"/>
        <w:spacing w:after="0" w:line="311"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Comparable sales in our omni-channel retail business for the same period decreased 24.0%, primarily due to a decrease in comparable store sales of 38.1% which was partially offset by an increase in comparable sales from our direct business of 12.7%. Direct sales are defined as sales that originate online, whether through our website, at the store level or through a third-party marketplace.</w:t>
      </w:r>
    </w:p>
    <w:p>
      <w:pPr>
        <w:spacing w:after="0" w:line="54" w:lineRule="exact"/>
        <w:rPr>
          <w:rFonts w:ascii="Arial" w:cs="Arial" w:eastAsia="Arial" w:hAnsi="Arial"/>
          <w:sz w:val="16"/>
          <w:szCs w:val="16"/>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comparable increase in the direct business is driven by an increase in sales from our DXL.com website of 28.4%.</w:t>
      </w:r>
    </w:p>
    <w:p>
      <w:pPr>
        <w:spacing w:after="0" w:line="130"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Included in total sales are sales from our wholesale business of $4.0 million for the 9-week holiday sales period compared to $3.4 million for the same period last year.</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Based on the holiday sales results and expectations for the fourth quarter of fiscal 2020, we expect total sales for fiscal 2020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$317.0 million to $319.0 million, with comparable sales in our omni-channel retail business for the full year to be down 32.6% to 32.9%.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 also expects adjusted EBITDA of $(26.0) million to $(27.0) million, cash flow from operating activities for the full year of</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approximately $(1.8) million to $0.2 million, and free cash flow for the full year of approximately $(4.0) million to $(6.0) million. Adjusted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EBITDA and free cash flow are non-GAAP financial measures, see “Non-GAAP Measures” below. Our plans for fiscal 2021 include expected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sales of approximately $385.0 million to $402.0 million, adjusted EBITDA of approximately $11.0 to $18.0 million, cash flow from operating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activities greater than $4.3 million and positive free cash flow. We expect to achieve these results through continued penetration of our direct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business, a modest recovery in store traffic during the course of the year, and a slight improvement in our wholesale business. We expect a 10.8%</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14.8% decline in comparable sales from fiscal 2019 levels, with comparable store sales down 23.8% to 27.8% and our direct business up 26.9%</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30.7%,</w:t>
      </w:r>
    </w:p>
    <w:p>
      <w:pPr>
        <w:spacing w:after="0" w:line="31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Potential Debt Refinancing</w:t>
      </w:r>
    </w:p>
    <w:p>
      <w:pPr>
        <w:spacing w:after="0" w:line="117"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We are currently in discussions with a lender regarding a refinancing of our existing FILO (first in-last out) loan with Bank of America, N.A. At October 31, 2020, the outstanding balance of $15.0 million was in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308" w:lineRule="auto"/>
        <w:rPr>
          <w:sz w:val="20"/>
          <w:szCs w:val="20"/>
          <w:color w:val="auto"/>
        </w:rPr>
      </w:pPr>
      <w:r>
        <w:rPr>
          <w:rFonts w:ascii="Arial" w:cs="Arial" w:eastAsia="Arial" w:hAnsi="Arial"/>
          <w:sz w:val="17"/>
          <w:szCs w:val="17"/>
          <w:color w:val="auto"/>
        </w:rPr>
        <w:t>6-month LIBOR-based contract with an interest rate of 6.00%. Any such refinancing will be subject to due diligence review and customary closing conditions, and there is no guarantee or assurance that we will be able to negotiate or enter into a refinancing of our FILO loan.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Destination XL Group, Inc. was incorporated in Delaware in 1976 under the name “Designs, Inc.” Our principal executive offices are located at 555 Turnpike Street, Canton, Massachusetts 02021 and our telephone number is (781) 828-9300. Our corporate website address is www.dxl.com. Information contained on our website is not a part of this prospectus supplement, and the inclusion of our website address in this prospectus supplement is an inactive textual reference only.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300" w:right="280" w:firstLine="426"/>
        <w:spacing w:after="0" w:line="290"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this prospectus supplement contains non-GAAP financial measures, including adjusted EBITDA and free cash flow. The presentation of these non-GAAP measures is not in accordance with GAAP, and should not be considered superior to or as a substitute for net loss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65" w:lineRule="exact"/>
        <w:rPr>
          <w:sz w:val="20"/>
          <w:szCs w:val="20"/>
          <w:color w:val="auto"/>
        </w:rPr>
      </w:pPr>
    </w:p>
    <w:p>
      <w:pPr>
        <w:ind w:left="300" w:right="320" w:firstLine="426"/>
        <w:spacing w:after="0" w:line="255" w:lineRule="auto"/>
        <w:rPr>
          <w:sz w:val="20"/>
          <w:szCs w:val="20"/>
          <w:color w:val="auto"/>
        </w:rPr>
      </w:pPr>
      <w:r>
        <w:rPr>
          <w:rFonts w:ascii="Arial" w:cs="Arial" w:eastAsia="Arial" w:hAnsi="Arial"/>
          <w:sz w:val="18"/>
          <w:szCs w:val="18"/>
          <w:color w:val="auto"/>
        </w:rPr>
        <w:t>The Company believes that adjusted EBITDA (calculated as earnings before interest, taxes, depreciation and amortization and excluding asset impairment charges, if applicable) is useful to investors in evaluating its performance and is a key metric to measure profitability and economic productivity. The Company is unable to reconcile the adjusted EBITDA guidance for fiscal 2020 or fiscal 2021 to net loss, because certain information necessary for these reconciliations is not available without unreasonable efforts. It is difficult to predict and/or is dependent on future events that are outside of our control. In particular, we are unable to reasonably predict potential asset impairments, because of the ongoing impact of the Covid-19 pandemic on our retail stores.</w:t>
      </w:r>
    </w:p>
    <w:p>
      <w:pPr>
        <w:spacing w:after="0" w:line="192" w:lineRule="exact"/>
        <w:rPr>
          <w:sz w:val="20"/>
          <w:szCs w:val="20"/>
          <w:color w:val="auto"/>
        </w:rPr>
      </w:pPr>
    </w:p>
    <w:p>
      <w:pPr>
        <w:ind w:left="300" w:right="300" w:firstLine="426"/>
        <w:spacing w:after="0" w:line="301"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 The following is a reconciliation of free cash flows (a non-GAAP measure) from cash flow from operating activities (the comparable GAAP measure):</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220" w:type="dxa"/>
            <w:vAlign w:val="bottom"/>
          </w:tcPr>
          <w:p>
            <w:pPr>
              <w:spacing w:after="0"/>
              <w:rPr>
                <w:sz w:val="14"/>
                <w:szCs w:val="14"/>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Fiscal 2020</w:t>
            </w:r>
          </w:p>
        </w:tc>
        <w:tc>
          <w:tcPr>
            <w:tcW w:w="2260" w:type="dxa"/>
            <w:vAlign w:val="bottom"/>
            <w:gridSpan w:val="4"/>
          </w:tcPr>
          <w:p>
            <w:pPr>
              <w:spacing w:after="0"/>
              <w:rPr>
                <w:sz w:val="20"/>
                <w:szCs w:val="20"/>
                <w:color w:val="auto"/>
              </w:rPr>
            </w:pPr>
            <w:r>
              <w:rPr>
                <w:rFonts w:ascii="Arial" w:cs="Arial" w:eastAsia="Arial" w:hAnsi="Arial"/>
                <w:sz w:val="14"/>
                <w:szCs w:val="14"/>
                <w:color w:val="auto"/>
              </w:rPr>
              <w:t>Fiscal 2021</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gridSpan w:val="2"/>
          </w:tcPr>
          <w:p>
            <w:pPr>
              <w:jc w:val="center"/>
              <w:ind w:right="620"/>
              <w:spacing w:after="0" w:line="154" w:lineRule="exact"/>
              <w:rPr>
                <w:sz w:val="20"/>
                <w:szCs w:val="20"/>
                <w:color w:val="auto"/>
              </w:rPr>
            </w:pPr>
            <w:r>
              <w:rPr>
                <w:rFonts w:ascii="Arial" w:cs="Arial" w:eastAsia="Arial" w:hAnsi="Arial"/>
                <w:sz w:val="14"/>
                <w:szCs w:val="14"/>
                <w:color w:val="auto"/>
                <w:w w:val="90"/>
              </w:rPr>
              <w:t>Guidance</w:t>
            </w:r>
          </w:p>
        </w:tc>
        <w:tc>
          <w:tcPr>
            <w:tcW w:w="2260" w:type="dxa"/>
            <w:vAlign w:val="bottom"/>
            <w:gridSpan w:val="4"/>
          </w:tcPr>
          <w:p>
            <w:pPr>
              <w:ind w:left="60"/>
              <w:spacing w:after="0" w:line="154" w:lineRule="exact"/>
              <w:rPr>
                <w:sz w:val="20"/>
                <w:szCs w:val="20"/>
                <w:color w:val="auto"/>
              </w:rPr>
            </w:pPr>
            <w:r>
              <w:rPr>
                <w:rFonts w:ascii="Arial" w:cs="Arial" w:eastAsia="Arial" w:hAnsi="Arial"/>
                <w:sz w:val="14"/>
                <w:szCs w:val="14"/>
                <w:color w:val="auto"/>
              </w:rPr>
              <w:t>Guidance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tcPr>
          <w:p>
            <w:pPr>
              <w:spacing w:after="0"/>
              <w:rPr>
                <w:sz w:val="17"/>
                <w:szCs w:val="17"/>
                <w:color w:val="auto"/>
              </w:rPr>
            </w:pPr>
          </w:p>
        </w:tc>
        <w:tc>
          <w:tcPr>
            <w:tcW w:w="3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flow from operating activities (GAAP)</w:t>
            </w:r>
          </w:p>
        </w:tc>
        <w:tc>
          <w:tcPr>
            <w:tcW w:w="22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(1.8) - 0.2</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&gt;4.3</w:t>
            </w: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2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Free cash flow (non-GAAP)</w:t>
            </w:r>
          </w:p>
        </w:tc>
        <w:tc>
          <w:tcPr>
            <w:tcW w:w="2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(6.0) - (4.0)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740" w:type="dxa"/>
            <w:vAlign w:val="bottom"/>
            <w:gridSpan w:val="3"/>
          </w:tcPr>
          <w:p>
            <w:pPr>
              <w:jc w:val="right"/>
              <w:ind w:right="3140"/>
              <w:spacing w:after="0"/>
              <w:rPr>
                <w:sz w:val="20"/>
                <w:szCs w:val="20"/>
                <w:color w:val="auto"/>
              </w:rPr>
            </w:pPr>
            <w:r>
              <w:rPr>
                <w:rFonts w:ascii="Arial" w:cs="Arial" w:eastAsia="Arial" w:hAnsi="Arial"/>
                <w:sz w:val="18"/>
                <w:szCs w:val="18"/>
                <w:color w:val="auto"/>
              </w:rPr>
              <w:t>S-4</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73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i w:val="1"/>
          <w:iCs w:val="1"/>
          <w:color w:val="auto"/>
        </w:rPr>
        <w:t>The following summary contains basic terms about this offering and the common stock and is not intended to be complete. It may not contain all of the information that is important to you. You should read the more detailed information contained in this prospectus supplement, including but not limited to, the risk factors beginning on page S-6 and the other risks described in the accompanying prospectus and the annual and quarterly reports incorporated by reference therein.</w:t>
      </w:r>
    </w:p>
    <w:p>
      <w:pPr>
        <w:sectPr>
          <w:pgSz w:w="11900" w:h="16838" w:orient="portrait"/>
          <w:cols w:equalWidth="0" w:num="1">
            <w:col w:w="10880"/>
          </w:cols>
          <w:pgMar w:left="320" w:top="459" w:right="699" w:bottom="1440" w:gutter="0" w:footer="0" w:header="0"/>
        </w:sect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11,111,111 shares of common stock</w:t>
      </w:r>
    </w:p>
    <w:p>
      <w:pPr>
        <w:spacing w:after="0" w:line="211"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63,130,772 shares (assuming we sell the maximum number of shares of common stock offered in this offering)</w:t>
      </w:r>
    </w:p>
    <w:p>
      <w:pPr>
        <w:spacing w:after="0" w:line="197" w:lineRule="exact"/>
        <w:rPr>
          <w:sz w:val="20"/>
          <w:szCs w:val="20"/>
          <w:color w:val="auto"/>
        </w:rPr>
      </w:pPr>
    </w:p>
    <w:p>
      <w:pPr>
        <w:sectPr>
          <w:pgSz w:w="11900" w:h="16838" w:orient="portrait"/>
          <w:cols w:equalWidth="0" w:num="2">
            <w:col w:w="3980" w:space="360"/>
            <w:col w:w="6540"/>
          </w:cols>
          <w:pgMar w:left="320" w:top="459" w:right="6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$0.45 per share</w:t>
      </w:r>
    </w:p>
    <w:p>
      <w:pPr>
        <w:spacing w:after="0" w:line="211"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intend to use the net proceeds we receive from this offering for working capital and other general corporate purposes. See “Use of Proceeds.” on page S-10.</w:t>
      </w:r>
    </w:p>
    <w:p>
      <w:pPr>
        <w:spacing w:after="0" w:line="173"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See the section titled “Risk Factors” commencing on page S-6 of this prospectus supplement and in our base prospectus and the Annual Report incorporated by reference herein for a discussion of factors you should consider carefully before deciding to invest in our common stock.</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OTCQX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“DXLG”</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39"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number of shares of our common stock to be outstanding after this offering is based on 52,019,661 shares of our common stock outstanding as of February 1, 2021, which number (i) includes 136,482 shares issued to directors under our Non-Employee Director Compensation Plan on February 1, 2021, and (ii) excludes:</w:t>
      </w:r>
    </w:p>
    <w:p>
      <w:pPr>
        <w:spacing w:after="0" w:line="89" w:lineRule="exact"/>
        <w:rPr>
          <w:sz w:val="20"/>
          <w:szCs w:val="20"/>
          <w:color w:val="auto"/>
        </w:rPr>
      </w:pPr>
    </w:p>
    <w:p>
      <w:pPr>
        <w:ind w:left="1240" w:right="2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3,647,581 shares of common stock issuable upon exercise of stock options outstanding as of January 30, 2021, with exercise prices ranging from $0.53 to $7.02 per share and a weighted average exercise price of $1.09 per share;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435,568 shares of deferred stock, 815,292 shares of common stock issuable upon vesting of outstanding restricted stock units and 720,000 shares issuable upon vesting of outstanding performances stock units; and</w:t>
      </w:r>
    </w:p>
    <w:p>
      <w:pPr>
        <w:spacing w:after="0" w:line="75" w:lineRule="exact"/>
        <w:rPr>
          <w:rFonts w:ascii="Arial" w:cs="Arial" w:eastAsia="Arial" w:hAnsi="Arial"/>
          <w:sz w:val="18"/>
          <w:szCs w:val="18"/>
          <w:color w:val="auto"/>
        </w:rPr>
      </w:pPr>
    </w:p>
    <w:p>
      <w:pPr>
        <w:ind w:left="1240" w:right="120" w:hanging="415"/>
        <w:spacing w:after="0" w:line="342"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aggregate of 1,456,300 shares of common stock reserved for future issuance under our equity incentive plans and an aggregate of 863,518 shares of common stock reserved for future issuance under our Non-Employee Director Compensation Plan.</w:t>
      </w:r>
    </w:p>
    <w:p>
      <w:pPr>
        <w:spacing w:after="0" w:line="200" w:lineRule="exact"/>
        <w:rPr>
          <w:sz w:val="20"/>
          <w:szCs w:val="20"/>
          <w:color w:val="auto"/>
        </w:rPr>
      </w:pPr>
    </w:p>
    <w:p>
      <w:pPr>
        <w:spacing w:after="0" w:line="3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An investment in our common stock involves various risks. You should carefully consider the following risks and all of the other information contained or incorporated by reference in this prospectus supplement and the accompanying prospectus before investing in our common stock. In addition, you should read and consider the risk factors associated with our business included in the documents incorporated by reference in this prospectus supplement and the accompanying prospectus, including in “Item 1A. Risk Factors” in our Annual Report on Form 10-K for the year ended February 1, 2020 and in our quarterly reports on Form 10-Q for the quarters ended May 2, 2020, August 1, 2020 and October 31, 2020. See “Where You Can Find More Information” for information about how to obtain a copy of this and other documents. If any of those risks actually occurs, our business, prospects, operating results and financial condition could suffer materially, the trading price of our common stock could decline and you could lose all or part of your investment.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Management will have broad discretion in the use of the net proceeds from this offering and may not use them effectively.</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our stockholders will not have the opportunity as part of their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See “Use of Proceeds” in this prospectus supplement for a description of our proposed use of proceeds from this offering.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You will experience immediate and substantial dilution in the net tangible book value per share of the common stock you purchase.</w:t>
      </w:r>
    </w:p>
    <w:p>
      <w:pPr>
        <w:spacing w:after="0" w:line="14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offering price per share of our common stock being offered is substantially higher than the pro forma net tangible book value per share of our outstanding common stock. As a result, the investor purchasing shares of our common stock in this offering will incur immediate dilution of $0.38 per share, after giving further effect to the sale by us of all the shares of common stock offered hereby and after deducting placement agent fees and estimated offering expenses payable by us. See “Dilution” in this prospectus supplement for a more detailed discussion of the dilution you will incur if you purchase shares in this offering.</w:t>
      </w:r>
    </w:p>
    <w:p>
      <w:pPr>
        <w:spacing w:after="0" w:line="296" w:lineRule="exact"/>
        <w:rPr>
          <w:sz w:val="20"/>
          <w:szCs w:val="20"/>
          <w:color w:val="auto"/>
        </w:rPr>
      </w:pPr>
    </w:p>
    <w:p>
      <w:pPr>
        <w:ind w:left="120" w:right="240" w:firstLine="440"/>
        <w:spacing w:after="0" w:line="375" w:lineRule="auto"/>
        <w:rPr>
          <w:sz w:val="20"/>
          <w:szCs w:val="20"/>
          <w:color w:val="auto"/>
        </w:rPr>
      </w:pPr>
      <w:r>
        <w:rPr>
          <w:rFonts w:ascii="Arial" w:cs="Arial" w:eastAsia="Arial" w:hAnsi="Arial"/>
          <w:sz w:val="15"/>
          <w:szCs w:val="15"/>
          <w:b w:val="1"/>
          <w:bCs w:val="1"/>
          <w:i w:val="1"/>
          <w:iCs w:val="1"/>
          <w:color w:val="auto"/>
        </w:rPr>
        <w:t>You may experience future dilution as a result of future equity offerings and other issuances of our securities. In addition, this offering and future equity offerings and other issuances of our common stock or other securities may adversely affect the price of our common stock.</w:t>
      </w:r>
    </w:p>
    <w:p>
      <w:pPr>
        <w:spacing w:after="0" w:line="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order to raise additional capital, we may in the future offer additional shares of common stock or other securities convertible into or exchangeable for our common stock prices that may not be the same as the price per share in this offering.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in this offering. You will incur dilution upon exercise of any outstanding stock options, warrants or upon the issuance of shares of common stock under our stock incentive programs and Non-Employee Director Compensation Plan. In addition, the sale of shares of common stock in this offering and any future sales of a substantial number of shares of common stock in the public market, or the perception that such sales may occur, could adversely affect the price of our common stock. We cannot predict the effect, if any, that market sales of those shares of common stock or the availability of those shares for sale will have on the market price of our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substantial number of shares of our common stock may be sold in this offering, which could cause the price of our common stock to decline.</w:t>
      </w:r>
    </w:p>
    <w:p>
      <w:pPr>
        <w:spacing w:after="0" w:line="15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shares of common stock offered hereby represent approximately 21.4% of our outstanding common stock as of February 1, 2021. The sale of shares to be issued in this offering in the public market, or any future sales of a substantial number of shares of our common stock in the public market, or the perception that such sales may occur, could adversely affect the price of our common stock on the OTCQX. We cannot predict the effect, if any, that market sales of those shares of common stock or the availability of those shares of common stock for sale will have on the market price of our common stock.</w:t>
      </w:r>
    </w:p>
    <w:p>
      <w:pPr>
        <w:spacing w:after="0" w:line="29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may issue shares of our common and/or preferred stock in the future which could reduce the equity interest of our stockholders and might cause a change in control of our ownership.</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certificate of incorporation authorizes the issuance of up to 100,000,000 shares of common stock, and 1,000,000 shares of preferred stock, par value $.01 per share. Even after completion of this offering, we may issue additional shares of our common stock or preferred stock, or a combination of common and preferred stock, to raise additional funds or in connection with any strategic acquisitions. The issuance of additional shares of our common stock or any number of shares of our preferred stock:</w:t>
      </w:r>
    </w:p>
    <w:p>
      <w:pPr>
        <w:spacing w:after="0" w:line="9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our common stockholders;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cause a change in control if a substantial number of our shares of common stock are issued, which may affect, among other things, our ability to use our net operating loss carryforwards, if any, and most likely also result in the resignation or removal of some or all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common stock.</w:t>
      </w:r>
    </w:p>
    <w:p>
      <w:pPr>
        <w:spacing w:after="0" w:line="33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Trading of our common stock on the OTCQX market may be volatile and sporadic, which could depress the market price of our common stock and make it difficult for our stockholders to sell their shares.</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December 2020 we voluntarily delisted our common stock from The Nasdaq Stock Market to the OTCQX tier of the OTC Markets, and is currently quoted under the symbol “DXLG.” Trading in stock quoted on the OTCQX may be thin and characterized by wide fluctuations in trading prices, due to many factors that may have little to do with our operations or business prospects. This volatility could depress the market price of our common stock for reasons unrelated to our operating performance. Accordingly, stockholders may have difficulty reselling any of their shares. Our common stock will continue to trade on OTCQX so long as we meet their standards for continued qualifications, including having at least two brokers who choose to make a market for our common stock, however, there can be no assurances regarding any such trading.</w:t>
      </w:r>
    </w:p>
    <w:p>
      <w:pPr>
        <w:spacing w:after="0" w:line="27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volatile and fluctuate substantially. As a result, you may not be able to resell your shares at or above your purchase price.</w:t>
      </w:r>
    </w:p>
    <w:p>
      <w:pPr>
        <w:spacing w:after="0" w:line="6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market price of our common stock has been and will likely continue to fluctuate substantially as a result of many factors, some of which are beyond our control. For example, since January 4, 2021, the last reported sale price of our common stock on the OTCQX has ranged from a low of $0.26 to a high of $0.80 on January 29, 2021. These fluctuations could cause you to lose all or part of the value of your investment in our common stock. Factors that could cause fluctuations in the market price of our common stock include the following:</w:t>
      </w:r>
    </w:p>
    <w:p>
      <w:pPr>
        <w:spacing w:after="0" w:line="77"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regulation (such as increased wage and paid benefits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33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outstanding indebtedness and may be limited by covenants of any future indebtedness we or our subsidiaries incur, including pursuant to our credit agreement. As a result, you may not receive any return on an investment in our common stock unless you sell our common stock for a price greater than that which you paid for it.</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prospectus supplement, including information incorporated by reference herein, contains certain “forward-looking statements” and information relating to us that are based on the beliefs of our management as well as assumptions made by, and information currently available to, us. Forward-looking statements include, but are not limited to, those statements that are based upon management’s current plans and expectations as opposed to historical and current facts and are often identified in this report by use of words including but not limited to “estimates,” “expects,” “contemplates,” “anticipates,” “projects,” “plans,” “intends,” “believes,” “forecasts,” “may,” “should” and variations of such words or similar expressions. These statements are based upon estimates and assumptions made by our management that, although believed to be reasonable, are subject to numerous factors, risks and uncertainties that could cause actual outcomes and results to be materially different from those projected. These and other important factors, including those identified under the heading “Risk Factors” in this prospectus supplement, as such risk factors may be updated from time to time in our periodic filings with the SEC, may cause our actual results, performance or achievements to differ materially from any future results, performance or achievements expressed or implied by these forward-looking statements. Some of the factors that could cause actual results to differ materially from those expressed or implied by the forward-looking statements include, among others, the following:</w:t>
      </w:r>
    </w:p>
    <w:p>
      <w:pPr>
        <w:spacing w:after="0" w:line="77" w:lineRule="exact"/>
        <w:rPr>
          <w:sz w:val="20"/>
          <w:szCs w:val="20"/>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due to the business interruption caused by the Coronavirus pandemic that resulted in temporary store closings and reduced store operating hours;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our strategy and grow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central distribution center;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manage our store portfolio and obtain acceptable lease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with economic, health and political issues abroad and in the U.S.;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the price, availability and quality of raw materials and finished goods;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stock price to withstand volatility due to many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OTCQX;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as a going concern.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should evaluate all forward-looking statements made in this prospectus supplement in the context of these risks and uncertainties.</w:t>
      </w:r>
    </w:p>
    <w:p>
      <w:pPr>
        <w:spacing w:after="0" w:line="23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many of which are beyond our control,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supplement apply only as of the date made and are expressly qualified in their entirety by the cautionary statements included in this prospectus supplement. We undertake no obligation to publicly update or revise any forward-looking statements to reflect subsequent events or circumstances.</w:t>
      </w:r>
    </w:p>
    <w:p>
      <w:pPr>
        <w:spacing w:after="0" w:line="19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All subsequent written and oral forward-looking statements attributable to us, or persons acting on our behalf, are expressly qualified in their entirety by these cautionary statements.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00"/>
          </w:cols>
          <w:pgMar w:left="32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estimate the net proceeds to us from the sale of the shares in this offering will be approximately $4.4 million after deducting placement agent fees and other estimated offering expenses payable by us, assuming we sell all of the shares offered hereby.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use the net proceeds from the sale of our common stock in this offering for working capital and other general corporate purposes.</w:t>
      </w:r>
    </w:p>
    <w:p>
      <w:pPr>
        <w:spacing w:after="0" w:line="24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the date of this prospectus supplement, we cannot specify with certainty all of the particular uses of the proceeds, if any, from this offering. Accordingly, we will retain broad discretion over the use of any such proceeds. Pending the use of the net proceeds, from this offering as described above, we intend to invest the net proceeds in investment-grade, interest-bearing instruments.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32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net tangible book value as of October 31, 2020, was $(0.1) million, or $(0.00) per share of common stock. Net tangible book value per share represents total tangible assets less total liabilities, divided by the number of shares of common stock outstanding as of October 31, 2020. After giving effect to our sale of 11,111,111 of shares of common stock in this offering at the offering price of $0.45 per share, and after deduction of estimated offering expenses payable by us, our net tangible book value as of October 31, 2020, would have been $4.3 million, or $0.07 per share. This represents an immediate increase in net tangible book value of $0.07 per share to existing stockholders and an immediate dilution in net tangible book value of $0.38 per share to purchasers of common stock in this offering. The following table illustrates this calculation.</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 of common stock</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r>
      <w:tr>
        <w:trPr>
          <w:trHeight w:val="216"/>
        </w:trPr>
        <w:tc>
          <w:tcPr>
            <w:tcW w:w="980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October 31, 2020</w:t>
            </w:r>
          </w:p>
        </w:tc>
        <w:tc>
          <w:tcPr>
            <w:tcW w:w="740" w:type="dxa"/>
            <w:vAlign w:val="bottom"/>
            <w:gridSpan w:val="2"/>
          </w:tcPr>
          <w:p>
            <w:pPr>
              <w:spacing w:after="0"/>
              <w:rPr>
                <w:sz w:val="20"/>
                <w:szCs w:val="20"/>
                <w:color w:val="auto"/>
              </w:rPr>
            </w:pPr>
            <w:r>
              <w:rPr>
                <w:rFonts w:ascii="Arial" w:cs="Arial" w:eastAsia="Arial" w:hAnsi="Arial"/>
                <w:sz w:val="18"/>
                <w:szCs w:val="18"/>
                <w:color w:val="auto"/>
              </w:rPr>
              <w:t>$ (0.0)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this offering</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20" w:type="dxa"/>
            <w:vAlign w:val="bottom"/>
            <w:tcBorders>
              <w:top w:val="single" w:sz="8" w:color="auto"/>
            </w:tcBorders>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0.07</w:t>
            </w:r>
          </w:p>
        </w:tc>
      </w:tr>
      <w:tr>
        <w:trPr>
          <w:trHeight w:val="27"/>
        </w:trPr>
        <w:tc>
          <w:tcPr>
            <w:tcW w:w="9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0.38</w:t>
            </w:r>
          </w:p>
        </w:tc>
      </w:tr>
      <w:tr>
        <w:trPr>
          <w:trHeight w:val="20"/>
        </w:trPr>
        <w:tc>
          <w:tcPr>
            <w:tcW w:w="9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The number of shares outstanding after the offering is based on 51,567,582 shares outstanding as of October 31, 2020. The number of outstanding shares after the offering does not include, in each case as of October 31, 2020:</w:t>
      </w:r>
    </w:p>
    <w:p>
      <w:pPr>
        <w:spacing w:after="0" w:line="76" w:lineRule="exact"/>
        <w:rPr>
          <w:sz w:val="20"/>
          <w:szCs w:val="20"/>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3,676,229 shares of common stock issuable upon the exercise of outstanding stock options as of October 31, 2020 at a weighted average exercise price of $1.12 per share;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316,703 shares of deferred stock, 835,774 shares of common stock issuable upon vesting of outstanding restricted stock units and 720,000 shares issuable upon vesting of outstanding performances stock units; and</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2,087,111 additional shares of common stock reserved for future issuance as of October 31, 2020 under our equity incentive plans and 84,228 additional shares of common stock reserved for future issuance as of October 31, 2020 under our Non-Employee Director Compensation Plan.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D.A. Davidson &amp; Co. is acting as the exclusive placement agent in connection with the offering (“Davidson” or the “placement agent”) pursuant to a placement agency agreement dated February 5, 2021 (the “placement agency agreement”). The placement agent is not purchasing or selling the securities offered by this prospectus supplement, nor is the placement agent required to arrange the purchase or sale of any specific number or dollar amount of securities, but has agreed to use its “reasonable best efforts” to arrange for the sale of all of the securities offered hereby pursuant to this prospectus supplement and the accompanying prospectus. The terms of this offering were subject to market conditions and negotiations between us, the placement agent and prospective investors. There is no requirement that any minimum number of shares of common stock or dollar amount of common stock be sold in this offering, and there can be no assurance that we will sell all or any of the common stock being offered.</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entered into securities purchase agreements dated February 5, 2021 directly with investors in connection with this offering, and we will only sell to investors who have entered into securities purchase agreements. We expect to deliver the common stock being offered pursuant to this prospectus supplement, on or about February 9, 2021, subject to customary closing conditions (the “closing”).</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have agreed to pay the placement agent a total cash fee equal to 7.0% of the gross proceeds of this offering. We have agreed to reimburse the placement agent for all travel and other out-of-pocket expenses, including the reasonable fees, costs and disbursements of its legal fees which shall be limited to, in the aggregate, $50,000. We have also agreed to pay to the placement agent a cash retainer of $100,000. We estimate our total expenses associated with the offering, excluding placement agent fees and expenses, will be approximately $130,000.</w:t>
      </w:r>
    </w:p>
    <w:p>
      <w:pPr>
        <w:spacing w:after="0" w:line="17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following table shows per share and total cash placement agent’s fees we will pay to the placement agent in connection with the sale of the securities pursuant to this prospectus supplement and the accompanying prospectus assuming the purchase of all of the securities offered hereby:</w:t>
      </w:r>
    </w:p>
    <w:p>
      <w:pPr>
        <w:spacing w:after="0" w:line="14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8"/>
              </w:rPr>
              <w:t>Maximum Amount</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Placement agent fees</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$0.0315</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349,999.99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the members of our board of director, and certain of our executive officers, have agreed, subject to certain limited exceptions, not to issue or sell any common stock (or common stock equivalents) for a period of 30 days after the closing.</w:t>
      </w:r>
    </w:p>
    <w:p>
      <w:pPr>
        <w:spacing w:after="0" w:line="17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have agreed to indemnify the placement agent and specified other persons against some civil liabilities, including, without limitation liabilities caused by or arising out of any untrue statement of material fact contained in the Registration Statement or this prospectus supplement or accompanying prospectus or by any omission or alleged omission to state therein a material fact necessary to make the statements therein not misleading.</w:t>
      </w:r>
    </w:p>
    <w:p>
      <w:pPr>
        <w:spacing w:after="0" w:line="14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agents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common stock by the placement agent acting as principal.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it has completed its participation in the distribution.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form of securities purchase agreement is included as an exhibit to a Current Report on Form 8-K that we filed with the SEC and that is incorporated by reference into the registration statement of which this prospectus supplement forms a part.</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The placement agent may arrange to sell securities offered by this prospectus supplement and accompanying prospectus in certain jurisdictions outside the United States, either directly or through affiliates, where they are permitted to do so.</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Certain Relationships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may in the future engage in investment banking and other commercial dealings in the ordinary course of business with us and our affiliates, for which it may in the future receive customary fees, commissions and expenses. We have agreed to pay the placement agent a cash retainer of $100,000 with respect to future services.</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placement agent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placement agent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offering, the placement agent may distribute this prospectus supplement by electronic means, such as e-mail.</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Closing</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placement agency agreement provides that the obligations of the placement agent are subject to certain customary conditions precedent, including the receipt of customary legal opinions, letters and certificates and the absence of any material adverse change in our business. The placement agency agreement also contains customary representations and warranties that must be true and correct as of the closing.</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currently anticipate that closing of the sale of the shares will take place on or about February 9, 2021. At or prior to the closing, each purchaser will deliver to the company an amount equal to such purchaser’s subscription amount (via wire transfer). At the closing, we will deliver to each purchaser its respective shares (via the Depository Trust Company’s Deposit/Withdrawal at Custodian system).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have agreed to indemnify the placement agent against certain liabilities, including for breaches of the placement agency agreement and civil liabilities under the Securities Act, or to contribute to payments that the placement agent may be required to make in respect of those liabilities.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Stabilizing Transactions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placement agent has informed us that it does not intend to engage in overallotment, stabilizing transactions or syndicate covering transactions in connection with this offering.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placement agent and its affiliates may in the future perform various financial advisory and investment banking services for us, for which they will receive customary fees and expenses.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transfer agent for our common stock to be issued in this offering is American Stock Transfer &amp; Trust Company, LLC, located at 6201 15</w:t>
      </w:r>
      <w:r>
        <w:rPr>
          <w:rFonts w:ascii="Arial" w:cs="Arial" w:eastAsia="Arial" w:hAnsi="Arial"/>
          <w:sz w:val="15"/>
          <w:szCs w:val="15"/>
          <w:color w:val="auto"/>
        </w:rPr>
        <w:t>th</w:t>
      </w:r>
      <w:r>
        <w:rPr>
          <w:rFonts w:ascii="Arial" w:cs="Arial" w:eastAsia="Arial" w:hAnsi="Arial"/>
          <w:sz w:val="18"/>
          <w:szCs w:val="18"/>
          <w:color w:val="auto"/>
        </w:rPr>
        <w:t xml:space="preserve"> Avenue, Brooklyn, New York 11219.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shares of common stock offered by this prospectus supplement will be passed upon for us by Greenberg Traurig LLP, Boston, Massachusetts. Dorsey &amp; Whitney LLP, Salt Lake City, Utah is acting as counsel for the placement agent in connection with certain legal matters related to this offering.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consolidated financial statements of Destination XL Group, Inc. as of February 1, 2020 and February 2, 2019 and for each of the years in the three-year period ending February 1, 2020, and management’s assessment of the effectiveness of internal control over financial reporting as of February 1, 2020,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covering the February 1, 2020 consolidated financial statements refers to a change in the method of accounting for leases as of February 3, 2019 due to the adoption of Accounting Standards Update 2016-12, Leases (Topic 842) and Accounting Standards Update 2018-11, Leases (Topic 842): Targeted Improvements.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8"/>
          <w:szCs w:val="18"/>
          <w:i w:val="1"/>
          <w:iCs w:val="1"/>
          <w:color w:val="auto"/>
        </w:rPr>
        <w:t>https://investor.dxl.com/investor-relations.</w:t>
      </w:r>
      <w:r>
        <w:rPr>
          <w:rFonts w:ascii="Arial" w:cs="Arial" w:eastAsia="Arial" w:hAnsi="Arial"/>
          <w:sz w:val="18"/>
          <w:szCs w:val="18"/>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S-3 filed with the SEC. This prospectus supplement and the accompanying prospectus do not contain all of the information included in the registration statement, certain parts of which are omitted in accordance with the rules and regulations of the SEC.</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incorporate by reference the documents listed below and any future filings (other than Current Reports on Form 8-K furnished under Item 2.02 or Item 7.01 and exhibits filed on such form that are related to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items) we make with the SEC under Sections 13(a), 13(c), 14 or 15(d) of the Exchange Act after the date of the prospectus supplement and before the sale of all the securities covered by this prospectus supplement:</w:t>
      </w:r>
    </w:p>
    <w:p>
      <w:pPr>
        <w:spacing w:after="0" w:line="76" w:lineRule="exact"/>
        <w:rPr>
          <w:sz w:val="20"/>
          <w:szCs w:val="20"/>
          <w:color w:val="auto"/>
        </w:rPr>
      </w:pPr>
    </w:p>
    <w:p>
      <w:pPr>
        <w:ind w:left="1080" w:right="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February 1, 2020 and filed on March 19, 2020, as amended by the </w:t>
      </w:r>
      <w:hyperlink r:id="rId36">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June 1,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w:t>
      </w:r>
      <w:hyperlink r:id="rId37">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July 2,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Quarterly Report on Form for the quarter ended May 2, 2020, filed on </w:t>
      </w:r>
      <w:hyperlink r:id="rId38">
        <w:r>
          <w:rPr>
            <w:rFonts w:ascii="Arial" w:cs="Arial" w:eastAsia="Arial" w:hAnsi="Arial"/>
            <w:sz w:val="18"/>
            <w:szCs w:val="18"/>
            <w:u w:val="single" w:color="auto"/>
            <w:color w:val="0000EE"/>
          </w:rPr>
          <w:t>June 4,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Quarterly Report on Form for the quarter ended August 1, 2020, filed on </w:t>
      </w:r>
      <w:hyperlink r:id="rId39">
        <w:r>
          <w:rPr>
            <w:rFonts w:ascii="Arial" w:cs="Arial" w:eastAsia="Arial" w:hAnsi="Arial"/>
            <w:sz w:val="18"/>
            <w:szCs w:val="18"/>
            <w:u w:val="single" w:color="auto"/>
            <w:color w:val="0000EE"/>
          </w:rPr>
          <w:t>August 27,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Quarterly Report on Form for the quarter ended October 31, 2020, filed on </w:t>
      </w:r>
      <w:hyperlink r:id="rId40">
        <w:r>
          <w:rPr>
            <w:rFonts w:ascii="Arial" w:cs="Arial" w:eastAsia="Arial" w:hAnsi="Arial"/>
            <w:sz w:val="18"/>
            <w:szCs w:val="18"/>
            <w:u w:val="single" w:color="auto"/>
            <w:color w:val="0000EE"/>
          </w:rPr>
          <w:t>November 20,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1">
        <w:r>
          <w:rPr>
            <w:rFonts w:ascii="Arial" w:cs="Arial" w:eastAsia="Arial" w:hAnsi="Arial"/>
            <w:sz w:val="18"/>
            <w:szCs w:val="18"/>
            <w:u w:val="single" w:color="auto"/>
            <w:color w:val="0000EE"/>
          </w:rPr>
          <w:t xml:space="preserve">February 14, </w:t>
        </w:r>
      </w:hyperlink>
      <w:hyperlink r:id="rId42">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23</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March 30</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April 16</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June 12</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August 13</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September 4</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October 16</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9">
        <w:r>
          <w:rPr>
            <w:rFonts w:ascii="Arial" w:cs="Arial" w:eastAsia="Arial" w:hAnsi="Arial"/>
            <w:sz w:val="18"/>
            <w:szCs w:val="18"/>
            <w:u w:val="single" w:color="auto"/>
            <w:color w:val="0000EE"/>
          </w:rPr>
          <w:t>November 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 xml:space="preserve">December 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December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included in </w:t>
      </w:r>
      <w:hyperlink r:id="rId52">
        <w:r>
          <w:rPr>
            <w:rFonts w:ascii="Arial" w:cs="Arial" w:eastAsia="Arial" w:hAnsi="Arial"/>
            <w:sz w:val="17"/>
            <w:szCs w:val="17"/>
            <w:u w:val="single" w:color="auto"/>
            <w:color w:val="0000EE"/>
          </w:rPr>
          <w:t>Exhibit 4.1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year ended February 1, 2020.</w:t>
      </w:r>
    </w:p>
    <w:p>
      <w:pPr>
        <w:spacing w:after="0" w:line="237"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225" w:lineRule="exact"/>
        <w:rPr>
          <w:rFonts w:ascii="Arial" w:cs="Arial" w:eastAsia="Arial" w:hAnsi="Arial"/>
          <w:sz w:val="18"/>
          <w:szCs w:val="18"/>
          <w:color w:val="0000EE"/>
        </w:rPr>
      </w:pPr>
    </w:p>
    <w:p>
      <w:pPr>
        <w:ind w:left="1540"/>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8"/>
          <w:szCs w:val="18"/>
          <w:color w:val="0000EE"/>
        </w:rPr>
      </w:pPr>
    </w:p>
    <w:p>
      <w:pPr>
        <w:ind w:left="1540"/>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8"/>
          <w:szCs w:val="18"/>
          <w:color w:val="0000EE"/>
        </w:rPr>
      </w:pPr>
    </w:p>
    <w:p>
      <w:pPr>
        <w:ind w:left="1540"/>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8"/>
          <w:szCs w:val="18"/>
          <w:color w:val="0000EE"/>
        </w:rPr>
      </w:pPr>
    </w:p>
    <w:p>
      <w:pPr>
        <w:ind w:left="1540"/>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0000EE"/>
        </w:rPr>
      </w:pPr>
    </w:p>
    <w:p>
      <w:pPr>
        <w:ind w:left="1540"/>
        <w:spacing w:after="0"/>
        <w:rPr>
          <w:sz w:val="20"/>
          <w:szCs w:val="20"/>
          <w:color w:val="auto"/>
        </w:rPr>
      </w:pPr>
      <w:r>
        <w:rPr>
          <w:rFonts w:ascii="Arial" w:cs="Arial" w:eastAsia="Arial" w:hAnsi="Arial"/>
          <w:sz w:val="18"/>
          <w:szCs w:val="18"/>
          <w:color w:val="auto"/>
        </w:rPr>
        <w:t>(781) 828-9300</w:t>
      </w:r>
    </w:p>
    <w:p>
      <w:pPr>
        <w:spacing w:after="0" w:line="211" w:lineRule="exact"/>
        <w:rPr>
          <w:rFonts w:ascii="Arial" w:cs="Arial" w:eastAsia="Arial" w:hAnsi="Arial"/>
          <w:sz w:val="18"/>
          <w:szCs w:val="18"/>
          <w:color w:val="0000EE"/>
        </w:rPr>
      </w:pPr>
    </w:p>
    <w:p>
      <w:pPr>
        <w:ind w:left="120" w:firstLine="440"/>
        <w:spacing w:after="0" w:line="254"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including information incorporated by reference as described above We have not authorized anyone else to provide you with different information. You should not assume that the information in this prospectus supplement and the accompanying prospectus is accurate as of any date other than the date on the front of those documents or that any document incorporated by reference is accurate as of any date other than its filing date. You should not consider this prospectus supplement or the accompanying prospectus to be an offer or solicitation relating to the securities in any jurisdiction in which such an offer or solicitation relating to the securities is not authorized. Furthermore, you should not consider this prospectus supplement or the accompanying prospectus to be an offer or solicitation relating to the securities if the person making the offer or solicitation is not qualified to do so, or if it is unlawful for you to receive such an offer or solicitation.</w:t>
      </w:r>
    </w:p>
    <w:p>
      <w:pPr>
        <w:spacing w:after="0" w:line="124"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68580</wp:posOffset>
            </wp:positionV>
            <wp:extent cx="737235"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372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Destination XL Group,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$25,000,000</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Purchase Contracts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Rights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offer and sell from time to time, in one or more transactions, common stock, preferred stock, depositary shares, warrants, debt securities,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contracts, rights and units that include any of these securities, up to a total public offering price of $25,000,000 on terms to be determined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time of sale. This prospectus describes some of the general terms that may apply to these securities and the general manner in which they may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offered. We will provide specific terms of these securities and the specific manner in which we offer these securities in supplements to this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prospectus. You should read this prospectus and any supplement carefully before you invest. This prospectus may not be used to offer and sell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accompanied by a prospectus supplement for those securities.</w:t>
      </w:r>
    </w:p>
    <w:p>
      <w:pPr>
        <w:spacing w:after="0" w:line="7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offer and sell these securities directly to investors, to or through one or more underwriters, dealers and agents, or through a combination of these methods, on a continuous or delayed basis. For more information, see “Plan of Distribution” in this prospectus. We may also describe the plan of distribution for any particular offering of these securities in a prospectus supplement. If any underwriters, dealers or agents are involved in the sale of any securities in respect of which this prospectus is delivered, we will disclose their names and the nature of our arrangements with them in a prospectus supplement. The price to the public of such securities and the net proceeds we expect to receive from such sale will also be set forth in a prospectus supplement.</w:t>
      </w:r>
    </w:p>
    <w:p>
      <w:pPr>
        <w:spacing w:after="0" w:line="4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“DXLG.” On June 1, 2020, the closing price of our common stock on the Nasdaq Global Select Market was $0.40 per share.</w:t>
      </w:r>
    </w:p>
    <w:p>
      <w:pPr>
        <w:spacing w:after="0" w:line="2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of June 1, 2020, the aggregate market value of the voting and non-voting common equity held by non-affiliates, computed by reference to the price at which the common equity was last sold or the average bid and asked price of such common equity on that date, was approximately $12,206,614 based on 51,078,020 shares of outstanding common stock, of which 30,516,535 were held by non-affiliates. Pursuant to General Instruction I.B.6 of Form S-3, in no event will we sell securities in a public primary offering with a value exceeding more than one-third of our public float in any 12-month period so long as our public float remains below $75.0 million. We have not offered any securities pursuant to General Instruction I.B.6 of Form S-3 during the 12 calendar months prior to and including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2" w:lineRule="exact"/>
        <w:rPr>
          <w:sz w:val="20"/>
          <w:szCs w:val="20"/>
          <w:color w:val="auto"/>
        </w:rPr>
      </w:pPr>
    </w:p>
    <w:p>
      <w:pPr>
        <w:ind w:left="120" w:right="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See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 of this prospectus. We may include additional risk factors in an applicable prospectus supplement under the heading “Risk Factors.” You should review that section of the prospectus supplement for a discussion of matters that investors in our securities should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7"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June 16, 2020.</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74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4240" w:type="dxa"/>
            <w:vAlign w:val="bottom"/>
            <w:vMerge w:val="restart"/>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About this Prospectus</w:t>
              </w:r>
            </w:hyperlink>
          </w:p>
        </w:tc>
        <w:tc>
          <w:tcPr>
            <w:tcW w:w="642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64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Prospectus Summary</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w w:val="99"/>
              </w:rPr>
            </w:pPr>
            <w:hyperlink w:anchor="page22">
              <w:r>
                <w:rPr>
                  <w:rFonts w:ascii="Arial" w:cs="Arial" w:eastAsia="Arial" w:hAnsi="Arial"/>
                  <w:sz w:val="18"/>
                  <w:szCs w:val="18"/>
                  <w:u w:val="single" w:color="auto"/>
                  <w:color w:val="0000EE"/>
                  <w:w w:val="99"/>
                </w:rPr>
                <w:t>Special Note Regarding Forward-Looking Information</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Use of Proceeds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The Securities We May Offer</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Common Stock</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Description of Preferred Stock</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Depositary Shares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Description of Warrants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Description of Debt Securities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Purchase Contracts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Rights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Units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Plan of Distribution</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2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Incorporation of Certain Documents By Reference</w:t>
              </w:r>
            </w:hyperlink>
          </w:p>
        </w:tc>
        <w:tc>
          <w:tcPr>
            <w:tcW w:w="67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about the Information Presented in this Prospectus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or any applicable prospectus supplement.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You should not assume that the information appearing in this prospectus or any applicable prospectus supplement is accurate as of any date other than the date on the front cover of this prospectus or the applicable prospectus supplement, or that the information contained in any document incorporated by reference is accurate as of any date other than the date of the document incorporated by reference, regardless of the time of delivery of this prospectus or any prospectus supplement or any sale of a security. Our business, financial condition, results of operations and prospects may have changed since such dates.</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$25,000,000. 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to, update or change information contained in this prospectus. You should read both this prospectus and any prospectus supplement together with the additional information described under the heading “Where You Can Find More Information” carefully before making an investment decision.</w:t>
      </w:r>
    </w:p>
    <w:p>
      <w:pPr>
        <w:spacing w:after="0" w:line="19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the context otherwise requires, the terms “Destination XL Group, Inc.,” “DXLG,” “the Company,” “our company,” “we,” “us,” “our” and similar names refer collectively to Destination XL Group, Inc. and its subsidiaries.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are the largest specialty retailer of big and tall men’s clothing and shoes with retail operations in the United States and Toronto, Canada and direct businesses throughout the United States, Canada, and Europe.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Men’s Apparel, DXL outlets, Casual Male XL</w:t>
      </w:r>
      <w:r>
        <w:rPr>
          <w:rFonts w:ascii="Arial" w:cs="Arial" w:eastAsia="Arial" w:hAnsi="Arial"/>
          <w:sz w:val="15"/>
          <w:szCs w:val="15"/>
          <w:color w:val="auto"/>
        </w:rPr>
        <w:t>®</w:t>
      </w:r>
      <w:r>
        <w:rPr>
          <w:rFonts w:ascii="Arial" w:cs="Arial" w:eastAsia="Arial" w:hAnsi="Arial"/>
          <w:sz w:val="18"/>
          <w:szCs w:val="18"/>
          <w:color w:val="auto"/>
        </w:rPr>
        <w:t xml:space="preserve"> and Casual Male XL outlets. We currently operate 228 DXL retail stores, 17 DXL outlet stores, 50 Casual Male XL retail stores, 26 Casual Male XL outlet stores and a direct business at www.dxl.com. In fiscal 2018, we launched a wholesale business unit focused on product development and distribution relationships with key retailers offering both private label and co-branded men’s big &amp; tall apparel lines.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incorporated in the state of Delaware. Our principal executive offices are located at 555 Turnpike Street, Canton, Massachusetts 02021. Our telephone number is (781) 828-9300. Our Internet address is www.dxl.com. Information contained on our website or that is accessible through our website should not be considered to be part of this prospectus.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prospectus includes and incorporates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in this prospectus regarding our strategy, future operations, financial position, future revenues, projected costs, prospects, plans and objectives of management are forward-looking statements. In some cases, forward-looking statements can be identified by the use of forward-looking terminology such as “may,” “will,” “estimate,” “intend,” “plan,” “continue,” “believe,” “expect” or “anticipate” or the negatives thereof, variations thereon or similar terminology, although not all forward-looking statements contain these identifying words. These forward-looking statements, which are not exhaustive, generally relate to plans and objectives for future operations and are based upon management’s reasonable estimates of future results or trends and also includes statements regarding the impact of the coronavirus outbreak on the Company’s business and results in fiscal 2020 and actions being taken by the Company to mitigate the impact, including to reduce operating expenses and capital expenditures, cancel inventory receipts, and to preserve liquidity. We cannot guarantee that we actually will achieve the plans, intentions or expectations disclosed in our forward-looking statements and you should not place undue reliance on our forward-looking statements. These forward-looking statements are subject to a number of known and unknown risks, uncertainties and assumptions, including risks described in the section titled “Risk Factors” and elsewhere in this prospectus, and in the documents we incorporate by reference in this prospectus.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These factors include, among other things:</w:t>
      </w:r>
    </w:p>
    <w:p>
      <w:pPr>
        <w:spacing w:after="0" w:line="82"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operate due to the business interruption caused by the Coronavirus pandemic that resulted in temporary store closings;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our strategy and grow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central distribution center;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suitable store locations with acceptable lease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operate with economic, health and political issues abroad and in the U.S;</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the price, availability and quality of raw materials and finished goods;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stock price to withstand volatility due to many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Global Select Market;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as a going concern.</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currently intend to use the estimated net proceeds from the sale of these securities for working capital and other general corporate purposes. Working capital and other general corporate purposes may include repaying debt, making capital expenditures, funding general and administrative expenses and any other purpose that we may specify in any prospectus supplement. We have not yet determined the amount of net proceeds to be used specifically for any of the foregoing purposes. Accordingly, our management will have significant discretion and flexibility in applying the net proceeds from the sale of these securities. Pending any use, as described above, we intend to invest the net proceeds in high-quality, short-term, interest-bearing securities. Our plans to use the estimated net proceeds from the sale of these securities may change, and if they do, we will update this information in a prospectus supplement.</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from time to time, in one or more offerings:</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depositary shares or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rights to purchase common stock, preferred stock, depositary shares or warrants;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units comprised of common stock, preferred stock, depositary shares, debt securities, warrants and purchase contracts in any combination.</w:t>
      </w:r>
    </w:p>
    <w:p>
      <w:pPr>
        <w:spacing w:after="0" w:line="24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this prospectus, we refer to the common stock, preferred stock, depositary shares, warrants, debt securities, purchase contracts, rights and units collectively as “securities.” The total dollar amount of all securities that we may issue will not exceed $25,000,000.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a description of our common stock, please see the Description of Securities of the Company filed as Exhibit 4.1 to our Annual Report on Form 10-K for the fiscal year ended February 1, 2020 filed with the SEC on March 19, 2020, and any future description of capital stock filed thereafter for the purpose of updating such description.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Under our certificate of incorporation, we have authority to issue 1,000,000 shares of preferred stock, par value $.01 per share. Of these shares, 50,000 shares have been designated as “Series A Junior Participating Preferred Stock,” none of which are outstanding, and 200,000 shares have been designated as “Series B Convertible Preferred Stock,” none of which are outstanding.</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we decide to issue any preferred stock pursuant to this prospectus, we will describe in a prospectus supplement the terms of the preferred stock, including, if applicable, the following:</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series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dividend rate(s) or amount(s), period(s) and payment date(s) or method(s) of calculation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will accumulate, if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procedures for auction and remarketing;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for a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applicable provision for redemption and the price or prices, terms and conditions on which preferred stock may be redeemed;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securities exchange listing;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voting rights and powers;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conditions, if applicable, of conversion into shares of our common stock, including the conversion price or rate or manner of calculation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relative ranking and preference as to dividend rights and rights upon our liquidation, dissolution or the winding up of our affairs;</w:t>
      </w:r>
    </w:p>
    <w:p>
      <w:pPr>
        <w:spacing w:after="0" w:line="142"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series of preferred stock.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70"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shares of any series of preferred stock underlying any depositary shares that we may sell under this prospectus will be deposited under a deposit agreement between us and a depositary selected by us. Subject to the 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5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Underlying Preferred Stock</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 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depositary of the depositary receipts evidencing the depositary shares. Any funds deposited by us with the depositary for any depositary shares that the holders fail to redeem will be returned to us after a period of two years from the date the funds are deposited.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Preferred Stock</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 amendment has been given to the holders. Each holder of depositary shares at the time any amendment becomes effective shall be deemed to consent and agree to that amendment and to be bound by the 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 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Trust Office of Depositary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depositary’s corporate trust office will be set forth in the applicable prospectus supplement relating to a series of depositary shares. The depositary will act as transfer agent and registrar for depositary receipts, and, if shares of a series of preferred stock are redeemable, the depositary will act as redemption agent for the corresponding depositary receipts.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may resign at any time by delivering to us notice of its intent to do so, and we may at any time remove the depositary, any such resignation or removal to take effect upon the appointment of a successor depositary meeting the requirements specified in the deposit agreement and its acceptance of such appointment.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 to Holders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will deliver all required reports and communications to holders of the preferred stock to the depositary, and it will forward those reports and communications to the holders of depositary shares. Upon request, the depositary will provide for inspection to the holders of depositary shares the transfer books of the depositary and the list of holders of receipts; provided that any requesting holder certifies to the depositary that such inspection is for a proper purpose reasonably related to such person’s interest as an owner of depositary shares evidenced by the receipts.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applicable prospectus supplement will describe the terms of any warrants in respect of which this prospectus is being delivered, including:</w:t>
      </w:r>
    </w:p>
    <w:p>
      <w:pPr>
        <w:spacing w:after="0" w:line="154"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securities purchasable upon exercise of such warrants;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exchange, transfer, or exercise their warrants at the warrant agent’s office or any other office indicated in the applicable prospectus supplement, information incorporate by reference or free writing prospectus.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 warrant will entitle the holder to purchase an amount of securities at an exercise price that will be stated in, or that will be determinable as described in, the applicable prospectus supplement or information incorporated by reference therein. Holders of warrants may exercise the warrants at any time up to the specified time on the expiration date set forth in the applicable prospectus supplement or information incorporated by reference therein. After the close of business on the expiration date, unexercised warrants will become void. Warrants may be redeemed as set forth in the applicable prospectus supplement or information incorporated by reference therein.</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Warrants may be exercised as set forth in the applicable prospectus supplement or information incorporated by reference therein. Upon receipt of payment and the warrant certificate properly completed and duly executed at the corporate trust office of the warrant agent or any other office indicated in the prospectus supplement or information incorporated by reference therein, we will forward, as soon as practicable, the securities purchasable upon such exercise. If less than all of the warrants represented by such warrant certificate are exercised, a new warrant certificate will be issued for the remaining warrants.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debt securities may be issued from time to time in one or more series and may include senior debt securities, subordinated debt securities, convertible debt securities and exchangeable debt securities. The particular terms of any series of debt securities and the extent to which the general provisions may apply to a particular series of debt securities will be described in the prospectus supplement relating to that series. When describing any debt securities, references to “we,” “us” and “our” refer to the issuer of those debt securities and not to any of its subsidiaries.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debt securities we offer will be issued under an indenture between us and the trustee named in the indenture. You should also read the indenture under which the debt securities are to be issued. We have filed a form of indenture governing different types of debt securities with the SEC as an exhibit to the registration statement of which this prospectus is a part. The following summary of the indenture does not purport to be complete and is subject to, and qualified in its entirety by reference to, all of the provisions of the indenture, including definitions therein of certain terms. A form of each debt security, reflecting the specific terms and provisions of that series of debt securities, will be filed with the SEC in connection with each offering and will be incorporated by reference in the registration statement of which this prospectus forms a part. You may obtain a copy of the indenture and any form of debt security that has been filed in the manner described under “Where You Can Find More Information.”</w:t>
      </w:r>
    </w:p>
    <w:p>
      <w:pPr>
        <w:spacing w:after="0" w:line="16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a comprehensive description of any series of debt securities being offered to you pursuant to this prospectus, you should read this prospectus and the applicable prospectus supplement, indenture (including any amendments or supplements we may enter into from time to time that are permitted under the debt securities or indenture) and form of debt security.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indenture does not limit the amount of debt securities that we may issue. The indenture does provide that we may issue debt securities up to the principal amount that we may authorize, which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relating to a particular series of debt securities will describe the terms of the debt securities offered by that prospectus supplement and by this prospectus, including the following:</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and authorized denominations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that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guarantors, if any, of our obligations under the debt securities;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the currency or currencies in which, and other terms and conditions upon which those debt securities may be redeemed, in whole or in part, at our option or the option of a holder of those securities, if we or a holder is to have that option;</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and any guarantees thereof will be subordinate in right and priority of payment to our other debt;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those debt securities will be issued in fully registered form without coupons or in a form registered as to principal only with coupons or in bearer form with coupons;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United States dollars, the currency or currencies in which payment of principal of or any premium or interest on those debt securities will be payable;</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covenants relating to the debt securities that are in addition to, modify or delete those described in this prospectus, including the merger, consolidation and sale covenant;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events of default relating to the debt securities that are in addition to, modify or delete those described in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Transfer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applicable prospectus supplement, each series of debt securities will be issued in registered form only, without coupons, and such registered securities will be issued in denominations of $1,000 or any integral multiple thereof.</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indicated in the applicable prospectus supplement, we will pay interest on the debt securities to the persons who are their registered holders at the close of business on a certain date preceding the respective interest payment date. We will not be required to register the transfer or exchange of debt securities of any series during a period beginning 15 days before the mailing of a notice of redemption of or an offer to repurchase debt securities of that series or 15 days before an interest payment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common stock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indenture generally permits a consolidation or merger between us and another entity, and another corporation, if the surviving corporation meets certain limitations and conditions. Subject to these conditions, the indenture also permits the sale or transfer by us of all or substantially all of our property and assets. If this happens, the remaining or acquiring corporation shall assume all of our responsibilities and liabilities under the indenture including the payment of all amounts due on the debt securities and performance of the covenants in the indenture.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only permitted to consolidate or merge with or into any other corporation or sell all or substantially all of our assets according to the terms and conditions of the indenture, as indicated in the applicable prospectus supplement. The remaining or acquiring corporation will be substituted for us in the indenture with the same effect as if it had been an original party to the indenture. Thereafter, the successor corporation may exercise our rights and powers under any indenture, in our name or in its own name.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and Repurchase</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debt securities may be redeemable at our option, may be subject to mandatory redemption pursuant to a sinking fund or otherwise, or may be subject to repurchase by us at the option of the holders, in each case upon the terms, at the times and at the prices set forth in the applicable prospectus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interest for 90 days after the date payment is due and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other covenants for 90 days after notice of such default or breach and request for it to be remedied;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the holders of a majority in principal amount of the outstanding debt securities of any series may, on behalf of holders of all those debt securities, waive any past default and consequences of such default.</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costs, expenses and liabilities that may be incurred by bringing the action;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has not instituted the action within 90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denominated in the currency of the debt securities, as trust funds, in an amount certified to be enough to pay when due, whether at maturity, upon redemption or otherwise, the principal of, and any premium and interest on, the debt securities and any mandatory sinking fund payments.</w:t>
      </w:r>
    </w:p>
    <w:p>
      <w:pPr>
        <w:spacing w:after="0" w:line="17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Unless otherwise provided in the applicable prospectus supplement, we may also discharge certain of our obligations to holders of any series of debt securities at any time, which we refer to as defeasance. We may also be released from the obligations imposed by certain covenants of outstanding series of debt securities and provisions of the indenture, and we may omit to comply with those covenants without creating an event of default under the indenture, which we refer to as covenant defeasance. We may effect defeasance and covenant defeasance only if, among other things, we irrevocably deposit with the trustee cash or government obligations denominated in the currency of the debt securities, as trust funds, in an amount certified by a nationally recognized firm of independent certified accountants to be enough to pay at maturity, or upon redemption, the principal (including any mandatory sinking fund payments) of, and any premium and interest on, all outstanding debt securities of the series.</w:t>
      </w:r>
    </w:p>
    <w:p>
      <w:pPr>
        <w:spacing w:after="0" w:line="16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Although we may discharge or decrease our obligations under the indenture as described in the preceding paragraphs, we may not discharge certain enumerated obligations, including but not limited to,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 and Waivers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securities;</w:t>
      </w:r>
    </w:p>
    <w:p>
      <w:pPr>
        <w:spacing w:after="0" w:line="130" w:lineRule="exact"/>
        <w:rPr>
          <w:rFonts w:ascii="Arial" w:cs="Arial" w:eastAsia="Arial" w:hAnsi="Arial"/>
          <w:sz w:val="18"/>
          <w:szCs w:val="18"/>
          <w:color w:val="auto"/>
        </w:rPr>
      </w:pPr>
    </w:p>
    <w:p>
      <w:pPr>
        <w:ind w:left="1080" w:right="100" w:hanging="424"/>
        <w:spacing w:after="0" w:line="275"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 to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indenture conferred upon us;</w:t>
      </w:r>
    </w:p>
    <w:p>
      <w:pPr>
        <w:spacing w:after="0" w:line="81" w:lineRule="exact"/>
        <w:rPr>
          <w:rFonts w:ascii="Arial" w:cs="Arial" w:eastAsia="Arial" w:hAnsi="Arial"/>
          <w:sz w:val="17"/>
          <w:szCs w:val="17"/>
          <w:color w:val="auto"/>
        </w:rPr>
      </w:pPr>
    </w:p>
    <w:p>
      <w:pPr>
        <w:ind w:left="1080" w:right="9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of any debt securities in any material respect;</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the issuance of and establish the form and terms and conditions of the debt securities of any series as provided in the indenture, to establish the form of any certifications required to be furnished pursuant to the terms of the indenture or any series of debt securities, or to add to the rights of the holders of any series of debt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by a successor trustee; and comply with any requirements of the SEC in connection with the qualification of the indenture under the Trust Indenture Act of 1939, as amended (the “Trust Indenture Act”).</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Any provision of the indenture shall automatically be deemed to have been modified, eliminated or added to the extent required to be made as a result of an amendment to the Trust Indenture Act.</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 the fixed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principal amount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any premium payable upon redemption of any debt security; or</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trustee, may on behalf of the holders of the debt securities of that series waive any default and its consequences under the indenture except:</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or interest on any such debt security;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depositary or nominee for a depositary identified in the applicable prospectus supplement. Global debt securities may be issued in either registered or bearer form and in either temporary or permanent form. Unless and until it is exchanged in whole or in part for individual certificates evidencing debt securities, a global debt security may not be transferred except as a whole:</w:t>
      </w:r>
    </w:p>
    <w:p>
      <w:pPr>
        <w:spacing w:after="0" w:line="77"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the depository to a nominee of such depository;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a nominee of such depository to such depository or another nominee of such depository;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such depository, or any such nominee to a successor of such depository, or a nominee of such successor.</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specific terms of the depository arrangement with respect to a series of global debt securities and certain limitations and restrictions relating to a series of global bearer securities will be described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indenture provides that in the event that the trustee resigns or is removed with respect to less than all series of debt securities outstanding under the indenture, there may be more than one trustee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indenture. If there are different trustees for different series of debt securities under the indenture, each such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trustee may engage in other transactions with us. If the trustee acquires any conflicting interest relating to any duties concerning the debt securities, however, the trustee must eliminate the conflict or resign as trustee.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is, and any debt securities will be, governed by, and construed in accordance with, the laws of the State of New York.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18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76" w:lineRule="exact"/>
        <w:rPr>
          <w:sz w:val="20"/>
          <w:szCs w:val="20"/>
          <w:color w:val="auto"/>
        </w:rPr>
      </w:pPr>
    </w:p>
    <w:p>
      <w:pPr>
        <w:ind w:left="1080" w:right="30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will be issued as part of a unit and, if so, the other securities comprising the unit;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Material U.S. federal income tax consideration applicable to the purchase contracts will also be discussed in the applicable prospectus supplement. 19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rights to purchase common stock, preferred stock, depositary shares, debt securities or warrants that we may offer to our security 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54"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number of shares of common stock, preferred stock, depositary shares, debt securities or warrants purchasable upon exercise of the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debt securities, purchase contracts, and/or warrants offered by any prospectus supplement, and may be attached to or separate from those securities.</w:t>
      </w:r>
    </w:p>
    <w:p>
      <w:pPr>
        <w:spacing w:after="0" w:line="18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may issue units consisting of common stock, preferred stock, depositary shares, debt securities, warrants, purchase contracts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131" w:lineRule="exact"/>
        <w:rPr>
          <w:sz w:val="20"/>
          <w:szCs w:val="20"/>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provisions described in this section, as well as those described under “Description of Common Stock,” “Description of Preferred Stock,” “Description of Depositary Shares,” “Description of Debt Securities,” “Description of Warrants,” “Description of Purchase Contracts” and “Description of Units” will apply to each unit and to any common stock, preferred stock, depositary share or warrant included in each unit, respectively.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jc w:val="both"/>
        <w:ind w:left="120" w:right="260" w:firstLine="440"/>
        <w:spacing w:after="0" w:line="342"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one or more underwriters or dealers for resale to the public or to investors;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to or through a market maker or into an existing trading market, or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investors in privately negotiated transactions;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a prospectus supplement the terms of the offering of our securities,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our securities being offered and the proceeds we will receive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agency fees or underwriting discounts and commissions and other items constituting agents’ or underwriters’ compensation;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exchanges on which such common stock may be listed.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92"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w:t>
      </w:r>
    </w:p>
    <w:p>
      <w:pPr>
        <w:spacing w:after="0" w:line="2"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The underwriters will be obligated to purchase all the securities offered if they purchase any of the securities offered. We may change from time to time any initial public offering price and any discounts or concessions the underwriters allow or reallow or pay to dealers. We may use underwriters with whom we have a material relationship. We will describe in the prospectus supplement naming the underwriters the nature of any such relationship.</w:t>
      </w:r>
    </w:p>
    <w:p>
      <w:pPr>
        <w:spacing w:after="0" w:line="15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Unless otherwise specified in the applicable prospectus supplement, each class or series of securities will be a new issue with no established trading market, other than our common stock, which is traded on the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if any,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8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Nasdaq Global Select Market or otherwise and, if commenced, may be discontinued at any time.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consolidated financial statements of Destination XL Group, Inc. as of February 1, 2020 and February 2, 2019 and for each of the years in the three-year period ending February 1, 2020, and management’s assessment of the effectiveness of internal control over financial reporting as of February 1, 2020,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covering the February 1, 2020 consolidated financial statements refers to a change in the method of accounting for leases as of February 3, 2019 due to the adoption of Accounting Standards Update 2016-12, Leases (Topic 842) and Accounting Standards Update 2018-11, Leases (Topic 842): Targeted Improvements.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8"/>
          <w:szCs w:val="18"/>
          <w:i w:val="1"/>
          <w:iCs w:val="1"/>
          <w:color w:val="auto"/>
        </w:rPr>
        <w:t>https://investor.dxl.com/investor-relations.</w:t>
      </w:r>
      <w:r>
        <w:rPr>
          <w:rFonts w:ascii="Arial" w:cs="Arial" w:eastAsia="Arial" w:hAnsi="Arial"/>
          <w:sz w:val="18"/>
          <w:szCs w:val="18"/>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5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3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fiscal year ended February 1, 2020, as amended by the </w:t>
      </w:r>
      <w:hyperlink r:id="rId36">
        <w:r>
          <w:rPr>
            <w:rFonts w:ascii="Arial" w:cs="Arial" w:eastAsia="Arial" w:hAnsi="Arial"/>
            <w:sz w:val="17"/>
            <w:szCs w:val="17"/>
            <w:u w:val="single" w:color="auto"/>
            <w:color w:val="0000EE"/>
          </w:rPr>
          <w:t>Form 10-K/A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June 1, 2020;</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May 2, 2020;</w:t>
      </w:r>
    </w:p>
    <w:p>
      <w:pPr>
        <w:spacing w:after="0" w:line="158"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41">
        <w:r>
          <w:rPr>
            <w:rFonts w:ascii="Arial" w:cs="Arial" w:eastAsia="Arial" w:hAnsi="Arial"/>
            <w:sz w:val="17"/>
            <w:szCs w:val="17"/>
            <w:u w:val="single" w:color="auto"/>
            <w:color w:val="0000EE"/>
          </w:rPr>
          <w:t>February 14, 2020</w:t>
        </w:r>
      </w:hyperlink>
      <w:r>
        <w:rPr>
          <w:rFonts w:ascii="Arial" w:cs="Arial" w:eastAsia="Arial" w:hAnsi="Arial"/>
          <w:sz w:val="17"/>
          <w:szCs w:val="17"/>
          <w:color w:val="auto"/>
        </w:rPr>
        <w:t xml:space="preserve">, </w:t>
      </w:r>
      <w:hyperlink r:id="rId86">
        <w:r>
          <w:rPr>
            <w:rFonts w:ascii="Arial" w:cs="Arial" w:eastAsia="Arial" w:hAnsi="Arial"/>
            <w:sz w:val="17"/>
            <w:szCs w:val="17"/>
            <w:u w:val="single" w:color="auto"/>
            <w:color w:val="0000EE"/>
          </w:rPr>
          <w:t>March 23, 2020</w:t>
        </w:r>
      </w:hyperlink>
      <w:r>
        <w:rPr>
          <w:rFonts w:ascii="Arial" w:cs="Arial" w:eastAsia="Arial" w:hAnsi="Arial"/>
          <w:sz w:val="17"/>
          <w:szCs w:val="17"/>
          <w:color w:val="auto"/>
        </w:rPr>
        <w:t xml:space="preserve">, </w:t>
      </w:r>
      <w:hyperlink r:id="rId87">
        <w:r>
          <w:rPr>
            <w:rFonts w:ascii="Arial" w:cs="Arial" w:eastAsia="Arial" w:hAnsi="Arial"/>
            <w:sz w:val="17"/>
            <w:szCs w:val="17"/>
            <w:u w:val="single" w:color="auto"/>
            <w:color w:val="0000EE"/>
          </w:rPr>
          <w:t>March 30,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88">
        <w:r>
          <w:rPr>
            <w:rFonts w:ascii="Arial" w:cs="Arial" w:eastAsia="Arial" w:hAnsi="Arial"/>
            <w:sz w:val="17"/>
            <w:szCs w:val="17"/>
            <w:u w:val="single" w:color="auto"/>
            <w:color w:val="0000EE"/>
          </w:rPr>
          <w:t>April 16, 2020</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May 27, 1987, and any amendments or reports filed for the purpose of updating that description.</w:t>
      </w:r>
    </w:p>
    <w:p>
      <w:pPr>
        <w:spacing w:after="0" w:line="170" w:lineRule="exact"/>
        <w:rPr>
          <w:rFonts w:ascii="Arial" w:cs="Arial" w:eastAsia="Arial" w:hAnsi="Arial"/>
          <w:sz w:val="17"/>
          <w:szCs w:val="17"/>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we also incorporate by reference all documents and reports which we file pursuant to Section 13(a), 13(c), 14 or 15(d) of the Exchange Act (i) after the date of the initial registration statement and prior to the effectiveness of the registration statement and (ii) after the date of this prospectus and prior to the termination of the offering of the securities under this Registration Statement (except in each case for the information contained in such documents that is deemed to be “furnished” and not “filed”).</w:t>
      </w:r>
    </w:p>
    <w:p>
      <w:pPr>
        <w:spacing w:after="0" w:line="187" w:lineRule="exact"/>
        <w:rPr>
          <w:rFonts w:ascii="Arial" w:cs="Arial" w:eastAsia="Arial" w:hAnsi="Arial"/>
          <w:sz w:val="17"/>
          <w:szCs w:val="17"/>
          <w:color w:val="auto"/>
        </w:rPr>
      </w:pPr>
    </w:p>
    <w:p>
      <w:pPr>
        <w:ind w:left="560"/>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225"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(781) 828-9300</w:t>
      </w:r>
    </w:p>
    <w:p>
      <w:pPr>
        <w:spacing w:after="0" w:line="211" w:lineRule="exact"/>
        <w:rPr>
          <w:rFonts w:ascii="Arial" w:cs="Arial" w:eastAsia="Arial" w:hAnsi="Arial"/>
          <w:sz w:val="17"/>
          <w:szCs w:val="17"/>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10"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11,111,111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340360</wp:posOffset>
            </wp:positionV>
            <wp:extent cx="1071245" cy="6254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10712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1299"/>
        <w:spacing w:after="0"/>
        <w:rPr>
          <w:sz w:val="20"/>
          <w:szCs w:val="20"/>
          <w:color w:val="auto"/>
        </w:rPr>
      </w:pPr>
      <w:r>
        <w:rPr>
          <w:rFonts w:ascii="Arial" w:cs="Arial" w:eastAsia="Arial" w:hAnsi="Arial"/>
          <w:sz w:val="43"/>
          <w:szCs w:val="43"/>
          <w:b w:val="1"/>
          <w:bCs w:val="1"/>
          <w:color w:val="auto"/>
        </w:rPr>
        <w:t>DESTINATION XL GROUP, INC.</w:t>
      </w: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1820545</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D.A. DAVIDSON &amp; CO.</w:t>
      </w: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jpe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jpe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35" Type="http://schemas.openxmlformats.org/officeDocument/2006/relationships/hyperlink" Target="http://www.sec.gov/Archives/edgar/data/813298/000156459020011796/dxlg-10k_20200201.htm" TargetMode="External"/><Relationship Id="rId36" Type="http://schemas.openxmlformats.org/officeDocument/2006/relationships/hyperlink" Target="http://www.sec.gov/Archives/edgar/data/813298/000156459020027797/dxlg-10ka_20200201.htm" TargetMode="External"/><Relationship Id="rId37" Type="http://schemas.openxmlformats.org/officeDocument/2006/relationships/hyperlink" Target="http://www.sec.gov/Archives/edgar/data/813298/000156459020031614/dxlg-def14a_20200812.htm" TargetMode="External"/><Relationship Id="rId38" Type="http://schemas.openxmlformats.org/officeDocument/2006/relationships/hyperlink" Target="http://www.sec.gov/Archives/edgar/data/813298/000156459020028350/dxlg-10q_20200502.htm" TargetMode="External"/><Relationship Id="rId39" Type="http://schemas.openxmlformats.org/officeDocument/2006/relationships/hyperlink" Target="http://www.sec.gov/ix?doc=/Archives/edgar/data/813298/000156459020041484/dxlg-10q_20200801.htm" TargetMode="External"/><Relationship Id="rId40" Type="http://schemas.openxmlformats.org/officeDocument/2006/relationships/hyperlink" Target="http://www.sec.gov/ix?doc=/Archives/edgar/data/813298/000156459020054750/dxlg-10q_20201031.htm" TargetMode="External"/><Relationship Id="rId41" Type="http://schemas.openxmlformats.org/officeDocument/2006/relationships/hyperlink" Target="http://www.sec.gov/Archives/edgar/data/813298/000156459020004694/dxlg-8k_20200213.htm" TargetMode="External"/><Relationship Id="rId42" Type="http://schemas.openxmlformats.org/officeDocument/2006/relationships/hyperlink" Target="http://www.sec.gov/Archives/edgar/data/813298/000156459020012217/dxlg-8k_20200320.htm" TargetMode="External"/><Relationship Id="rId43" Type="http://schemas.openxmlformats.org/officeDocument/2006/relationships/hyperlink" Target="http://www.sec.gov/Archives/edgar/data/813298/000156459020014091/dxlg-8k_20200327.htm" TargetMode="External"/><Relationship Id="rId44" Type="http://schemas.openxmlformats.org/officeDocument/2006/relationships/hyperlink" Target="http://www.sec.gov/Archives/edgar/data/813298/000156459020016963/dxlg-8k_20200409.htm" TargetMode="External"/><Relationship Id="rId45" Type="http://schemas.openxmlformats.org/officeDocument/2006/relationships/hyperlink" Target="http://www.sec.gov/Archives/edgar/data/813298/000156459020029187/dxlg-8k_20200610.htm" TargetMode="External"/><Relationship Id="rId46" Type="http://schemas.openxmlformats.org/officeDocument/2006/relationships/hyperlink" Target="http://www.sec.gov/Archives/edgar/data/813298/000156459020039839/dxlg-8k_20200812.htm" TargetMode="External"/><Relationship Id="rId47" Type="http://schemas.openxmlformats.org/officeDocument/2006/relationships/hyperlink" Target="http://www.sec.gov/ix?doc=/Archives/edgar/data/813298/000156459020042663/dxlg-8k_20200902.htm" TargetMode="External"/><Relationship Id="rId48" Type="http://schemas.openxmlformats.org/officeDocument/2006/relationships/hyperlink" Target="http://www.sec.gov/ix?doc=/Archives/edgar/data/813298/000156459020046665/dxlg-8k_20201013.htm" TargetMode="External"/><Relationship Id="rId49" Type="http://schemas.openxmlformats.org/officeDocument/2006/relationships/hyperlink" Target="http://www.sec.gov/ix?doc=/Archives/edgar/data/813298/000156459020049679/dxlg-8k_20201102.htm" TargetMode="External"/><Relationship Id="rId50" Type="http://schemas.openxmlformats.org/officeDocument/2006/relationships/hyperlink" Target="http://www.sec.gov/ix?doc=/Archives/edgar/data/813298/000156459020056081/dxlg-8k_20201127.htm" TargetMode="External"/><Relationship Id="rId51" Type="http://schemas.openxmlformats.org/officeDocument/2006/relationships/hyperlink" Target="http://www.sec.gov/ix?doc=/Archives/edgar/data/813298/000156459020056903/dxlg-8k_20201211.htm" TargetMode="External"/><Relationship Id="rId52" Type="http://schemas.openxmlformats.org/officeDocument/2006/relationships/hyperlink" Target="http://www.sec.gov/Archives/edgar/data/813298/000156459020011796/dxlg-ex41_59.htm" TargetMode="External"/><Relationship Id="rId86" Type="http://schemas.openxmlformats.org/officeDocument/2006/relationships/hyperlink" Target="http://www.sec.gov/Archives/edgar/data/0000813298/000156459020012217/dxlg-8k_20200320.htm" TargetMode="External"/><Relationship Id="rId87" Type="http://schemas.openxmlformats.org/officeDocument/2006/relationships/hyperlink" Target="http://www.sec.gov/Archives/edgar/data/0000813298/000156459020014091/dxlg-8k_20200327.htm" TargetMode="External"/><Relationship Id="rId88" Type="http://schemas.openxmlformats.org/officeDocument/2006/relationships/hyperlink" Target="http://www.sec.gov/Archives/edgar/data/0000813298/000156459020016963/dxlg-8k_202004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2021-02-05T16:41:51Z</dcterms:created>
  <dcterms:modified xsi:type="dcterms:W3CDTF">2021-02-05T16:41:51Z</dcterms:modified>
</cp:coreProperties>
</file>