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40" w:right="1560" w:hanging="3932"/>
        <w:spacing w:after="0" w:line="365" w:lineRule="auto"/>
        <w:tabs>
          <w:tab w:leader="none" w:pos="51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2, 2026</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00" w:right="1560" w:hanging="4192"/>
        <w:spacing w:after="0" w:line="412" w:lineRule="auto"/>
        <w:tabs>
          <w:tab w:leader="none" w:pos="51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1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12"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Canton,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02021</w:t>
      </w:r>
    </w:p>
    <w:p>
      <w:pPr>
        <w:spacing w:after="0" w:line="27" w:lineRule="exact"/>
        <w:rPr>
          <w:sz w:val="24"/>
          <w:szCs w:val="24"/>
          <w:color w:val="auto"/>
        </w:rPr>
      </w:pPr>
    </w:p>
    <w:p>
      <w:pPr>
        <w:sectPr>
          <w:pgSz w:w="11900" w:h="16838" w:orient="portrait"/>
          <w:cols w:equalWidth="0" w:num="2">
            <w:col w:w="7220" w:space="720"/>
            <w:col w:w="3300"/>
          </w:cols>
          <w:pgMar w:left="320" w:top="1388"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0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34"/>
        </w:trPr>
        <w:tc>
          <w:tcPr>
            <w:tcW w:w="140" w:type="dxa"/>
            <w:vAlign w:val="bottom"/>
            <w:tcBorders>
              <w:right w:val="single" w:sz="8" w:color="auto"/>
            </w:tcBorders>
          </w:tcPr>
          <w:p>
            <w:pPr>
              <w:spacing w:after="0"/>
              <w:rPr>
                <w:sz w:val="24"/>
                <w:szCs w:val="24"/>
                <w:color w:val="auto"/>
              </w:rPr>
            </w:pP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14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DXLG</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94" w:lineRule="exact"/>
        <w:rPr>
          <w:sz w:val="24"/>
          <w:szCs w:val="24"/>
          <w:color w:val="auto"/>
        </w:rPr>
      </w:pPr>
    </w:p>
    <w:p>
      <w:pPr>
        <w:jc w:val="both"/>
        <w:ind w:firstLine="599"/>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00" w:firstLine="599"/>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300" w:type="dxa"/>
        <w:tblCellMar>
          <w:top w:w="0" w:type="dxa"/>
          <w:left w:w="0" w:type="dxa"/>
          <w:bottom w:w="0" w:type="dxa"/>
          <w:right w:w="0" w:type="dxa"/>
        </w:tblCellMar>
      </w:tblP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178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8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9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spacing w:after="0"/>
              <w:rPr>
                <w:sz w:val="23"/>
                <w:szCs w:val="23"/>
                <w:color w:val="auto"/>
              </w:rPr>
            </w:pPr>
          </w:p>
        </w:tc>
        <w:tc>
          <w:tcPr>
            <w:tcW w:w="1780" w:type="dxa"/>
            <w:vAlign w:val="bottom"/>
          </w:tcPr>
          <w:p>
            <w:pPr>
              <w:spacing w:after="0"/>
              <w:rPr>
                <w:sz w:val="23"/>
                <w:szCs w:val="23"/>
                <w:color w:val="auto"/>
              </w:rPr>
            </w:pPr>
          </w:p>
        </w:tc>
      </w:tr>
    </w:tbl>
    <w:p>
      <w:pPr>
        <w:spacing w:after="0" w:line="8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4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15, 2026, the registrant had 55,273,092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May 2, 2026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January 31, 2026</w:t>
            </w:r>
          </w:p>
        </w:tc>
      </w:tr>
      <w:tr>
        <w:trPr>
          <w:trHeight w:val="171"/>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(Fiscal 2026)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2025)</w:t>
            </w:r>
          </w:p>
        </w:tc>
      </w:tr>
      <w:tr>
        <w:trPr>
          <w:trHeight w:val="142"/>
        </w:trPr>
        <w:tc>
          <w:tcPr>
            <w:tcW w:w="7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11,098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5,029</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1,861</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81,394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73,522</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108,847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110,966</w:t>
            </w: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58,301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60,010</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194,068</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366,120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366,947</w:t>
            </w: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30,064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22,941</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20,237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26,628</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35,881</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86,574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85,450</w:t>
            </w:r>
          </w:p>
        </w:tc>
      </w:tr>
      <w:tr>
        <w:trPr>
          <w:trHeight w:val="210"/>
        </w:trPr>
        <w:tc>
          <w:tcPr>
            <w:tcW w:w="75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176,810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173,346</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176,976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173,403</w:t>
            </w:r>
          </w:p>
        </w:tc>
      </w:tr>
      <w:tr>
        <w:trPr>
          <w:trHeight w:val="210"/>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125,000,000 shares authorized, 81,012,145 and 80,564,948 shares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at May 2, 2026 and January 31, 2026, respectively</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331,439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331,028</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25,908,533 shares at May 2, 2026 and January 31, 2026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(143,985)</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(85,694)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(79,755)</w:t>
            </w:r>
          </w:p>
        </w:tc>
      </w:tr>
      <w:tr>
        <w:trPr>
          <w:trHeight w:val="209"/>
        </w:trPr>
        <w:tc>
          <w:tcPr>
            <w:tcW w:w="7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108,094</w:t>
            </w:r>
          </w:p>
        </w:tc>
        <w:tc>
          <w:tcPr>
            <w:tcW w:w="100" w:type="dxa"/>
            <w:vAlign w:val="bottom"/>
            <w:tcBorders>
              <w:top w:val="single" w:sz="8" w:color="CFF0FC"/>
            </w:tcBorders>
          </w:tcPr>
          <w:p>
            <w:pPr>
              <w:spacing w:after="0"/>
              <w:rPr>
                <w:sz w:val="18"/>
                <w:szCs w:val="18"/>
                <w:color w:val="auto"/>
              </w:rPr>
            </w:pPr>
          </w:p>
        </w:tc>
      </w:tr>
      <w:tr>
        <w:trPr>
          <w:trHeight w:val="230"/>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366,120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366,947</w:t>
            </w: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-4645660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-3539490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40" w:type="dxa"/>
            <w:vAlign w:val="bottom"/>
            <w:gridSpan w:val="7"/>
          </w:tcPr>
          <w:p>
            <w:pPr>
              <w:jc w:val="right"/>
              <w:ind w:right="150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49"/>
        </w:trPr>
        <w:tc>
          <w:tcPr>
            <w:tcW w:w="5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May 2, 2026</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color w:val="auto"/>
              </w:rPr>
              <w:t>May 3, 2025</w:t>
            </w:r>
          </w:p>
        </w:tc>
      </w:tr>
      <w:tr>
        <w:trPr>
          <w:trHeight w:val="171"/>
        </w:trPr>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(Fiscal 2026)</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(Fiscal 2025)</w:t>
            </w:r>
          </w:p>
        </w:tc>
      </w:tr>
      <w:tr>
        <w:trPr>
          <w:trHeight w:val="142"/>
        </w:trPr>
        <w:tc>
          <w:tcPr>
            <w:tcW w:w="5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270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103,335</w:t>
            </w:r>
          </w:p>
        </w:tc>
        <w:tc>
          <w:tcPr>
            <w:tcW w:w="1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105,533</w:t>
            </w: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13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57,951</w:t>
            </w:r>
          </w:p>
        </w:tc>
        <w:tc>
          <w:tcPr>
            <w:tcW w:w="220" w:type="dxa"/>
            <w:vAlign w:val="bottom"/>
          </w:tcPr>
          <w:p>
            <w:pPr>
              <w:spacing w:after="0"/>
              <w:rPr>
                <w:sz w:val="18"/>
                <w:szCs w:val="18"/>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47,582</w:t>
            </w: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47,380</w:t>
            </w: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20" w:type="dxa"/>
            <w:vAlign w:val="bottom"/>
          </w:tcPr>
          <w:p>
            <w:pPr>
              <w:spacing w:after="0"/>
              <w:rPr>
                <w:sz w:val="18"/>
                <w:szCs w:val="18"/>
                <w:color w:val="auto"/>
              </w:rPr>
            </w:pPr>
          </w:p>
        </w:tc>
      </w:tr>
      <w:tr>
        <w:trPr>
          <w:trHeight w:val="209"/>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3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51,079</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loss</w:t>
            </w: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(5,939)</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(3,497)</w:t>
            </w:r>
          </w:p>
        </w:tc>
      </w:tr>
      <w:tr>
        <w:trPr>
          <w:trHeight w:val="216"/>
        </w:trPr>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3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(3,213)</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(1,274)</w:t>
            </w:r>
          </w:p>
        </w:tc>
      </w:tr>
      <w:tr>
        <w:trPr>
          <w:trHeight w:val="209"/>
        </w:trPr>
        <w:tc>
          <w:tcPr>
            <w:tcW w:w="5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700" w:type="dxa"/>
            <w:vAlign w:val="bottom"/>
            <w:gridSpan w:val="2"/>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(5,939)</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(1,939)</w:t>
            </w:r>
          </w:p>
        </w:tc>
      </w:tr>
      <w:tr>
        <w:trPr>
          <w:trHeight w:val="20"/>
        </w:trPr>
        <w:tc>
          <w:tcPr>
            <w:tcW w:w="5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70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4"/>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-2119630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-2119630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-1562735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-1562735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860" w:type="dxa"/>
            <w:vAlign w:val="bottom"/>
            <w:gridSpan w:val="5"/>
          </w:tcPr>
          <w:p>
            <w:pPr>
              <w:jc w:val="right"/>
              <w:ind w:right="60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color w:val="auto"/>
                <w:w w:val="95"/>
              </w:rPr>
              <w:t>Paid-in</w:t>
            </w:r>
          </w:p>
        </w:tc>
        <w:tc>
          <w:tcPr>
            <w:tcW w:w="2080" w:type="dxa"/>
            <w:vAlign w:val="bottom"/>
            <w:gridSpan w:val="6"/>
          </w:tcPr>
          <w:p>
            <w:pPr>
              <w:jc w:val="right"/>
              <w:ind w:right="78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January 31, 2026</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96"/>
              </w:rPr>
              <w:t>Amounts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color w:val="auto"/>
                <w:w w:val="95"/>
              </w:rPr>
              <w:t>Capital</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Amounts</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Deficit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80,564</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331,028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(143,985)</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(5,939)</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(5,939)</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May 2, 2026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81,012</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(25,909)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(85,694)</w:t>
            </w: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-141605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-141605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-141605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-141605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-141605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-141605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800" w:type="dxa"/>
            <w:vAlign w:val="bottom"/>
          </w:tcPr>
          <w:p>
            <w:pPr>
              <w:spacing w:after="0"/>
              <w:rPr>
                <w:sz w:val="11"/>
                <w:szCs w:val="11"/>
                <w:color w:val="auto"/>
              </w:rPr>
            </w:pPr>
          </w:p>
        </w:tc>
        <w:tc>
          <w:tcPr>
            <w:tcW w:w="1720" w:type="dxa"/>
            <w:vAlign w:val="bottom"/>
            <w:gridSpan w:val="5"/>
          </w:tcPr>
          <w:p>
            <w:pPr>
              <w:jc w:val="right"/>
              <w:ind w:right="381"/>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2080" w:type="dxa"/>
            <w:vAlign w:val="bottom"/>
            <w:gridSpan w:val="6"/>
          </w:tcPr>
          <w:p>
            <w:pPr>
              <w:jc w:val="right"/>
              <w:ind w:right="78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800" w:type="dxa"/>
            <w:vAlign w:val="bottom"/>
          </w:tcPr>
          <w:p>
            <w:pPr>
              <w:spacing w:after="0"/>
              <w:rPr>
                <w:sz w:val="13"/>
                <w:szCs w:val="13"/>
                <w:color w:val="auto"/>
              </w:rPr>
            </w:pPr>
          </w:p>
        </w:tc>
        <w:tc>
          <w:tcPr>
            <w:tcW w:w="7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color w:val="auto"/>
              </w:rPr>
              <w:t>Capital</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color w:val="auto"/>
              </w:rPr>
              <w:t>Amounts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color w:val="auto"/>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3"/>
                <w:szCs w:val="13"/>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February 1,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79,403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328,261</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(43,847)</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141,223</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FF0FC"/>
          </w:tcPr>
          <w:p>
            <w:pPr>
              <w:spacing w:after="0"/>
              <w:rPr>
                <w:sz w:val="17"/>
                <w:szCs w:val="17"/>
                <w:color w:val="auto"/>
              </w:rPr>
            </w:pPr>
          </w:p>
        </w:tc>
      </w:tr>
      <w:tr>
        <w:trPr>
          <w:trHeight w:val="189"/>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 (RSUs) granted for achievement</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performance-based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 reclassified from liability to equity</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r>
      <w:tr>
        <w:trPr>
          <w:trHeight w:val="206"/>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(1,939)</w:t>
            </w:r>
          </w:p>
        </w:tc>
      </w:tr>
      <w:tr>
        <w:trPr>
          <w:trHeight w:val="20"/>
        </w:trPr>
        <w:tc>
          <w:tcPr>
            <w:tcW w:w="3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May 3,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79,635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329,684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(45,786)</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140,709</w:t>
            </w:r>
          </w:p>
        </w:tc>
        <w:tc>
          <w:tcPr>
            <w:tcW w:w="100" w:type="dxa"/>
            <w:vAlign w:val="bottom"/>
            <w:shd w:val="clear" w:color="auto" w:fill="CFF0FC"/>
          </w:tcPr>
          <w:p>
            <w:pPr>
              <w:spacing w:after="0"/>
              <w:rPr>
                <w:sz w:val="17"/>
                <w:szCs w:val="17"/>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May 2, 2026</w:t>
            </w:r>
          </w:p>
        </w:tc>
        <w:tc>
          <w:tcPr>
            <w:tcW w:w="200" w:type="dxa"/>
            <w:vAlign w:val="bottom"/>
          </w:tcPr>
          <w:p>
            <w:pPr>
              <w:spacing w:after="0"/>
              <w:rPr>
                <w:sz w:val="13"/>
                <w:szCs w:val="13"/>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May 3, 2025</w:t>
            </w:r>
          </w:p>
        </w:tc>
      </w:tr>
      <w:tr>
        <w:trPr>
          <w:trHeight w:val="17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(Fiscal 2026)</w:t>
            </w:r>
          </w:p>
        </w:tc>
        <w:tc>
          <w:tcPr>
            <w:tcW w:w="20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2025)</w:t>
            </w:r>
          </w:p>
        </w:tc>
      </w:tr>
      <w:tr>
        <w:trPr>
          <w:trHeight w:val="20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(5,939)</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(1,939)</w:t>
            </w: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for) operating activities: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and writeoff of deferred debt issuance costs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taxes, net of valuation allowance</w:t>
            </w:r>
          </w:p>
        </w:tc>
        <w:tc>
          <w:tcPr>
            <w:tcW w:w="22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(1,162)</w:t>
            </w:r>
          </w:p>
        </w:tc>
      </w:tr>
      <w:tr>
        <w:trPr>
          <w:trHeight w:val="216"/>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FF0FC"/>
          </w:tcPr>
          <w:p>
            <w:pPr>
              <w:spacing w:after="0"/>
              <w:rPr>
                <w:sz w:val="18"/>
                <w:szCs w:val="18"/>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Board of directors' stock compensation</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(7,872)</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(9,976)</w:t>
            </w: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(2,756)</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(2,644)</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6,473</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leases, net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(297)</w:t>
            </w: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(4,711)</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(7,403)</w:t>
            </w:r>
          </w:p>
        </w:tc>
      </w:tr>
      <w:tr>
        <w:trPr>
          <w:trHeight w:val="20"/>
        </w:trPr>
        <w:tc>
          <w:tcPr>
            <w:tcW w:w="80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used for operating activities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(8,821)</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(12,030)</w:t>
            </w:r>
          </w:p>
        </w:tc>
      </w:tr>
      <w:tr>
        <w:trPr>
          <w:trHeight w:val="196"/>
        </w:trPr>
        <w:tc>
          <w:tcPr>
            <w:tcW w:w="80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net</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(3,830)</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(6,740)</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22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(3,003)</w:t>
            </w:r>
          </w:p>
        </w:tc>
      </w:tr>
      <w:tr>
        <w:trPr>
          <w:trHeight w:val="203"/>
        </w:trPr>
        <w:tc>
          <w:tcPr>
            <w:tcW w:w="80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(3,830)</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00" w:type="dxa"/>
            <w:vAlign w:val="bottom"/>
          </w:tcPr>
          <w:p>
            <w:pPr>
              <w:spacing w:after="0"/>
              <w:rPr>
                <w:sz w:val="17"/>
                <w:szCs w:val="17"/>
                <w:color w:val="auto"/>
              </w:rPr>
            </w:pPr>
          </w:p>
        </w:tc>
      </w:tr>
      <w:tr>
        <w:trPr>
          <w:trHeight w:val="196"/>
        </w:trPr>
        <w:tc>
          <w:tcPr>
            <w:tcW w:w="80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Tax withholdings paid related to net share settlements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8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w:t>
            </w:r>
          </w:p>
        </w:tc>
      </w:tr>
      <w:tr>
        <w:trPr>
          <w:trHeight w:val="20"/>
        </w:trPr>
        <w:tc>
          <w:tcPr>
            <w:tcW w:w="80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(12,709)</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(3,819)</w:t>
            </w:r>
          </w:p>
        </w:tc>
      </w:tr>
      <w:tr>
        <w:trPr>
          <w:trHeight w:val="19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23,807</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11,901</w:t>
            </w:r>
          </w:p>
        </w:tc>
        <w:tc>
          <w:tcPr>
            <w:tcW w:w="100" w:type="dxa"/>
            <w:vAlign w:val="bottom"/>
          </w:tcPr>
          <w:p>
            <w:pPr>
              <w:spacing w:after="0"/>
              <w:rPr>
                <w:sz w:val="17"/>
                <w:szCs w:val="17"/>
                <w:color w:val="auto"/>
              </w:rPr>
            </w:pPr>
          </w:p>
        </w:tc>
      </w:tr>
      <w:tr>
        <w:trPr>
          <w:trHeight w:val="236"/>
        </w:trPr>
        <w:tc>
          <w:tcPr>
            <w:tcW w:w="8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8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paid (refunded) during the period for income taxes, net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Non-cash activity during the period: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-2922270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-2133600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-1336675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-796290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-779145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ind w:left="426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2026 included in the Company’s Annual Report on Form 10-K, which was filed with the Securities and Exchange Commission ("SEC") on March 19, 2026.</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fiscal year is a 52- or 53- week period ending on the Saturday closest to January 31. Fiscal 2026 and fiscal 2025 are both 52-week periods ending on January 30, 2027 and January 31,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comparability with the current period presentation, certain costs in the Consolidated Statement of Operations for the three months ended May 3, 2025 were reclassified from selling, general and administrative expenses to transaction-related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two operating segments: its stores and its direct business. The Company considers its stores and direct business operating segments to be similar in terms of economic characteristics, production processes and operations, and has therefore aggregated them into one reportable segment consistent with its integrated commerce business approach. See Note 11, </w:t>
      </w:r>
      <w:r>
        <w:rPr>
          <w:rFonts w:ascii="Times New Roman" w:cs="Times New Roman" w:eastAsia="Times New Roman" w:hAnsi="Times New Roman"/>
          <w:sz w:val="18"/>
          <w:szCs w:val="18"/>
          <w:i w:val="1"/>
          <w:iCs w:val="1"/>
          <w:color w:val="auto"/>
        </w:rPr>
        <w:t>Segment Disclosures.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in banks and short-term investments, which have a maturity of 90 days or less when acquired. Included in cash equivalents are credit card and debit card receivables from banks, which generally settle within two to four business days.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Short-term investments consist of those investments that have a maturity date, when acquired, that is greater than three months and twelve months or less. </w:t>
      </w:r>
      <w:r>
        <w:rPr>
          <w:rFonts w:ascii="Times New Roman" w:cs="Times New Roman" w:eastAsia="Times New Roman" w:hAnsi="Times New Roman"/>
          <w:sz w:val="18"/>
          <w:szCs w:val="18"/>
          <w:color w:val="212121"/>
        </w:rPr>
        <w:t>These investments are classified as held-to-maturity and are carried at amortized cost, which approximates fair value due to the short period between purchase and maturity.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insurance limits. The Company considers the credit risk associated with these financial instruments to be minimal as cash and cash equivalents are held by financial institutions with high credit ratings and it has not historically sustained any credit losses associated with its cash and cash equivalents balances. In addition, the Company's cash and cash equivalents include money market accounts with Citizens Bank, N.A. and investments in U.S. government-backed securities held with Fidelity Investments.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 w:name="page8"/>
    <w:bookmarkEnd w:id="7"/>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requires disclosure of the fair value of certain financial instruments.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Disclosures</w:t>
      </w:r>
      <w:r>
        <w:rPr>
          <w:rFonts w:ascii="Times New Roman" w:cs="Times New Roman" w:eastAsia="Times New Roman" w:hAnsi="Times New Roman"/>
          <w:sz w:val="18"/>
          <w:szCs w:val="18"/>
          <w:color w:val="auto"/>
        </w:rPr>
        <w:t>, defines fair value, establishes a framework for measuring fair value and enhances disclosures about fair value measurements.</w:t>
      </w:r>
    </w:p>
    <w:p>
      <w:pPr>
        <w:spacing w:after="0" w:line="16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260" w:right="180"/>
        <w:spacing w:after="0" w:line="312" w:lineRule="auto"/>
        <w:rPr>
          <w:sz w:val="20"/>
          <w:szCs w:val="20"/>
          <w:color w:val="auto"/>
        </w:rPr>
      </w:pPr>
      <w:r>
        <w:rPr>
          <w:rFonts w:ascii="Times New Roman" w:cs="Times New Roman" w:eastAsia="Times New Roman" w:hAnsi="Times New Roman"/>
          <w:sz w:val="17"/>
          <w:szCs w:val="17"/>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accounts receivable, accounts payable and accrued expenses approximate fair value because of the short maturity of these instruments. See Note 9,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information regarding the fair value of certain financial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grants of stock options in the first three months of fiscal 2026 and fiscal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the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excluding rental payments related to the respective store’s operating lease right-of-use ("ROU") asset. If the first step of the long-lived asset impairment test concludes that the carrying amount of the asset group, which includes any ROU asset, is not recoverable, the Company performs the second step of the long-lived asset impairment test by comparing the fair value of the asset group to its carrying amount and recognizing an impairment charge for the amount by which the carrying amount exceeds the fair value. The amount of impairment, if any, is measured based on projected discounted future cash flows using a discount rate reflecting the Company’s average cost of funds and is limited to the amount by which the asset group’s carrying value exceeds the fair value of its individual assets. The fair value of ROU assets is estimated using an income approach based on management’s forecast of future cash flows that could be derived based on the sublease market rent. With respect to the impairment charges taken on operating lease ROU assets, if the Company subsequently makes a decision to close previously impaired stores and a gain is realized as a result of the reevaluation of the existing lease liabilities, to the extent the gain related to previously recorded impairment charges against the ROU assets, the gain will be included as an offset to asset impairment charges originally recorded on that ROU asset, with the remainder included as a reduction in store occupancy costs.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impairments or non-cash gains recognized in the first three months of fiscal 2026 and fiscal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Advertising expense, which is included in selling, general and administrative expenses, was $6.7 million and $6.4 million for the first quarter of fiscal 2026 and fiscal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determines if an arrangement contains a lease at the inception of a contract.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the remaining future minimum lease payments; initial direct costs and any lease incentives are included in the value of those ROU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Topic 842, </w:t>
      </w:r>
      <w:r>
        <w:rPr>
          <w:rFonts w:ascii="Times New Roman" w:cs="Times New Roman" w:eastAsia="Times New Roman" w:hAnsi="Times New Roman"/>
          <w:sz w:val="18"/>
          <w:szCs w:val="18"/>
          <w:i w:val="1"/>
          <w:iCs w:val="1"/>
          <w:color w:val="auto"/>
        </w:rPr>
        <w:t>Lessors – Certain Leases with Variable Lease Payments</w:t>
      </w:r>
      <w:r>
        <w:rPr>
          <w:rFonts w:ascii="Times New Roman" w:cs="Times New Roman" w:eastAsia="Times New Roman" w:hAnsi="Times New Roman"/>
          <w:sz w:val="18"/>
          <w:szCs w:val="18"/>
          <w:color w:val="auto"/>
        </w:rPr>
        <w:t xml:space="preserve"> will not be applied to certain, if any, non-store leases, with a term of 12 months or less, recognizing those lease payments on a straight-line basis over the lease term. At May 2, 2026, the Company had no short-term leases.</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In the second quarter of fiscal 2025, the Company amended the lease agreement for its corporate headquarters and distribution center to extend the initial term for an additional period of seven years commencing on February 1, 2026 and ending on January 31, 2033. At the end of the extension term, the Company will have the option to further extend the term for three additional successive periods of five years each. The extension options were not considered reasonably certain at the time of the lease remeasurement.</w:t>
      </w:r>
    </w:p>
    <w:p>
      <w:pPr>
        <w:spacing w:after="0" w:line="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ROU asset and amortized as reductions to rent expense over the associated lease term.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22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ASU 2023-06, </w:t>
      </w:r>
      <w:r>
        <w:rPr>
          <w:rFonts w:ascii="Times New Roman" w:cs="Times New Roman" w:eastAsia="Times New Roman" w:hAnsi="Times New Roman"/>
          <w:sz w:val="18"/>
          <w:szCs w:val="18"/>
          <w:i w:val="1"/>
          <w:iCs w:val="1"/>
          <w:color w:val="auto"/>
        </w:rPr>
        <w:t>Disclosure Improvements: Codification Amendment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Response to the SEC</w:t>
      </w:r>
      <w:r>
        <w:rPr>
          <w:rFonts w:ascii="Times New Roman" w:cs="Times New Roman" w:eastAsia="Times New Roman" w:hAnsi="Times New Roman"/>
          <w:sz w:val="18"/>
          <w:szCs w:val="18"/>
          <w:i w:val="1"/>
          <w:iCs w:val="1"/>
          <w:color w:val="212121"/>
        </w:rPr>
        <w:t>’</w:t>
      </w:r>
      <w:r>
        <w:rPr>
          <w:rFonts w:ascii="Times New Roman" w:cs="Times New Roman" w:eastAsia="Times New Roman" w:hAnsi="Times New Roman"/>
          <w:sz w:val="18"/>
          <w:szCs w:val="18"/>
          <w:i w:val="1"/>
          <w:iCs w:val="1"/>
          <w:color w:val="auto"/>
        </w:rPr>
        <w:t xml:space="preserve">s Disclosure Update and Simplification Initiative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u w:val="single" w:color="auto"/>
          <w:color w:val="252525"/>
        </w:rPr>
        <w:t>ASU-2023-06”)</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52525"/>
        </w:rPr>
        <w:t>ASU-2023-06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incorporates several disclosure and presentation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 xml:space="preserve">requirements currently residing in SEC Regulations S-X and S-K. The amendments will be applied prospectively and will be effective when the SEC removes the related requirements from Regulations S-X or S-K. Any amendments the SEC does not remove by June 30, 2027 will not be effective. The </w:t>
      </w:r>
      <w:r>
        <w:rPr>
          <w:rFonts w:ascii="Times New Roman" w:cs="Times New Roman" w:eastAsia="Times New Roman" w:hAnsi="Times New Roman"/>
          <w:sz w:val="18"/>
          <w:szCs w:val="18"/>
          <w:color w:val="252525"/>
        </w:rPr>
        <w:t xml:space="preserve">ASU </w:t>
      </w:r>
      <w:r>
        <w:rPr>
          <w:rFonts w:ascii="Times New Roman" w:cs="Times New Roman" w:eastAsia="Times New Roman" w:hAnsi="Times New Roman"/>
          <w:sz w:val="18"/>
          <w:szCs w:val="18"/>
          <w:color w:val="212121"/>
        </w:rPr>
        <w:t>is not expected to have a material impact on the Company’s Consolidated Financial Statements or related disclosures because the Company is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212121"/>
        </w:rPr>
        <w:t>currently subject to the reporting requirements of Regulations S-X and S-K.</w:t>
      </w:r>
    </w:p>
    <w:p>
      <w:pPr>
        <w:spacing w:after="0" w:line="18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("ASU 2024-03"), which will require disclosure, in the notes to financial statements, of specified information about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expenses, including disclosure of amounts for (a) purchases of inventory, (b) employee compensation, (c) depreciation </w:t>
      </w:r>
      <w:r>
        <w:rPr>
          <w:rFonts w:ascii="Times New Roman" w:cs="Times New Roman" w:eastAsia="Times New Roman" w:hAnsi="Times New Roman"/>
          <w:sz w:val="18"/>
          <w:szCs w:val="18"/>
          <w:color w:val="212121"/>
        </w:rPr>
        <w:t>and (d) intangible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amortization, included in each relevant expense caption. I</w:t>
      </w:r>
      <w:r>
        <w:rPr>
          <w:rFonts w:ascii="Times New Roman" w:cs="Times New Roman" w:eastAsia="Times New Roman" w:hAnsi="Times New Roman"/>
          <w:sz w:val="18"/>
          <w:szCs w:val="18"/>
          <w:color w:val="000000"/>
        </w:rPr>
        <w:t>n January 2025, the FASB issued ASU 2025-01</w:t>
      </w:r>
      <w:r>
        <w:rPr>
          <w:rFonts w:ascii="Times New Roman" w:cs="Times New Roman" w:eastAsia="Times New Roman" w:hAnsi="Times New Roman"/>
          <w:sz w:val="18"/>
          <w:szCs w:val="18"/>
          <w:color w:val="1F1F1F"/>
        </w:rPr>
        <w: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000000"/>
        </w:rPr>
        <w:t>Income Statement - Reporting Comprehensive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000000"/>
        </w:rPr>
        <w:t xml:space="preserve">Income - Expense Disaggregation Disclosures (Subtopic 220-40): Clarifying the Effective Date </w:t>
      </w:r>
      <w:r>
        <w:rPr>
          <w:rFonts w:ascii="Times New Roman" w:cs="Times New Roman" w:eastAsia="Times New Roman" w:hAnsi="Times New Roman"/>
          <w:sz w:val="18"/>
          <w:szCs w:val="18"/>
          <w:color w:val="000000"/>
        </w:rPr>
        <w:t>(“ASU 2025-01”).</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121"/>
        </w:rPr>
        <w:t>ASU 2024-03, as clarified by ASU</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121"/>
        </w:rPr>
        <w:t>2025-01, will be effective for the Company's annual financial statements beginning in fiscal 2027 and interim periods beginning in fiscal 2028. The Company is currently evaluating the impact of this accounting standard on its financial statement presentation and related disclosures.</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There were no other new accounting pronouncements, issued or effective during the first three months of fiscal 2026, which had or are expected to have a significant impact on the Company’s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212121"/>
        </w:rPr>
        <w:t xml:space="preserve">The Company operates as a retailer of big + tall men’s clothing, which includes stores and direct. </w:t>
      </w:r>
      <w:r>
        <w:rPr>
          <w:rFonts w:ascii="Times New Roman" w:cs="Times New Roman" w:eastAsia="Times New Roman" w:hAnsi="Times New Roman"/>
          <w:sz w:val="18"/>
          <w:szCs w:val="18"/>
          <w:color w:val="000000"/>
        </w:rPr>
        <w:t>Revenue is recognized by the operating segment that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initiates a customer’s order. Store sales are defined as sales that originate and are fulfilled directly at the store level. Direct sales are defined as sales that originate online, including those initiated online at the store level, on its website or on third-party marketplaces. </w:t>
      </w:r>
      <w:r>
        <w:rPr>
          <w:rFonts w:ascii="Times New Roman" w:cs="Times New Roman" w:eastAsia="Times New Roman" w:hAnsi="Times New Roman"/>
          <w:sz w:val="18"/>
          <w:szCs w:val="18"/>
          <w:color w:val="212121"/>
        </w:rPr>
        <w:t>Generally, all revenues are recognized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when control of the promised goods is transferred to customers, in an amount that reflects the consideration in exchange for those goods. </w:t>
      </w:r>
      <w:r>
        <w:rPr>
          <w:rFonts w:ascii="Times New Roman" w:cs="Times New Roman" w:eastAsia="Times New Roman" w:hAnsi="Times New Roman"/>
          <w:sz w:val="18"/>
          <w:szCs w:val="18"/>
          <w:color w:val="000000"/>
        </w:rPr>
        <w:t>Sales tax</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collected from customers and remitted to taxing authorities is excluded from revenue and is included as part of accrued expenses on the Consolidated Balance Sheets.</w:t>
      </w:r>
    </w:p>
    <w:p>
      <w:pPr>
        <w:spacing w:after="0" w:line="7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$2.3 million and $3.1 million at May 2, 2026 and January 31, 2026, respectively.</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merchandise.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these loyalty points provide the customer with a material right and a distinct performance obligation with revenue deferred and recognized when the points are expected to be redeemed or expire. The cycle of earning and redeeming loyalty points is generally under one year in duration.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loyalty accrual, net of breakage, was $0.4 million at May 2, 2026 and $0.4 million at January 31, 2026.</w:t>
      </w:r>
    </w:p>
    <w:p>
      <w:pPr>
        <w:spacing w:after="0" w:line="11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15"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Company’s business consists of one reportable segment. Substantially all of the Company’s revenue is generated from its stores and direct businesses. Accordingly, the Company has determined that the following sales channels depict the nature, amount, timing, and uncertainty of how revenue and cash flows are affected by economic factors: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3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May 2, 2026</w:t>
            </w:r>
          </w:p>
        </w:tc>
        <w:tc>
          <w:tcPr>
            <w:tcW w:w="10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May 3, 2025</w:t>
            </w:r>
          </w:p>
        </w:tc>
        <w:tc>
          <w:tcPr>
            <w:tcW w:w="1300" w:type="dxa"/>
            <w:vAlign w:val="bottom"/>
            <w:tcBorders>
              <w:bottom w:val="single" w:sz="8" w:color="CFF0FC"/>
            </w:tcBorders>
            <w:shd w:val="clear" w:color="auto" w:fill="CFF0FC"/>
          </w:tcPr>
          <w:p>
            <w:pPr>
              <w:spacing w:after="0"/>
              <w:rPr>
                <w:sz w:val="18"/>
                <w:szCs w:val="18"/>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Store sales</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74,669</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72.3%</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76,471</w:t>
            </w: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i w:val="1"/>
                <w:iCs w:val="1"/>
                <w:color w:val="auto"/>
              </w:rPr>
              <w:t>72.5%</w:t>
            </w:r>
          </w:p>
        </w:tc>
      </w:tr>
      <w:tr>
        <w:trPr>
          <w:trHeight w:val="216"/>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sales</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04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27.7%</w:t>
            </w: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29,062</w:t>
            </w:r>
          </w:p>
        </w:tc>
        <w:tc>
          <w:tcPr>
            <w:tcW w:w="1300" w:type="dxa"/>
            <w:vAlign w:val="bottom"/>
            <w:tcBorders>
              <w:bottom w:val="single" w:sz="8" w:color="CFF0FC"/>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i w:val="1"/>
                <w:iCs w:val="1"/>
                <w:color w:val="auto"/>
              </w:rPr>
              <w:t>27.5%</w:t>
            </w: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103,335</w:t>
            </w:r>
          </w:p>
        </w:tc>
        <w:tc>
          <w:tcPr>
            <w:tcW w:w="10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105,533</w:t>
            </w:r>
          </w:p>
        </w:tc>
        <w:tc>
          <w:tcPr>
            <w:tcW w:w="13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-453390</wp:posOffset>
            </wp:positionV>
            <wp:extent cx="1968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-453390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-453390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-170815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Citizens Bank, N.A.</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has a revolving credit agreement with Citizens Bank, N.A., which was most recently amended in the third quarter of fiscal 2025 (as amended, the "Credit Facility"). The Credit Facility, which expires August 13, 2030, provides a revolving commitment of $100.0 million.</w:t>
      </w:r>
    </w:p>
    <w:p>
      <w:pPr>
        <w:spacing w:after="0" w:line="54"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The Credit Facility includes a sublimit of $20.0 million for commercial and standby letters of credit and a sublimit of up to $10.0 million for swing line loans. The Company’s ability to borrow under the Credit Facility is determined using an availability formula based on eligible assets.</w:t>
      </w:r>
    </w:p>
    <w:p>
      <w:pPr>
        <w:spacing w:after="0" w:line="54"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18"/>
          <w:szCs w:val="18"/>
          <w:color w:val="auto"/>
        </w:rPr>
        <w:t>Borrowings under the Credit Facility bear interest at either a Base Rate (as defined in the Credit Facility) or Daily Simple Secured Overnight Financing Rate (“SOFR”) rate, at the Company's option. Base Rate loans will bear interest at a rate equal to (i) the greater of: (a) the Prime Rate (as defined in the Credit Facility), (b) the Federal Funds (as defined in the Credit Facility) effective rate plus 0.50% per annum and (c) the Daily Simple SOFR rate plus</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w:t>
      </w:r>
    </w:p>
    <w:p>
      <w:pPr>
        <w:spacing w:after="0" w:line="1" w:lineRule="exact"/>
        <w:rPr>
          <w:sz w:val="20"/>
          <w:szCs w:val="20"/>
          <w:color w:val="auto"/>
        </w:rPr>
      </w:pPr>
    </w:p>
    <w:p>
      <w:pPr>
        <w:ind w:right="140" w:firstLine="8"/>
        <w:spacing w:after="0" w:line="255"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w:t>
      </w:r>
    </w:p>
    <w:p>
      <w:pPr>
        <w:spacing w:after="0" w:line="7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right="180"/>
        <w:spacing w:after="0" w:line="266" w:lineRule="auto"/>
        <w:rPr>
          <w:sz w:val="20"/>
          <w:szCs w:val="20"/>
          <w:color w:val="auto"/>
        </w:rPr>
      </w:pPr>
      <w:r>
        <w:rPr>
          <w:rFonts w:ascii="Times New Roman" w:cs="Times New Roman" w:eastAsia="Times New Roman" w:hAnsi="Times New Roman"/>
          <w:sz w:val="18"/>
          <w:szCs w:val="18"/>
          <w:color w:val="auto"/>
        </w:rPr>
        <w:t>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6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 May 2, 2026, the Company had no borrowings outstanding under the Credit Facility and unused availability was $70.0 million. The Company had no borrowings during the first three months of fiscal 2026, resulting in an average unused excess availability of approximately $73.6 million. Outstanding standby letters of credit were $3.6 million at May 2, 2026. At May 2, 2026, the Company’s prime-based interest rate was 7.00%.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2025, the Company extended the term of its corporate lease from February 1, 2026 to January 31, 2033, with the opportunity to extend for three additional consecutive periods of five years. In connection with the lease amendment to extend the term of the lease, the landlord provided the Company with an improvement allowance in an amount up to $4.7 million, which has been included as an offset to the ROU assets and will be amortized as a reduction to rent expense over the lease term.</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6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May 2, 2026, the Company’s operating leases liabilities represent the present value of the remaining future minimum lease payments updated based on concessions and lease modifications.</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three months ended May 2, 2026 and May 3, 2025, respectively:</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20" w:type="dxa"/>
            <w:vAlign w:val="bottom"/>
            <w:gridSpan w:val="7"/>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5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May 2, 2026</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May 3, 2025</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5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4"/>
                <w:szCs w:val="24"/>
                <w:color w:val="auto"/>
                <w:vertAlign w:val="superscript"/>
              </w:rPr>
              <w:t>(1)</w:t>
            </w: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00" w:type="dxa"/>
            <w:vAlign w:val="bottom"/>
          </w:tcPr>
          <w:p>
            <w:pPr>
              <w:spacing w:after="0"/>
              <w:rPr>
                <w:sz w:val="18"/>
                <w:szCs w:val="18"/>
                <w:color w:val="auto"/>
              </w:rPr>
            </w:pPr>
          </w:p>
        </w:tc>
      </w:tr>
      <w:tr>
        <w:trPr>
          <w:trHeight w:val="216"/>
        </w:trPr>
        <w:tc>
          <w:tcPr>
            <w:tcW w:w="59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Variable lease costs </w:t>
            </w:r>
            <w:r>
              <w:rPr>
                <w:rFonts w:ascii="Times New Roman" w:cs="Times New Roman" w:eastAsia="Times New Roman" w:hAnsi="Times New Roman"/>
                <w:sz w:val="24"/>
                <w:szCs w:val="24"/>
                <w:color w:val="auto"/>
                <w:vertAlign w:val="superscript"/>
              </w:rPr>
              <w:t>(2)</w:t>
            </w:r>
          </w:p>
        </w:tc>
        <w:tc>
          <w:tcPr>
            <w:tcW w:w="7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17,212</w:t>
            </w: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10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1020" w:right="220" w:hanging="503"/>
        <w:spacing w:after="0" w:line="258" w:lineRule="auto"/>
        <w:tabs>
          <w:tab w:leader="none" w:pos="1020" w:val="left"/>
        </w:tabs>
        <w:numPr>
          <w:ilvl w:val="0"/>
          <w:numId w:val="4"/>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color w:val="1F1F1F"/>
        </w:rPr>
        <w:t>During the first quarter of fiscal 2026, the l</w:t>
      </w:r>
      <w:r>
        <w:rPr>
          <w:rFonts w:ascii="Times New Roman" w:cs="Times New Roman" w:eastAsia="Times New Roman" w:hAnsi="Times New Roman"/>
          <w:sz w:val="18"/>
          <w:szCs w:val="18"/>
          <w:color w:val="000000"/>
        </w:rPr>
        <w:t>andlord for one of the Company's store locations exercised their right to terminate the lease</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color w:val="000000"/>
        </w:rPr>
        <w:t>agreement. As consideration for the landlord's right to terminate prior to the end of the lease term, the landlord paid the Company a termination fee of $1.4 million, which was recognized as a gain in accordance with ASC 842 and not included in the above operating lease cost for the first quarter of fiscal 2026. The gain from the early termination of the lease was recognized as an offset to cost of goods sold, including occupancy costs, on the Consolidated Statements of Operations for the first three months of fiscal 2026.</w:t>
      </w:r>
    </w:p>
    <w:p>
      <w:pPr>
        <w:spacing w:after="0" w:line="75" w:lineRule="exact"/>
        <w:rPr>
          <w:rFonts w:ascii="Times New Roman" w:cs="Times New Roman" w:eastAsia="Times New Roman" w:hAnsi="Times New Roman"/>
          <w:sz w:val="18"/>
          <w:szCs w:val="18"/>
          <w:color w:val="1F1F1F"/>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include the cost of property taxes, insurance and common area maintenance fees related to leases.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Supplemental cash flow and balance sheet information related to leases as of and for the first three months ended May 2, 2026 and May 3, 2025 was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0" w:type="dxa"/>
            <w:vAlign w:val="bottom"/>
            <w:gridSpan w:val="7"/>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For the Three Months Ended</w:t>
            </w:r>
          </w:p>
        </w:tc>
      </w:tr>
      <w:tr>
        <w:trPr>
          <w:trHeight w:val="176"/>
        </w:trPr>
        <w:tc>
          <w:tcPr>
            <w:tcW w:w="7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340"/>
              <w:spacing w:after="0" w:line="176" w:lineRule="exact"/>
              <w:rPr>
                <w:sz w:val="20"/>
                <w:szCs w:val="20"/>
                <w:color w:val="auto"/>
              </w:rPr>
            </w:pPr>
            <w:r>
              <w:rPr>
                <w:rFonts w:ascii="Times New Roman" w:cs="Times New Roman" w:eastAsia="Times New Roman" w:hAnsi="Times New Roman"/>
                <w:sz w:val="18"/>
                <w:szCs w:val="18"/>
                <w:color w:val="auto"/>
                <w:w w:val="96"/>
              </w:rPr>
              <w:t>May 2, 2026</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3"/>
          </w:tcPr>
          <w:p>
            <w:pPr>
              <w:jc w:val="right"/>
              <w:ind w:right="540"/>
              <w:spacing w:after="0" w:line="176" w:lineRule="exact"/>
              <w:rPr>
                <w:sz w:val="20"/>
                <w:szCs w:val="20"/>
                <w:color w:val="auto"/>
              </w:rPr>
            </w:pPr>
            <w:r>
              <w:rPr>
                <w:rFonts w:ascii="Times New Roman" w:cs="Times New Roman" w:eastAsia="Times New Roman" w:hAnsi="Times New Roman"/>
                <w:sz w:val="18"/>
                <w:szCs w:val="18"/>
                <w:color w:val="auto"/>
                <w:w w:val="98"/>
              </w:rPr>
              <w:t>May 3, 2025</w:t>
            </w:r>
          </w:p>
        </w:tc>
      </w:tr>
      <w:tr>
        <w:trPr>
          <w:trHeight w:val="20"/>
        </w:trPr>
        <w:tc>
          <w:tcPr>
            <w:tcW w:w="7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732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Operating cash flows for operating leases </w:t>
            </w:r>
            <w:r>
              <w:rPr>
                <w:rFonts w:ascii="Times New Roman" w:cs="Times New Roman" w:eastAsia="Times New Roman" w:hAnsi="Times New Roman"/>
                <w:sz w:val="24"/>
                <w:szCs w:val="24"/>
                <w:color w:val="auto"/>
                <w:vertAlign w:val="superscript"/>
              </w:rPr>
              <w:t>(1)</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14,123</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18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12,744</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180" w:type="dxa"/>
            <w:vAlign w:val="bottom"/>
            <w:shd w:val="clear" w:color="auto" w:fill="CFF0FC"/>
          </w:tcPr>
          <w:p>
            <w:pPr>
              <w:spacing w:after="0"/>
              <w:rPr>
                <w:sz w:val="18"/>
                <w:szCs w:val="18"/>
                <w:color w:val="auto"/>
              </w:rPr>
            </w:pPr>
          </w:p>
        </w:tc>
      </w:tr>
      <w:tr>
        <w:trPr>
          <w:trHeight w:val="216"/>
        </w:trPr>
        <w:tc>
          <w:tcPr>
            <w:tcW w:w="7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As of</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w w:val="96"/>
              </w:rPr>
              <w:t>May 2, 2026</w:t>
            </w:r>
          </w:p>
        </w:tc>
        <w:tc>
          <w:tcPr>
            <w:tcW w:w="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w w:val="98"/>
              </w:rPr>
              <w:t>May 3, 2025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 years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5.4 years</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6.55%</w:t>
            </w:r>
          </w:p>
        </w:tc>
        <w:tc>
          <w:tcPr>
            <w:tcW w:w="3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-282575</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-282575</wp:posOffset>
            </wp:positionV>
            <wp:extent cx="1117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paid for the first three months of fiscal 2026 and fiscal 2025 included prepaid rent of $4.7 million and $4.5 million, respectively. The cash paid for the three months of fiscal 2026 does not include the cash received of $1.4 million for the early lease termination, as discussed above.</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May 2,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34,829</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52,993</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45,702</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29,614</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257,651</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213,083</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Incentive Plans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long-term incentive plans are issued from the Company’s stockholder-approved 2016 Plan. See Note 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May 2, 2026, the Company had two LTIPs with active performance periods: the 2024-2026 LTIP and the 2025-2027 LTIP. While the performance period under the 2023-2025 LTIP was completed at the end of fiscal 2025, the remaining tranche of the time-based awards will not vest until April 1, 2027. The time-based awards under each LTIP were granted in a combination of 50% RSUs and 50% cash.</w:t>
      </w:r>
    </w:p>
    <w:p>
      <w:pPr>
        <w:spacing w:after="0" w:line="6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 xml:space="preserve">Performance targets for the 2024-2026 LTIP and the 2025-2027 LTIP were established and approved by the Compensation Committee with an effective date of April 1, 2024, and April 1, 2025, respectively. The performance period for each LTIP is three years. Awards for any achievement of performance targets will not be granted until the performance targets are achieved and then will be subject to an additional service requirement through August 31, 2027 and August 31, 2028, respectively. If the Company completes the Merger, as discussed in Note 12, </w:t>
      </w:r>
      <w:r>
        <w:rPr>
          <w:rFonts w:ascii="Times New Roman" w:cs="Times New Roman" w:eastAsia="Times New Roman" w:hAnsi="Times New Roman"/>
          <w:sz w:val="17"/>
          <w:szCs w:val="17"/>
          <w:i w:val="1"/>
          <w:iCs w:val="1"/>
          <w:color w:val="auto"/>
        </w:rPr>
        <w:t>Agreement and Plan of Merger</w:t>
      </w:r>
      <w:r>
        <w:rPr>
          <w:rFonts w:ascii="Times New Roman" w:cs="Times New Roman" w:eastAsia="Times New Roman" w:hAnsi="Times New Roman"/>
          <w:sz w:val="17"/>
          <w:szCs w:val="17"/>
          <w:color w:val="auto"/>
        </w:rPr>
        <w:t>, the performance-based awards would be cancelled and a payout equal to actual achievement, on a pro-rated basis, on the date of closing would be made to eligible participants.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480"/>
        <w:spacing w:after="0" w:line="261" w:lineRule="auto"/>
        <w:rPr>
          <w:sz w:val="20"/>
          <w:szCs w:val="20"/>
          <w:color w:val="auto"/>
        </w:rPr>
      </w:pPr>
      <w:r>
        <w:rPr>
          <w:rFonts w:ascii="Times New Roman" w:cs="Times New Roman" w:eastAsia="Times New Roman" w:hAnsi="Times New Roman"/>
          <w:sz w:val="18"/>
          <w:szCs w:val="18"/>
          <w:color w:val="auto"/>
        </w:rPr>
        <w:t>The time-based awards under the 2024-2026 LTIP and the 2025-2027 LTIP vest in four equal installments through April 1, 2028 and April 1, 2029, respectively. Assuming that the Company achieves the performance targets at target levels and all time-based awards vest, the compensation expense associated with the 2024-2026 LTIP and 2025-2027 LTIP is estimated to be approximately $4.9 million for each LTIP. Approximately half of the compensation expense for each LTIP relates to the time-based awards and is being expensed straight-line over 49 months.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2, 2026, there was no accrual for performance-based awards under either LTIP.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one active stock-based compensation plan: the Second Amended and Restated 2016 Incentive Compensation Plan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May 2, 2026, 21,270,538 shares were authorized under the 2016 Plan, of which 3,700,396 shares remained available for grant.</w:t>
      </w:r>
    </w:p>
    <w:p>
      <w:pPr>
        <w:spacing w:after="0" w:line="7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share activity and stock option activity for the first three months of fiscal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Deferred</w:t>
            </w:r>
          </w:p>
        </w:tc>
        <w:tc>
          <w:tcPr>
            <w:tcW w:w="220" w:type="dxa"/>
            <w:vAlign w:val="bottom"/>
          </w:tcPr>
          <w:p>
            <w:pPr>
              <w:spacing w:after="0"/>
              <w:rPr>
                <w:sz w:val="12"/>
                <w:szCs w:val="12"/>
                <w:color w:val="auto"/>
              </w:rPr>
            </w:pPr>
          </w:p>
        </w:tc>
        <w:tc>
          <w:tcPr>
            <w:tcW w:w="9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color w:val="auto"/>
              </w:rPr>
              <w:t>Performance</w:t>
            </w:r>
          </w:p>
        </w:tc>
        <w:tc>
          <w:tcPr>
            <w:tcW w:w="22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Fully-Vested</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Total Number</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780" w:type="dxa"/>
            <w:vAlign w:val="bottom"/>
          </w:tcPr>
          <w:p>
            <w:pPr>
              <w:jc w:val="right"/>
              <w:ind w:right="34"/>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220" w:type="dxa"/>
            <w:vAlign w:val="bottom"/>
          </w:tcPr>
          <w:p>
            <w:pPr>
              <w:spacing w:after="0"/>
              <w:rPr>
                <w:sz w:val="15"/>
                <w:szCs w:val="15"/>
                <w:color w:val="auto"/>
              </w:rPr>
            </w:pP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4"/>
                <w:szCs w:val="14"/>
                <w:color w:val="auto"/>
              </w:rPr>
              <w:t xml:space="preserve">Share Units </w:t>
            </w:r>
            <w:r>
              <w:rPr>
                <w:rFonts w:ascii="Times New Roman" w:cs="Times New Roman" w:eastAsia="Times New Roman" w:hAnsi="Times New Roman"/>
                <w:sz w:val="19"/>
                <w:szCs w:val="19"/>
                <w:color w:val="auto"/>
                <w:vertAlign w:val="superscript"/>
              </w:rPr>
              <w:t>(3)</w:t>
            </w:r>
          </w:p>
        </w:tc>
        <w:tc>
          <w:tcPr>
            <w:tcW w:w="220" w:type="dxa"/>
            <w:vAlign w:val="bottom"/>
          </w:tcPr>
          <w:p>
            <w:pPr>
              <w:spacing w:after="0"/>
              <w:rPr>
                <w:sz w:val="15"/>
                <w:szCs w:val="15"/>
                <w:color w:val="auto"/>
              </w:rPr>
            </w:pPr>
          </w:p>
        </w:tc>
        <w:tc>
          <w:tcPr>
            <w:tcW w:w="1140" w:type="dxa"/>
            <w:vAlign w:val="bottom"/>
            <w:gridSpan w:val="2"/>
          </w:tcPr>
          <w:p>
            <w:pPr>
              <w:jc w:val="right"/>
              <w:ind w:right="400"/>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of Shares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2,407,35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1,245,002</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2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granted</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53,074</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148,240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201,314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vested and/or issued</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(406,963)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(148,240)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(555,203)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expired</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forfeited</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4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2,045,89</w:t>
            </w:r>
          </w:p>
        </w:tc>
        <w:tc>
          <w:tcPr>
            <w:tcW w:w="2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Outstanding non-vested shares at end of quarter</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830,465</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642,431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1,472,89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 and expected to vest at end of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830,465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642,431</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net share settlements, of the 406,963 RSUs that vested, 293,100 shares of common stock were issued.</w:t>
      </w:r>
    </w:p>
    <w:p>
      <w:pPr>
        <w:spacing w:after="0" w:line="117"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53,074 shares of deferred stock, with a fair value of $36,250, represent director compensation in lieu of cash in accordance with the director's irrevocable election. The shares of deferred stock will be issued upon the earlier of the director's separation from service or a change in control.</w:t>
      </w:r>
    </w:p>
    <w:p>
      <w:pPr>
        <w:spacing w:after="0" w:line="67" w:lineRule="exact"/>
        <w:rPr>
          <w:rFonts w:ascii="Times New Roman" w:cs="Times New Roman" w:eastAsia="Times New Roman" w:hAnsi="Times New Roman"/>
          <w:sz w:val="18"/>
          <w:szCs w:val="18"/>
          <w:color w:val="auto"/>
        </w:rPr>
      </w:pPr>
    </w:p>
    <w:p>
      <w:pPr>
        <w:ind w:left="760" w:right="20" w:hanging="378"/>
        <w:spacing w:after="0" w:line="254"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2023, the Company granted 573,000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Any unvested PSUs will expire on August 11, 2026, or earlier if there is a separation of service in accordance with the terms of the agreement. The $2.4 million fair value was expensed over the respective derived service periods of each tranche which ranged from 12 to 13 months. The respective fair value and derived service periods assigned to the PSUs were determined using a Monte Carlo model based on a weighted historical volatility of 57.8%, a term of 3 years, stock price on the date of grant of $4.98 per share, a risk-free rate of 4.6% and a cost of equity of 11.0%.</w:t>
      </w:r>
    </w:p>
    <w:p>
      <w:pPr>
        <w:spacing w:after="0" w:line="80"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compensation, with a fair value of $101,248, to certain directors, who are required to receive shares in lieu of cash, in order to satisfy their minimum equity ownership under the Non-Employee Director Compensation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Number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Per Option</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Contractual Term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(000's)</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2,961,292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 options at end of quarter</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2,961,292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years</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2,961,292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years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Compensation Plan</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granted 5,856 shares of common stock, with a fair value of approximately $4,000, to certain of its non-employee directors as compensation in lieu of cash in the first three months of fiscal 2026.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Compensation Expense</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$0.3 million and $0.3 million for the first three months of fiscal 2026 and fiscal 2025, respectively. The total compensation cost related to awards not yet recognized as of May 2, 2026 was approximately $1.4 million, net of estimated forfeitures, which will be expensed over a weighted average remaining life of 28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and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3660" w:type="dxa"/>
            <w:vAlign w:val="bottom"/>
            <w:gridSpan w:val="4"/>
          </w:tcPr>
          <w:p>
            <w:pPr>
              <w:ind w:left="94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71"/>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1680" w:type="dxa"/>
            <w:vAlign w:val="bottom"/>
          </w:tcPr>
          <w:p>
            <w:pPr>
              <w:jc w:val="right"/>
              <w:ind w:right="397"/>
              <w:spacing w:after="0"/>
              <w:rPr>
                <w:sz w:val="20"/>
                <w:szCs w:val="20"/>
                <w:color w:val="auto"/>
              </w:rPr>
            </w:pPr>
            <w:r>
              <w:rPr>
                <w:rFonts w:ascii="Times New Roman" w:cs="Times New Roman" w:eastAsia="Times New Roman" w:hAnsi="Times New Roman"/>
                <w:sz w:val="14"/>
                <w:szCs w:val="14"/>
                <w:color w:val="auto"/>
              </w:rPr>
              <w:t>May 2, 2026</w:t>
            </w:r>
          </w:p>
        </w:tc>
        <w:tc>
          <w:tcPr>
            <w:tcW w:w="220" w:type="dxa"/>
            <w:vAlign w:val="bottom"/>
          </w:tcPr>
          <w:p>
            <w:pPr>
              <w:spacing w:after="0"/>
              <w:rPr>
                <w:sz w:val="14"/>
                <w:szCs w:val="14"/>
                <w:color w:val="auto"/>
              </w:rPr>
            </w:pPr>
          </w:p>
        </w:tc>
        <w:tc>
          <w:tcPr>
            <w:tcW w:w="1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May 3, 2025</w:t>
            </w:r>
          </w:p>
        </w:tc>
        <w:tc>
          <w:tcPr>
            <w:tcW w:w="0" w:type="dxa"/>
            <w:vAlign w:val="bottom"/>
          </w:tcPr>
          <w:p>
            <w:pPr>
              <w:spacing w:after="0"/>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Common stock equivalents – stock options, restricted stock units and deferred stock </w:t>
            </w:r>
            <w:r>
              <w:rPr>
                <w:rFonts w:ascii="Times New Roman" w:cs="Times New Roman" w:eastAsia="Times New Roman" w:hAnsi="Times New Roman"/>
                <w:sz w:val="24"/>
                <w:szCs w:val="24"/>
                <w:color w:val="auto"/>
                <w:vertAlign w:val="superscript"/>
              </w:rPr>
              <w:t>(1)</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-156845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ind w:left="760" w:right="680" w:hanging="3"/>
        <w:spacing w:after="0" w:line="282" w:lineRule="auto"/>
        <w:tabs>
          <w:tab w:leader="none" w:pos="10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equivalents of 0.7 million and 2.5 million for the first three months of fiscal 2026 and fiscal 2025, respectively, were excluded from the determination of diluted weighted average common shares outstanding due to the net loss reported in each period.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and restricted stock units had an anti-dilutive effect.</w:t>
      </w:r>
    </w:p>
    <w:p>
      <w:pPr>
        <w:spacing w:after="0" w:line="15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3780" w:type="dxa"/>
            <w:vAlign w:val="bottom"/>
            <w:gridSpan w:val="4"/>
          </w:tcPr>
          <w:p>
            <w:pPr>
              <w:ind w:left="10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71"/>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74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May 2, 2026</w:t>
            </w:r>
          </w:p>
        </w:tc>
        <w:tc>
          <w:tcPr>
            <w:tcW w:w="240" w:type="dxa"/>
            <w:vAlign w:val="bottom"/>
          </w:tcPr>
          <w:p>
            <w:pPr>
              <w:spacing w:after="0"/>
              <w:rPr>
                <w:sz w:val="14"/>
                <w:szCs w:val="14"/>
                <w:color w:val="auto"/>
              </w:rPr>
            </w:pPr>
          </w:p>
        </w:tc>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May 3, 2025</w:t>
            </w: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$0.64 - $6.59</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$1.85 - $6.59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at May 2, 2026, expire from September 11, 2026 to March 20, 2033.</w:t>
      </w:r>
    </w:p>
    <w:p>
      <w:pPr>
        <w:spacing w:after="0" w:line="11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for the first quarter of fiscal 2026 and fiscal 2025 were 573,000 performance stock units. These performance-based awards will be included in the computation of basic and diluted earnings per share if, and when, the respective performance targets are achieved. In addition, 642,431 shares and 493,327 shares of deferred stock at May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t>2, 2026 and May 3, 2025, respectively, were excluded from the computation of basic earnings per share. Shares of deferred stock are not considered issued and outstanding until the vesting date of the deferral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for interim periods is determined using an estimate of its annual effective tax rate, adjusted for discrete items, if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quarter, the Company updates its estimate of the annual effective </w:t>
      </w:r>
      <w:r>
        <w:rPr>
          <w:rFonts w:ascii="Times New Roman" w:cs="Times New Roman" w:eastAsia="Times New Roman" w:hAnsi="Times New Roman"/>
          <w:sz w:val="18"/>
          <w:szCs w:val="18"/>
          <w:color w:val="252525"/>
        </w:rPr>
        <w:t>tax rate</w:t>
      </w:r>
      <w:r>
        <w:rPr>
          <w:rFonts w:ascii="Times New Roman" w:cs="Times New Roman" w:eastAsia="Times New Roman" w:hAnsi="Times New Roman"/>
          <w:sz w:val="18"/>
          <w:szCs w:val="18"/>
          <w:color w:val="auto"/>
        </w:rPr>
        <w:t xml:space="preserve"> and makes a year-to-date adjustment to the provision.</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deferred tax assets primarily relate to federal and state net operating loss carryforwards. Realization of these assets depends on the generation of future taxable income. During the fourth quarter of fiscal 2025, the Company recorded a full valuation reserve against its net deferred assets. While the Company believed that profitability would return over the long term, the Company was forecasting operating losses in the near term. At May 2, 2026, management continues to conclude that the negative evidence outweighs available positive evidence regarding realizability of its deferred tax assets and that the full valuation allowance should remain against its net deferred tax assets.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first quarter of fiscal 2026, the Company’s effective tax rate was (1.1)% as compared to an effective tax rate of 39.7%, for the first quarter of fiscal 2025. Because of the full valuation allowance against the net deferred tax assets, the effective tax rate for the first quarter of fiscal 2026 primarily reflects a provision for state margin tax, based on gross receipts less certain deductions. The effective tax rate for the first three months of fiscal 2025 reflected the impact of permanent book-to-tax differences.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2, 2026 and January 31, 2026, the Company held U.S. treasury bills, which were classified as held-to-maturity and carried at amortized cost.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Active</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Markets for</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Carrying value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 (Level 3)</w:t>
            </w: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May 2, 2026:</w:t>
            </w: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40" w:type="dxa"/>
            <w:vAlign w:val="bottom"/>
          </w:tcPr>
          <w:p>
            <w:pPr>
              <w:spacing w:after="0"/>
              <w:rPr>
                <w:sz w:val="18"/>
                <w:szCs w:val="18"/>
                <w:color w:val="auto"/>
              </w:rPr>
            </w:pPr>
          </w:p>
        </w:tc>
        <w:tc>
          <w:tcPr>
            <w:tcW w:w="158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January 31, 2026:</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40" w:type="dxa"/>
            <w:vAlign w:val="bottom"/>
          </w:tcPr>
          <w:p>
            <w:pPr>
              <w:spacing w:after="0"/>
              <w:rPr>
                <w:sz w:val="18"/>
                <w:szCs w:val="18"/>
                <w:color w:val="auto"/>
              </w:rPr>
            </w:pPr>
          </w:p>
        </w:tc>
        <w:tc>
          <w:tcPr>
            <w:tcW w:w="158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20, 2026, the U.S. Supreme Court ruled that certain tariffs imposed by the current administration under the International Emergency Economic Powers Act were unlawful. Following this ruling, the U.S. Court of International Trade directed U.S. Customs and Border Protection ("CBP") to establish a process for the submission and review of refund claims related to affected tariffs.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April 2026, CBP launched an online portal through which companies may submit refund requests. During the first quarter of fiscal 2026, the Company submitted a claim seeking a refund of approximately $4.0 million related to tariffs previously paid. The claim is subject to review and validation by CBP, and the approval, timing, and amount of any potential refund and recovery remain uncertain. The Company expects to recognize any recovery when receipt is considered realizable.</w:t>
      </w:r>
    </w:p>
    <w:p>
      <w:pPr>
        <w:spacing w:after="0" w:line="11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Tariffs subject to the refund claim were previously recorded as a component of cost of goods sold or capitalized into inventory, as applicable. Upon recognition of any approved refund, the portion attributable to inventory previously sold will be recognized as a reduction of cost of goods sold, with any remaining amount recognized as a reduction of inventory.</w:t>
      </w:r>
    </w:p>
    <w:p>
      <w:pPr>
        <w:spacing w:after="0" w:line="9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scope, duration, and rates of existing and proposed tariff measures, as well as the potential for modifications, suspensions, or retaliatory trade actions, remain uncertain. These actions could impact the Company’s operations, supply chain, and cost structure. The Company is continuing to monitor these developments and assessing the potential impact on its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Disclosures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sells clothing, footwear and accessories to big + tall men through its stores and direct business, which includes its website, mobile app and certain marketplaces. The Company has identified its stores and its direct business as two separate operating segments. Resources are allocated and performance is assessed by our President and Chief Executive Officer, whom we have determined to be our Chief Operating Decision Maker (the "CODM").</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CODM evaluates the performance of the Company's operating segments and allocates resources based on sales performance, merchandise margins and 4-wall contribution, a non-GAAP measure. The accounting policies are the same as those described in Note A,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the Company's consolidated financial statements for the year ended January 31, 2026. The Company defines 4-wall contribution, which the CODM considers the performance measure for segment profitability, as segment revenues less cost of goods sold, occupancy costs and selling expenses.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aggregate our two operating segments because they are economically similar. Both segments sell the same merchandise, at the same pricing, and share the same customer base, production, advertising spend and distribution. Our distribution channels are available to our customers regardless of how they initiate their transaction. Through our mobile app or website, a customer can initiate a purchase online and that purchase could be filled either by the distribution center or one of our stores. Similarly, a customer also has the option to pick up in store or have the merchandise shipped directly to them. The 4-wall contribution margin for each segment is materially similar, further supporting the economic similarity of these two operating segments and that no additional value would be provided by reporting the segments separately.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segment disclosures and a reconciliation of 4-wall contribution to net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402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64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2, 2026</w:t>
            </w:r>
          </w:p>
        </w:tc>
        <w:tc>
          <w:tcPr>
            <w:tcW w:w="6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3, 2025</w:t>
            </w:r>
          </w:p>
        </w:tc>
        <w:tc>
          <w:tcPr>
            <w:tcW w:w="6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56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103,335</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105,533</w:t>
            </w:r>
          </w:p>
        </w:tc>
        <w:tc>
          <w:tcPr>
            <w:tcW w:w="2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(41,438)</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(41,274)</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 costs</w:t>
            </w:r>
          </w:p>
        </w:tc>
        <w:tc>
          <w:tcPr>
            <w:tcW w:w="15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(16,145)</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(16,677)</w:t>
            </w:r>
          </w:p>
        </w:tc>
      </w:tr>
      <w:tr>
        <w:trPr>
          <w:trHeight w:val="216"/>
        </w:trPr>
        <w:tc>
          <w:tcPr>
            <w:tcW w:w="6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Store payroll and benefits</w:t>
            </w:r>
          </w:p>
        </w:tc>
        <w:tc>
          <w:tcPr>
            <w:tcW w:w="15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(13,702)</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(13,649)</w:t>
            </w:r>
          </w:p>
        </w:tc>
      </w:tr>
      <w:tr>
        <w:trPr>
          <w:trHeight w:val="216"/>
        </w:trPr>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selling expenses</w:t>
            </w:r>
          </w:p>
        </w:tc>
        <w:tc>
          <w:tcPr>
            <w:tcW w:w="15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(6,569)</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(6,563)</w:t>
            </w: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4-wall contribution</w:t>
            </w:r>
          </w:p>
        </w:tc>
        <w:tc>
          <w:tcPr>
            <w:tcW w:w="15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25,481</w:t>
            </w: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27,370</w:t>
            </w:r>
          </w:p>
        </w:tc>
        <w:tc>
          <w:tcPr>
            <w:tcW w:w="2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5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(6,723)</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(6,418)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Corporate G&amp;A</w:t>
            </w:r>
          </w:p>
        </w:tc>
        <w:tc>
          <w:tcPr>
            <w:tcW w:w="15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(12,604)</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(13,481)</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Distributing and supporting G&amp;A</w:t>
            </w:r>
          </w:p>
        </w:tc>
        <w:tc>
          <w:tcPr>
            <w:tcW w:w="15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(6,884)</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(7,269)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15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(3,968)</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(3,636)</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18"/>
                <w:szCs w:val="18"/>
                <w:color w:val="auto"/>
              </w:rPr>
            </w:pP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156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(5,877)</w:t>
            </w:r>
          </w:p>
        </w:tc>
        <w:tc>
          <w:tcPr>
            <w:tcW w:w="174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(3,213)</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(1,274)</w:t>
            </w:r>
          </w:p>
        </w:tc>
      </w:tr>
      <w:tr>
        <w:trPr>
          <w:trHeight w:val="20"/>
        </w:trPr>
        <w:tc>
          <w:tcPr>
            <w:tcW w:w="6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6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(5,939)</w:t>
            </w:r>
          </w:p>
        </w:tc>
        <w:tc>
          <w:tcPr>
            <w:tcW w:w="174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-2502535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-2502535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CODM does not receive information about assets at the segment level because the Company's assets are managed at a consolidated level by department as opposed to by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Agreement and Plan of Merger</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11, 2025, the Company, Divine Merger Sub I, Inc., a Delaware corporation and wholly owned direct subsidiary of the Company (“Merger Sub”), and FBB Holdings I, Inc., a Delaware corporation (“FBB” or "FullBeauty Brands"), entered into an Agreement and Plan of Merger (the “Merger Agreement”). The Merger Agreement provides that, on the terms and subject to the conditions set forth therein, Merger Sub will merge with and into FBB, with FBB continuing as the surviving corporation as a wholly owned subsidiary of the Company (the “Merger”).</w:t>
      </w:r>
    </w:p>
    <w:p>
      <w:pPr>
        <w:spacing w:after="0" w:line="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At the effective time of the Merger, each share of common stock, par value $0.01 per share, of FBB (“FBB Common Stock”) will be converted into the right to receive that number of fully paid and nonassessable shares of the common stock, par value $0.01 per share, of the Company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line="255" w:lineRule="auto"/>
        <w:rPr>
          <w:sz w:val="20"/>
          <w:szCs w:val="20"/>
          <w:color w:val="auto"/>
        </w:rPr>
      </w:pPr>
      <w:r>
        <w:rPr>
          <w:rFonts w:ascii="Times New Roman" w:cs="Times New Roman" w:eastAsia="Times New Roman" w:hAnsi="Times New Roman"/>
          <w:sz w:val="18"/>
          <w:szCs w:val="18"/>
          <w:color w:val="auto"/>
        </w:rPr>
        <w:t>On June 3, 2026, subsequent to the end of the first quarter of fiscal 2026, the Company issued a press release to provide an update on the status of its Merger with FullBeauty Brands. The Company's Board of Directors (the "Board") has reevaluated the previously announced Merger and is engaging with FullBeauty Brands in constructive discussions to determine the best path forward. As part of its ongoing fiduciary duties to the Company's stockholders, the Board, with the assistance of external financial and legal advisors, has conducted a comprehensive reevaluation of the Merger. The Board continues to believe in the industrial logic of the combination. However, given the increasingly challenging consumer environment since the execution of the Merger Agreement on December 11, 2025 and FullBeauty Brands' indebtedness, the Board believes that the existing terms of the Merger Agreement are not in the best interests of the Company's stockholders.</w:t>
      </w:r>
    </w:p>
    <w:p>
      <w:pPr>
        <w:spacing w:after="0" w:line="81" w:lineRule="exact"/>
        <w:rPr>
          <w:sz w:val="20"/>
          <w:szCs w:val="20"/>
          <w:color w:val="auto"/>
        </w:rPr>
      </w:pPr>
    </w:p>
    <w:p>
      <w:pPr>
        <w:ind w:right="800" w:firstLine="45"/>
        <w:spacing w:after="0" w:line="282" w:lineRule="auto"/>
        <w:rPr>
          <w:sz w:val="20"/>
          <w:szCs w:val="20"/>
          <w:color w:val="auto"/>
        </w:rPr>
      </w:pPr>
      <w:r>
        <w:rPr>
          <w:rFonts w:ascii="Times New Roman" w:cs="Times New Roman" w:eastAsia="Times New Roman" w:hAnsi="Times New Roman"/>
          <w:sz w:val="18"/>
          <w:szCs w:val="18"/>
          <w:color w:val="auto"/>
        </w:rPr>
        <w:t>Costs incurred in connection with this Merger, primarily related to professional service fees, of $1.2 million and $0.1 million, were included in "Transaction-related costs" on the Consolidated Statement of Operations for the first quarter of fiscal 2026 and fiscal 2025, respectively.</w:t>
      </w: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(this “Quarterly Report”)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engagement with FullBeauty Brands in constructive discussions to determine the best path forward; the Board’s belief in the industrial logic of the combination; the Board’s belief that given the increasingly challenging consumer environment since the execution of the Merger Agreement in December 2025 and FullBeauty Brands’ indebtedness, the existing terms of the Merger Agreement are not in the best interests of the Company's stockholders; our belief that profitability would return over the long term, while forecasting operating losses in the near term; our conclusion that the negative evidence outweighs available positive evidence regarding realizability of its deferred tax assets and that the full valuation allowance should remain against its net deferred tax assets; our belief that the macro and sector headwinds are influencing the core DXL big + tall consumer and are materially affecting traffic, which remains very challenged, particularly in stores; despite the shortfall in absolute traffic, guests that do visit DXL are buying, with conversion and average order value up in both stores and online, which we believe reinforces that the adjustments we are making to our assortment, promotional strategy, and customer experience are aligning better with today’s value-conscious consumer; our advancement of several strategic initiatives designed to strengthen our market leadership in the big + tall sector while enhancing the customer experience across channels; our belief that the adjustments we are making to our merchandise assortment, promotional strategy, and customer experience to align better with today’s value-conscious consumer; our belief that AI-powered search and discovery tools are becoming increasingly important in ecommerce; our belief that the new AI initiatives that were launched will improve product data quality, enrich item-level attributes and strengthen our ability to connect product, pricing and inventory information across AI-enabled platforms; our intention that our AI initiatives will improve discoverability, support future commerce applications and position us to compete effectively as digital shopping journeys become more conversational and agent-driven; our belief that GLP-1 medications provide both a near-term challenge and a long-term opportunity: our belief that the impact of GLP-1 medications and similar weight-loss medications are contributing to structural changes in customer demand within the big + tall category; our belief based on our research that while some customers may pause apparel purchases during periods of rapid size change, we expect them to return once they reach a more stable size profile; our belief that we can strengthen retention, reactivation and lifetime value over time by staying closely aligned with evolving customer needs; our belief that the slowdown in April reflects a combination of macroeconomic pressures impacting consumer confidence and discretionary spending, including global conflict, rising fuel costs, and inflation; our expectation that the impact of tariffs on gross margin, exclusive of any refunds realized, will be approximately 100 basis points, a decrease from the previous estimate of 150 basis points; our expectation that for fiscal 2026, marketing costs will be approximately 5.8% of sales; our belief that our cash and cash equivalent balances, short-term investments, cash generated from operations, and borrowings available to us under our credit facility will be adequate to meet our liquidity needs and capital expenditure requirements for at least the next 12 months; our belief that cash flows from operating activities and cash on hand will be sufficient to satisfy our current capital requirements. In the longer term, to the extent future capital requirements exceed cash on hand plus cash flows from operating activities, we anticipate that working capital will be financed by our credit facility; our expectation that capital expenditures for fiscal 2026 will range from $8.0 million to $12.0 million, net of tenant incentives; our belief that store development plans for fiscal 2026 will be limited to conversions of a few remaining Casual Male XL stores to the DXL format, store relocations and other capital projects will be necessary to maintain our existing store portfolio and distribution center; our expectation that the remainder of our capital spend for fiscal 2026 will primarily be for technology-related projects to support our business initiatives; our belief that inclusion of the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our belief that the comparability of adjusted net loss is useful in comparing the actual results period to period; our expectation that we will be able to take proactive measures to manage our inventory and adjust our receipt plan given the ongoing macroeconomic factors affecting consumer spending, while at the same time, accelerating certain receipts to avoid potential delays caused by the recent conflict with Iran.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31, 2026, included in our Annual Report on Form 10-K for the year ended January 31, 2026, as filed with the Securities and Exchange Commission ("SEC") on March 19, 2026 (our “Fiscal 2025 Annual Report”).</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Numerous factors could cause our actual results to differ materially from such forward-looking statements. We encourage readers to refer to our filings with the SEC that set forth certain risks and uncertainties that may have an impact on future results and direction of our Company, including risks related to the Merger and combining our business with FullBeauty Brands, changes in consumer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right="120"/>
        <w:spacing w:after="0" w:line="258" w:lineRule="auto"/>
        <w:rPr>
          <w:sz w:val="20"/>
          <w:szCs w:val="20"/>
          <w:color w:val="auto"/>
        </w:rPr>
      </w:pPr>
      <w:r>
        <w:rPr>
          <w:rFonts w:ascii="Times New Roman" w:cs="Times New Roman" w:eastAsia="Times New Roman" w:hAnsi="Times New Roman"/>
          <w:sz w:val="18"/>
          <w:szCs w:val="18"/>
          <w:color w:val="auto"/>
        </w:rPr>
        <w:t>spending in response to economic factors, the impact of current tariffs, the impact of any further increases in tariffs, our ability to proactively react to the current and further potential changes in tariffs to minimize risk; rising fuel costs, high interest rates; the impact of ongoing worldwide conflicts on the global economy; and our ability to execute on our marketing, digital, store and collaboration strategies, ability to grow our market share, predict customer tastes and fashion trends, compete successfully in the United States men’s big + tall apparel market, and the other risks and uncertainties as set forth in the “Risk Factors” section in Part I, Item 1A of our Fiscal 2025 Annual Report.</w:t>
      </w:r>
    </w:p>
    <w:p>
      <w:pPr>
        <w:spacing w:after="0" w:line="1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Destination XL Group, Inc., together with our consolidated subsidiaries (the “Company”), is the largest specialty retailer of big + tall men’s clothing with retail and direct operations in the United States. We operate under the trade names of Destination XL</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DXL</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DXL Outlets, Casual Male XL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Casual Male XL Outlets. At May 2, 2026, we operated 257 Destination XL stores, 17 DXL outlet stores, 5 Casual Male XL retail stores, 14 Casual Male XL outlet stores and a digital business, including an e-commerce site at dxl.com and a mobile site, m.destinationXL.com, mobile app and third-party marketplaces.</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“us” and “the Company” refer to Destination XL Group, Inc. and our consolidated subsidiaries. We refer to our fiscal years, which end on January 31, 2026 and February 1, 2025 as "fiscal 2026" and “fiscal 2025,” respectively. Both fiscal years are 52-week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have two operating segments: our stores and our direct business. We consider our stores and direct business segments to be similar in terms of economic characteristics, production processes and operations, and have therefore aggregated them into one reportable segment consistent with our omni-channel business approach.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guest’s needs. The majority of our stores have the capability to fulfill online orders if merchandise is not available in the warehouse. As a result, certain transactions that begin online are ultimately completed at the store level. Similarly, if a customer visits a store and the item is out of stock, the associate can order the item through our website. A customer also has the ability to order online and 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is temporarily closed for more than 7 days, it is removed from the calculation of comparable sales until it reopens and upon its anniversary is once again removed from the calculation until the reopen date. The method of calculating comparable sales varies across the retail industry and, as a result, our calculation of comparable sales is not necessarily comparable to similarly titled measures reported by other retailers.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MERGER WITH FULLBEAUTY BRANDS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2025, DXL and FullBeauty Brands announced a Merger of equals to create a scaled, category-defining retailer for size-inclusive apparel.</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June 3, 2026, subsequent to the end of the first quarter of fiscal 2026, the Company issued a press release to provide an update on the status of its Merger with FullBeauty Brands. The Board has reevaluated the previously announced Merger and is engaging with FullBeauty Brands in constructive discussions to determine the best path forward. As part of its ongoing fiduciary duties to the Company's stockholders, the Board, with the assistance of external financial and legal advisors, has conducted a comprehensive reevaluation of the Merger. The Board continues to believe in the industrial logic of the combination. However, given the increasingly challenging consumer environment since the execution of the Merger Agreement on December 11, 2025 and FullBeauty Brands' indebtedness, the Board believes that the existing terms of the Merger Agreement are not in the best interests of the Company's stockholders.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May 2, 2026</w:t>
            </w:r>
          </w:p>
        </w:tc>
        <w:tc>
          <w:tcPr>
            <w:tcW w:w="220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May 3, 2025</w:t>
            </w:r>
          </w:p>
        </w:tc>
        <w:tc>
          <w:tcPr>
            <w:tcW w:w="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940" w:type="dxa"/>
            <w:vAlign w:val="bottom"/>
            <w:gridSpan w:val="3"/>
            <w:shd w:val="clear" w:color="auto" w:fill="CFF0FC"/>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(in millions, except percentage of sales and per share data)</w:t>
            </w:r>
          </w:p>
        </w:tc>
        <w:tc>
          <w:tcPr>
            <w:tcW w:w="12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Sales</w:t>
            </w:r>
          </w:p>
        </w:tc>
        <w:tc>
          <w:tcPr>
            <w:tcW w:w="1500" w:type="dxa"/>
            <w:vAlign w:val="bottom"/>
            <w:tcBorders>
              <w:top w:val="single" w:sz="8" w:color="auto"/>
            </w:tcBorders>
          </w:tcPr>
          <w:p>
            <w:pPr>
              <w:spacing w:after="0"/>
              <w:rPr>
                <w:sz w:val="12"/>
                <w:szCs w:val="12"/>
                <w:color w:val="auto"/>
              </w:rPr>
            </w:pPr>
          </w:p>
        </w:tc>
        <w:tc>
          <w:tcPr>
            <w:tcW w:w="3520" w:type="dxa"/>
            <w:vAlign w:val="bottom"/>
            <w:tcBorders>
              <w:top w:val="single" w:sz="8" w:color="CFF0FC"/>
            </w:tcBorders>
          </w:tcPr>
          <w:p>
            <w:pPr>
              <w:spacing w:after="0"/>
              <w:rPr>
                <w:sz w:val="12"/>
                <w:szCs w:val="12"/>
                <w:color w:val="auto"/>
              </w:rPr>
            </w:pPr>
          </w:p>
        </w:tc>
        <w:tc>
          <w:tcPr>
            <w:tcW w:w="1240" w:type="dxa"/>
            <w:vAlign w:val="bottom"/>
            <w:tcBorders>
              <w:top w:val="single" w:sz="8" w:color="CFF0FC"/>
            </w:tcBorders>
          </w:tcPr>
          <w:p>
            <w:pPr>
              <w:jc w:val="right"/>
              <w:ind w:right="109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103.3</w:t>
            </w:r>
          </w:p>
        </w:tc>
        <w:tc>
          <w:tcPr>
            <w:tcW w:w="280" w:type="dxa"/>
            <w:vAlign w:val="bottom"/>
            <w:tcBorders>
              <w:top w:val="single" w:sz="8" w:color="CFF0FC"/>
            </w:tcBorders>
          </w:tcPr>
          <w:p>
            <w:pPr>
              <w:spacing w:after="0"/>
              <w:rPr>
                <w:sz w:val="12"/>
                <w:szCs w:val="12"/>
                <w:color w:val="auto"/>
              </w:rPr>
            </w:pPr>
          </w:p>
        </w:tc>
        <w:tc>
          <w:tcPr>
            <w:tcW w:w="1420" w:type="dxa"/>
            <w:vAlign w:val="bottom"/>
            <w:tcBorders>
              <w:top w:val="single" w:sz="8" w:color="CFF0FC"/>
            </w:tcBorders>
            <w:gridSpan w:val="2"/>
          </w:tcPr>
          <w:p>
            <w:pPr>
              <w:jc w:val="right"/>
              <w:ind w:right="1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105.5</w:t>
            </w:r>
          </w:p>
        </w:tc>
        <w:tc>
          <w:tcPr>
            <w:tcW w:w="4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(GAAP)</w:t>
            </w:r>
          </w:p>
        </w:tc>
        <w:tc>
          <w:tcPr>
            <w:tcW w:w="1500" w:type="dxa"/>
            <w:vAlign w:val="bottom"/>
            <w:shd w:val="clear" w:color="auto" w:fill="CFF0FC"/>
          </w:tcPr>
          <w:p>
            <w:pPr>
              <w:spacing w:after="0"/>
              <w:rPr>
                <w:sz w:val="12"/>
                <w:szCs w:val="12"/>
                <w:color w:val="auto"/>
              </w:rPr>
            </w:pPr>
          </w:p>
        </w:tc>
        <w:tc>
          <w:tcPr>
            <w:tcW w:w="352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1091"/>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420" w:type="dxa"/>
            <w:vAlign w:val="bottom"/>
            <w:gridSpan w:val="2"/>
            <w:shd w:val="clear" w:color="auto" w:fill="CFF0FC"/>
          </w:tcPr>
          <w:p>
            <w:pPr>
              <w:jc w:val="right"/>
              <w:ind w:right="1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1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net loss (non-GAAP)</w:t>
            </w:r>
          </w:p>
        </w:tc>
        <w:tc>
          <w:tcPr>
            <w:tcW w:w="1500" w:type="dxa"/>
            <w:vAlign w:val="bottom"/>
            <w:vMerge w:val="restart"/>
          </w:tcPr>
          <w:p>
            <w:pPr>
              <w:jc w:val="right"/>
              <w:ind w:right="1358"/>
              <w:spacing w:after="0"/>
              <w:rPr>
                <w:sz w:val="20"/>
                <w:szCs w:val="20"/>
                <w:color w:val="auto"/>
              </w:rPr>
            </w:pPr>
            <w:r>
              <w:rPr>
                <w:rFonts w:ascii="Times New Roman" w:cs="Times New Roman" w:eastAsia="Times New Roman" w:hAnsi="Times New Roman"/>
                <w:sz w:val="8"/>
                <w:szCs w:val="8"/>
                <w:color w:val="auto"/>
                <w:w w:val="85"/>
              </w:rPr>
              <w:t>(1)</w:t>
            </w:r>
          </w:p>
        </w:tc>
        <w:tc>
          <w:tcPr>
            <w:tcW w:w="3520" w:type="dxa"/>
            <w:vAlign w:val="bottom"/>
            <w:vMerge w:val="restart"/>
          </w:tcPr>
          <w:p>
            <w:pPr>
              <w:spacing w:after="0"/>
              <w:rPr>
                <w:sz w:val="12"/>
                <w:szCs w:val="12"/>
                <w:color w:val="auto"/>
              </w:rPr>
            </w:pPr>
          </w:p>
        </w:tc>
        <w:tc>
          <w:tcPr>
            <w:tcW w:w="1240" w:type="dxa"/>
            <w:vAlign w:val="bottom"/>
            <w:vMerge w:val="restart"/>
          </w:tcPr>
          <w:p>
            <w:pPr>
              <w:jc w:val="right"/>
              <w:ind w:right="109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(3.4)</w:t>
            </w:r>
          </w:p>
        </w:tc>
        <w:tc>
          <w:tcPr>
            <w:tcW w:w="1420" w:type="dxa"/>
            <w:vAlign w:val="bottom"/>
            <w:gridSpan w:val="2"/>
            <w:vMerge w:val="restart"/>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54"/>
        </w:trPr>
        <w:tc>
          <w:tcPr>
            <w:tcW w:w="19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Adjusted EBITDA (non-GAAP )</w:t>
            </w:r>
          </w:p>
        </w:tc>
        <w:tc>
          <w:tcPr>
            <w:tcW w:w="1500" w:type="dxa"/>
            <w:vAlign w:val="bottom"/>
            <w:vMerge w:val="continue"/>
          </w:tcPr>
          <w:p>
            <w:pPr>
              <w:spacing w:after="0"/>
              <w:rPr>
                <w:sz w:val="4"/>
                <w:szCs w:val="4"/>
                <w:color w:val="auto"/>
              </w:rPr>
            </w:pPr>
          </w:p>
        </w:tc>
        <w:tc>
          <w:tcPr>
            <w:tcW w:w="352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9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40" w:type="dxa"/>
            <w:vAlign w:val="bottom"/>
          </w:tcPr>
          <w:p>
            <w:pPr>
              <w:jc w:val="right"/>
              <w:ind w:right="1091"/>
              <w:spacing w:after="0" w:line="95"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240"/>
              <w:spacing w:after="0" w:line="95" w:lineRule="exact"/>
              <w:rPr>
                <w:sz w:val="20"/>
                <w:szCs w:val="20"/>
                <w:color w:val="auto"/>
              </w:rPr>
            </w:pPr>
            <w:r>
              <w:rPr>
                <w:rFonts w:ascii="Times New Roman" w:cs="Times New Roman" w:eastAsia="Times New Roman" w:hAnsi="Times New Roman"/>
                <w:sz w:val="10"/>
                <w:szCs w:val="10"/>
                <w:color w:val="auto"/>
              </w:rPr>
              <w:t>(0.7)</w:t>
            </w:r>
          </w:p>
        </w:tc>
        <w:tc>
          <w:tcPr>
            <w:tcW w:w="1420" w:type="dxa"/>
            <w:vAlign w:val="bottom"/>
            <w:gridSpan w:val="2"/>
          </w:tcPr>
          <w:p>
            <w:pPr>
              <w:jc w:val="right"/>
              <w:ind w:right="1148"/>
              <w:spacing w:after="0" w:line="95"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0.2</w:t>
            </w: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Per diluted share:</w:t>
            </w:r>
          </w:p>
        </w:tc>
        <w:tc>
          <w:tcPr>
            <w:tcW w:w="1500" w:type="dxa"/>
            <w:vAlign w:val="bottom"/>
            <w:shd w:val="clear" w:color="auto" w:fill="CFF0FC"/>
          </w:tcPr>
          <w:p>
            <w:pPr>
              <w:spacing w:after="0"/>
              <w:rPr>
                <w:sz w:val="12"/>
                <w:szCs w:val="12"/>
                <w:color w:val="auto"/>
              </w:rPr>
            </w:pPr>
          </w:p>
        </w:tc>
        <w:tc>
          <w:tcPr>
            <w:tcW w:w="35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Net loss (GAAP)</w:t>
            </w:r>
          </w:p>
        </w:tc>
        <w:tc>
          <w:tcPr>
            <w:tcW w:w="1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40" w:type="dxa"/>
            <w:vAlign w:val="bottom"/>
          </w:tcPr>
          <w:p>
            <w:pPr>
              <w:jc w:val="right"/>
              <w:ind w:right="109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(0.11)</w:t>
            </w:r>
          </w:p>
        </w:tc>
        <w:tc>
          <w:tcPr>
            <w:tcW w:w="1420" w:type="dxa"/>
            <w:vAlign w:val="bottom"/>
            <w:gridSpan w:val="2"/>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net loss (non-GAAP)</w:t>
            </w:r>
          </w:p>
        </w:tc>
        <w:tc>
          <w:tcPr>
            <w:tcW w:w="1500" w:type="dxa"/>
            <w:vAlign w:val="bottom"/>
            <w:shd w:val="clear" w:color="auto" w:fill="CFF0FC"/>
          </w:tcPr>
          <w:p>
            <w:pPr>
              <w:spacing w:after="0"/>
              <w:rPr>
                <w:sz w:val="12"/>
                <w:szCs w:val="12"/>
                <w:color w:val="auto"/>
              </w:rPr>
            </w:pPr>
          </w:p>
        </w:tc>
        <w:tc>
          <w:tcPr>
            <w:tcW w:w="352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1091"/>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1420" w:type="dxa"/>
            <w:vAlign w:val="bottom"/>
            <w:gridSpan w:val="2"/>
            <w:shd w:val="clear" w:color="auto" w:fill="CFF0FC"/>
          </w:tcPr>
          <w:p>
            <w:pPr>
              <w:jc w:val="right"/>
              <w:ind w:right="1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As a percentage of sales:</w:t>
            </w:r>
          </w:p>
        </w:tc>
        <w:tc>
          <w:tcPr>
            <w:tcW w:w="1500" w:type="dxa"/>
            <w:vAlign w:val="bottom"/>
            <w:shd w:val="clear" w:color="auto" w:fill="CFF0FC"/>
          </w:tcPr>
          <w:p>
            <w:pPr>
              <w:spacing w:after="0"/>
              <w:rPr>
                <w:sz w:val="12"/>
                <w:szCs w:val="12"/>
                <w:color w:val="auto"/>
              </w:rPr>
            </w:pPr>
          </w:p>
        </w:tc>
        <w:tc>
          <w:tcPr>
            <w:tcW w:w="35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Gross margin</w:t>
            </w:r>
          </w:p>
        </w:tc>
        <w:tc>
          <w:tcPr>
            <w:tcW w:w="15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4"/>
                <w:szCs w:val="14"/>
                <w:color w:val="auto"/>
              </w:rPr>
              <w:t>44.3%</w:t>
            </w: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53"/>
        </w:trPr>
        <w:tc>
          <w:tcPr>
            <w:tcW w:w="19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SG&amp;A expenses </w:t>
            </w:r>
            <w:r>
              <w:rPr>
                <w:rFonts w:ascii="Times New Roman" w:cs="Times New Roman" w:eastAsia="Times New Roman" w:hAnsi="Times New Roman"/>
                <w:sz w:val="17"/>
                <w:szCs w:val="17"/>
                <w:color w:val="auto"/>
                <w:vertAlign w:val="superscript"/>
              </w:rPr>
              <w:t>(1)</w:t>
            </w:r>
          </w:p>
        </w:tc>
        <w:tc>
          <w:tcPr>
            <w:tcW w:w="15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45.0%</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0" w:type="dxa"/>
            <w:vAlign w:val="bottom"/>
            <w:gridSpan w:val="2"/>
          </w:tcPr>
          <w:p>
            <w:pPr>
              <w:jc w:val="right"/>
              <w:ind w:right="320"/>
              <w:spacing w:after="0" w:line="153" w:lineRule="exact"/>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58"/>
        </w:trPr>
        <w:tc>
          <w:tcPr>
            <w:tcW w:w="192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Operating margin</w:t>
            </w:r>
          </w:p>
        </w:tc>
        <w:tc>
          <w:tcPr>
            <w:tcW w:w="15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0" w:type="dxa"/>
            <w:vAlign w:val="bottom"/>
            <w:gridSpan w:val="2"/>
          </w:tcPr>
          <w:p>
            <w:pPr>
              <w:jc w:val="right"/>
              <w:ind w:right="280"/>
              <w:spacing w:after="0" w:line="158"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6"/>
        </w:trPr>
        <w:tc>
          <w:tcPr>
            <w:tcW w:w="6940" w:type="dxa"/>
            <w:vAlign w:val="bottom"/>
            <w:gridSpan w:val="3"/>
          </w:tcPr>
          <w:p>
            <w:pPr>
              <w:spacing w:after="0" w:line="175" w:lineRule="exact"/>
              <w:rPr>
                <w:sz w:val="20"/>
                <w:szCs w:val="20"/>
                <w:color w:val="auto"/>
              </w:rPr>
            </w:pPr>
            <w:r>
              <w:rPr>
                <w:rFonts w:ascii="Times New Roman" w:cs="Times New Roman" w:eastAsia="Times New Roman" w:hAnsi="Times New Roman"/>
                <w:sz w:val="14"/>
                <w:szCs w:val="14"/>
                <w:color w:val="auto"/>
              </w:rPr>
              <w:t xml:space="preserve">Adjusted EBITDA margin (non-GAAP) </w:t>
            </w:r>
            <w:r>
              <w:rPr>
                <w:rFonts w:ascii="Times New Roman" w:cs="Times New Roman" w:eastAsia="Times New Roman" w:hAnsi="Times New Roman"/>
                <w:sz w:val="19"/>
                <w:szCs w:val="19"/>
                <w:color w:val="auto"/>
                <w:vertAlign w:val="superscript"/>
              </w:rPr>
              <w:t>(1)</w:t>
            </w:r>
          </w:p>
        </w:tc>
        <w:tc>
          <w:tcPr>
            <w:tcW w:w="12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-1054100</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82" w:lineRule="exact"/>
        <w:rPr>
          <w:sz w:val="20"/>
          <w:szCs w:val="20"/>
          <w:color w:val="auto"/>
        </w:rPr>
      </w:pPr>
    </w:p>
    <w:p>
      <w:pPr>
        <w:ind w:left="760" w:right="20" w:hanging="3"/>
        <w:spacing w:after="0" w:line="298" w:lineRule="auto"/>
        <w:tabs>
          <w:tab w:leader="none" w:pos="98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and percentages for the three months ended May 3, 2025 reflect the reclassification of certain costs from SG&amp;A expenses to Transaction-related costs for comparability with the amounts and percentages for the three months ended May 2, 2026.</w:t>
      </w:r>
    </w:p>
    <w:p>
      <w:pPr>
        <w:spacing w:after="0" w:line="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were encouraged by our first quarter results which reflected sales performance improving and continued progress against our strategic priorities. Although comparable sales were down (3.8)% for the first quarter of fiscal 2026, this represents our best quarterly comparable sales result since the second quarter of fiscal 2023. We believe macro and sector headwinds are influencing the core DXL big + tall consumer and are materially affecting traffic, which remains very challenged, particularly in stores. Despite the shortfall in absolute traffic, guests that do visit DXL are buying, with improvements in conversion and average order value in both stores and online. These trends reinforce that the adjustments we are making to our assortment, promotional strategy and customer experience are aligning better with today’s value-conscious consumer.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Strategic Priorities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continue to advance several strategic initiatives designed to strengthen our market leadership in the big + tall sector while enhancing the customer experience across channels.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FiTMAP®</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exclusive rights to our fit technology platform until 2030. FiTMAP® remains one of the Company’s most important long-term growth drivers. During the quarter, we completed the rollout of FiTMAP technology in 188 stores to enhance the customer journey. Since launch, over 100,000 customers have engaged with the platform, and early results continue to reinforce its value. Customers who use FiTMAP have demonstrated stronger conversion, higher average order values, greater purchase frequency and lower return rates, underscoring the role personalized fit can play in driving both customer satisfaction and profitable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Leverage AI</w:t>
      </w:r>
    </w:p>
    <w:p>
      <w:pPr>
        <w:spacing w:after="0" w:line="11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are sharpening our focus on artificial intelligence ("AI") as consumer shopping behavior evolves. As AI-powered search and discovery tools become increasingly important in ecommerce, the Company is investing to ensure that its products and content are more visible, relevant and accessible in these emerging environments. During the quarter, DXL launched new AI initiatives to improve product data quality, enrich item-level attributes and strengthen its ability to connect product, pricing and inventory information across AI-enabled platforms. These efforts are intended to improve discoverability, support future commerce applications and position the Company to compete effectively as digital shopping journeys become more conversational and agent-driven.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GLP-1s and Similar Weight-Loss Medications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continue to deepen our understanding of how the use of glucagon-like peptide-1 (“GLP-1”) medications and similar weight-loss medications may be influencing customer behavior and category demand. Our research indicates that a meaningful portion of our customer base is currently using GLP-1 medications, contributing to more dynamic sizing needs over time. We are responding thoughtfully by broadening select assortments in smaller sizes and using customer insights to inform future merchandising, marketing and re-engagement strategies. Importantly, the Company sees this as both a near-term challenge and a long-term opportunity: while some customers may pause apparel purchases during periods of rapid size change, many express an intention to return once they reach a more stable size profile. By staying closely aligned with these evolving customer needs, we believe we can strengthen retention, reactivation and lifetime value over time.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by segment for the three months ended May 2, 2026 and May 3,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3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May 2, 2026</w:t>
            </w:r>
          </w:p>
        </w:tc>
        <w:tc>
          <w:tcPr>
            <w:tcW w:w="10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May 3, 2025</w:t>
            </w:r>
          </w:p>
        </w:tc>
        <w:tc>
          <w:tcPr>
            <w:tcW w:w="1300" w:type="dxa"/>
            <w:vAlign w:val="bottom"/>
            <w:tcBorders>
              <w:bottom w:val="single" w:sz="8" w:color="CFF0FC"/>
            </w:tcBorders>
            <w:shd w:val="clear" w:color="auto" w:fill="CFF0FC"/>
          </w:tcPr>
          <w:p>
            <w:pPr>
              <w:spacing w:after="0"/>
              <w:rPr>
                <w:sz w:val="18"/>
                <w:szCs w:val="18"/>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Store sales</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74,669</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72.3%</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76,471</w:t>
            </w: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i w:val="1"/>
                <w:iCs w:val="1"/>
                <w:color w:val="auto"/>
              </w:rPr>
              <w:t>72.5%</w:t>
            </w:r>
          </w:p>
        </w:tc>
      </w:tr>
      <w:tr>
        <w:trPr>
          <w:trHeight w:val="216"/>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sales</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04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27.7%</w:t>
            </w: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29,062</w:t>
            </w:r>
          </w:p>
        </w:tc>
        <w:tc>
          <w:tcPr>
            <w:tcW w:w="1300" w:type="dxa"/>
            <w:vAlign w:val="bottom"/>
            <w:tcBorders>
              <w:bottom w:val="single" w:sz="8" w:color="CFF0FC"/>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i w:val="1"/>
                <w:iCs w:val="1"/>
                <w:color w:val="auto"/>
              </w:rPr>
              <w:t>27.5%</w:t>
            </w: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103,335</w:t>
            </w:r>
          </w:p>
        </w:tc>
        <w:tc>
          <w:tcPr>
            <w:tcW w:w="10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105,533</w:t>
            </w:r>
          </w:p>
        </w:tc>
        <w:tc>
          <w:tcPr>
            <w:tcW w:w="13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-454025</wp:posOffset>
            </wp:positionV>
            <wp:extent cx="1968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-454025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-454025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-170815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Total sales for the first quarter of fiscal 2026 were $103.3 million, as compared to $105.5 million in the first quarter of fiscal 2025. The decrease in total sales was primarily attributable to a decrease in comparable sales for the first quarter of 3.8%, partially offset by an increase in non-comparable store sales. Sales improved at the start of fiscal 2026 with comparable sales down 1.3% in February and down 2.7% in March and, in April, sales were down 6.8%. While the performance between March and April was impacted at some level by the earlier Easter holiday, we believe the slowdown in sales in April was primarily the result of a combination of macroeconomic pressures impacting consumer confidence and discretionary spending, including global conflict, rising fuel costs, and inflation. We also believe the impact of GLP-1 medications and similar weight-loss medications are contributing to structural changes in customer demand within the big + tall category.</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comparable sales decrease of 3.8% for the first quarter consisted of a comparable sales decrease of 4.6% from stores and a comparable sales decrease of 1.6% from our direct business. A decrease in traffic continued to be the primary driver, particularly in stores, partially offset by improvements in conversion and dollars per transaction. The direct business showed improvement during the first quarter, with increased demand being generated from our paid search, paid social and program marketing efforts. In addition, improvements to the website and app have helped to improve conversion during the first quarter of fiscal 2026. Contributing to this improvement were strong sales of clearance merchandise on the website.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Rate</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first quarter of fiscal 2026, our gross margin rate, inclusive of occupancy costs, was 44.3% as compared to a gross margin rate of 45.1% for the first quarter of fiscal 2025.</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gross margin rate decreased by 80 basis points, driven by a decrease of 100 basis points in merchandise margin, partially offset by a 20-basis point decrease in occupancy costs. The decrease in merchandise margin as compared to the first quarter of fiscal 2025 is primarily due to the impact of tariffs, increased shipping costs as a result of fuel surcharges and increased markdown activity associated with clearance sales. These increased costs were partially offset by an improvement in merchandise margins as a result of a shift in product mix toward our private brand merchandise and favorable loyalty costs.</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decrease in occupancy costs of 20 basis points, or $0.5 million, was primarily due to $1.4 million received from a landlord as a result of an early lease termination, partially offset by increased rents from lease extensions and new stores.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Tariffs</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April 2026, U.S. Customs and Border Protection ("CBP") launched an online portal through which companies may submit refund requests. During the first quarter of fiscal 2026, the Company submitted a claim seeking a refund of approximately $4.0 million related to tariffs previously paid. The timing and amount of any potential refund and recovery remain uncertain, and the Company expects to recognize any recovery when receipt is considered realizable.</w:t>
      </w:r>
    </w:p>
    <w:p>
      <w:pPr>
        <w:spacing w:after="0" w:line="7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Given the volatility that currently exists around trade discussions, it is difficult to determine the potential impact that tariffs may have on our financial results for fiscal 2026. However, if currently enacted rates remain in effect throughout fiscal 2026, and no additional tariffs, including those under U.S. trade laws, are added, we estimate that the impact of tariffs on pre-tariff gross margin, in fiscal 2026, exclusive of any refunds realized, will be approximately 100 basis points, a decrease from the previous estimate of 150 basis points.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expenses for the first quarter of fiscal 2026 were 45.0% as compared to 44.9% for the first quarter of fiscal 2025.</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 dollar basis, SG&amp;A expenses decreased by $0.9 million for the first quarter of fiscal 2026 as compared to the first quarter of fiscal 2025. The decrease was primarily due to a decrease in supporting payroll costs and incentive-based compensation partially offset by an increase in marketing costs.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ind w:right="380"/>
        <w:spacing w:after="0" w:line="282" w:lineRule="auto"/>
        <w:rPr>
          <w:sz w:val="20"/>
          <w:szCs w:val="20"/>
          <w:color w:val="auto"/>
        </w:rPr>
      </w:pPr>
      <w:r>
        <w:rPr>
          <w:rFonts w:ascii="Times New Roman" w:cs="Times New Roman" w:eastAsia="Times New Roman" w:hAnsi="Times New Roman"/>
          <w:sz w:val="18"/>
          <w:szCs w:val="18"/>
          <w:color w:val="auto"/>
        </w:rPr>
        <w:t>Marketing costs were 6.5% of sales for the first quarter of fiscal 2026 as compared to 6.1% of sales for the first quarter of fiscal 2025. For fiscal 2026, marketing costs are expected to be approximately 5.8% of sales.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26.1% of sales for the first quarter of fiscal 2026 as compared to 25.2% of sales for the first quarter of fiscal 2025. Corporate Support Costs, which include the distribution center and corporate overhead costs, represented 18.9% of sales for the first quarter of fiscal 2026 as compared to 19.7% of sales for the first quarter of fiscal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Transaction-Related Costs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Transaction-related costs for the first quarter of fiscal 2026 and fiscal 2025 were $1.2 million and $0.1 million, respectively, and primarily related to fees paid for professional services in connection with costs related to the Merger.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for the first quarter of fiscal 2026 increased to $4.0 million as compared to $3.6 million for the first quarter of fiscal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depreciation and amortization in fiscal 2026 is due to capital projects, including new stores, completed in fiscal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interest income for the first quarter of fiscal 2026 was $0.1 million as compared to $0.3 million for the first quarter of fiscal 2025. The decrease in interest income for the first quarter of fiscal 2026 was primarily due to the decrease in the average balance of investments as compared to the first quarter of fiscal 2025.</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both periods, interest income was earned from investments in U.S. government-backed investments and money market accounts. Interest costs for both periods were minimal because we had no outstanding debt and no borrowings under our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income tax provision for interim periods is determined using an estimate of our annual effective tax rate, adjusted for discrete items, if any. Each quarter, we update our estimate of the annual effective tax rate and make a year-to-date adjustment to the provision.</w:t>
      </w:r>
    </w:p>
    <w:p>
      <w:pPr>
        <w:spacing w:after="0" w:line="54"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For the first quarter of fiscal 2026 and 2025, the Company’s effective tax rate was (1.1)% and 39.7%, respectively. In the fourth quarter of fiscal 2025, a full valuation allowance was established against the net deferred tax assets. As a result, the effective tax rate for the first quarter of fiscal 2026 primarily reflects a provision for state margin tax, based on gross receipts less certain deductions. The effective tax rate for the first quarter of fiscal 2025 reflected the impact of permanent book-to-tax differences.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first quarter of fiscal 2026, we recorded a net loss of $(5.9) million, or $(0.11) per diluted share, as compared to a net loss of $(1.9) million, or $(0.04) per diluted share, for the first quarter of fiscal 2025.</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decrease in earnings for the first quarter of fiscal 2026 as compared to first quarter of fiscal 2025 was driven primarily by a decrease in sales, an increase in transaction-related expenses and a decrease in the effective tax rate. We have fully reserved against our deferred tax assets and, therefore, the net loss in the first quarter of fiscal 2026 is not reflective of earnings assuming a normal tax position for the Company.</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 non-GAAP basis, adjusting for a normal tax rate of 26% and the add back of transaction-related costs, adjusted net loss for the first quarter of fiscal 2026 was $(0.06) per diluted share as compared to adjusted net loss for the first quarter of fiscal 2025 of $(0.04) per diluted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of May 2, 2026, our inventory decreased by $4.1 million to $81.4 million, as compared to $85.5 million at May 3, 2025. We continue to take proactive measures to manage our inventory and adjust our receipt plan given the ongoing macroeconomic factors affecting consumer spending. At the same time, we may accelerate certain receipts to avoid potential delays caused by the recent conflict with Iran. At May 2, 2026, our clearance inventory was 9.9% of our total inventory, as compared to 9.5% at May 3, 2025. Our inventory position is very strong and our clearance levels are in line with our benchmark of 10%. Our inventory turnover rate has improved by over 30% from fiscal 2019.</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short-term investments, cash generated from operations and availability under our credit facility, which is discussed below. At May 2, 2026, we had no outstanding debt, including no borrowings under our credit facility during the first quarter of fiscal 2026. Cash that is in excess of our forecasted needs may be invested in money market accounts and U.S. government-backed securities.</w:t>
      </w:r>
    </w:p>
    <w:p>
      <w:pPr>
        <w:spacing w:after="0" w:line="6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believe that our cash and cash equivalent balances, short-term investments, cash generated from operations, and borrowings available to us under our credit facility will be adequate to meet our liquidity needs and capital expenditure requirements for at least the next 12 months. We believe that cash flows from operating activities and cash on hand will be sufficient to satisfy our current capital requirements. In the longer term, to the extent future capital requirements exceed cash on hand plus cash flows from operating activities, we anticipate that working capital will be financed by our credit facility.</w:t>
      </w:r>
    </w:p>
    <w:p>
      <w:pPr>
        <w:spacing w:after="0" w:line="56"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For the first three months of fiscal 2026, cash flow from operations was $(8.8) million as compared to $(12.0) million for the first three months of fiscal 2025. The improvement in cash flow from operations was primarily due to the timing of other working capital partially offset by a decrease in earnings.</w:t>
      </w:r>
    </w:p>
    <w:p>
      <w:pPr>
        <w:spacing w:after="0" w:line="3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Free cash flow, before capital expenditures for store development, a non-GAAP measure, was $(12.3) million for the first three months of fiscal 2026 as compared to $(14.5) million for the first three months of fiscal 2025. Free cash flow, a non-GAAP measure, was $(12.7) million for the first three months of fiscal 2026 as compared to $(18.8) million for the first three months of fiscal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May 2, 2026</w:t>
            </w:r>
          </w:p>
        </w:tc>
        <w:tc>
          <w:tcPr>
            <w:tcW w:w="320" w:type="dxa"/>
            <w:vAlign w:val="bottom"/>
          </w:tcPr>
          <w:p>
            <w:pPr>
              <w:spacing w:after="0"/>
              <w:rPr>
                <w:sz w:val="14"/>
                <w:szCs w:val="14"/>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May 3, 2025</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20" w:type="dxa"/>
            <w:vAlign w:val="bottom"/>
          </w:tcPr>
          <w:p>
            <w:pPr>
              <w:spacing w:after="0"/>
              <w:rPr>
                <w:sz w:val="12"/>
                <w:szCs w:val="12"/>
                <w:color w:val="auto"/>
              </w:rPr>
            </w:pPr>
          </w:p>
        </w:tc>
        <w:tc>
          <w:tcPr>
            <w:tcW w:w="1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320" w:type="dxa"/>
            <w:vAlign w:val="bottom"/>
          </w:tcPr>
          <w:p>
            <w:pPr>
              <w:spacing w:after="0"/>
              <w:rPr>
                <w:sz w:val="12"/>
                <w:szCs w:val="12"/>
                <w:color w:val="auto"/>
              </w:rPr>
            </w:pPr>
          </w:p>
        </w:tc>
        <w:tc>
          <w:tcPr>
            <w:tcW w:w="1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80" w:type="dxa"/>
            <w:vAlign w:val="bottom"/>
            <w:tcBorders>
              <w:top w:val="single" w:sz="8" w:color="auto"/>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(12.7)</w:t>
            </w:r>
          </w:p>
        </w:tc>
        <w:tc>
          <w:tcPr>
            <w:tcW w:w="3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flow used for investing activities was $(3.8) million as compared to cash flow provided by investing activities of $8.3 million for the first three months of fiscal 2025. The decrease in cash flow from investing activities of $(12.1) million was primarily due to a decrease in proceeds from short-term investments partially offset by a decrease in capital expenditures in fiscal 2026 as compared to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 revolving credit agreement with Citizens Bank, N.A., which was most recently amended in the third quarter of fiscal 2025 (as amended, the "Credit Facility"). The Credit Facility, which expires August 13, 2030, provides a revolving commitment of $100.0 million, a sublimit for swing-line loans of $10.0 million and a sublimit of $20.0 million for commercial and standby letters of credit.</w:t>
      </w:r>
    </w:p>
    <w:p>
      <w:pPr>
        <w:spacing w:after="0" w:line="17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Borrowings under the Credit Facility bear interest at either a Base Rate (as defined in the Credit Facility) or Daily Simple Secured Overnight Financing Rate (“SOFR”) rate, at our option. Base Rate loans will bear interest at a rate equal to (i) the greater of: (a) the Prime Rate (as defined in the Credit Facility), (b) the Federal Funds (as defined in the Credit Facility) effective rate plus 0.50% per annum and (c) the Daily Simple SOFR rate plus 1.00% per annum (provided the Base Rate shall never be less than the Floor (as defined in the Credit Facility)), plus (ii) a varying percentage, based on our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spacing w:after="0" w:line="171" w:lineRule="exact"/>
        <w:rPr>
          <w:sz w:val="20"/>
          <w:szCs w:val="20"/>
          <w:color w:val="auto"/>
        </w:rPr>
      </w:pPr>
    </w:p>
    <w:p>
      <w:pPr>
        <w:ind w:right="400"/>
        <w:spacing w:after="0" w:line="257" w:lineRule="auto"/>
        <w:rPr>
          <w:sz w:val="20"/>
          <w:szCs w:val="20"/>
          <w:color w:val="auto"/>
        </w:rPr>
      </w:pPr>
      <w:r>
        <w:rPr>
          <w:rFonts w:ascii="Times New Roman" w:cs="Times New Roman" w:eastAsia="Times New Roman" w:hAnsi="Times New Roman"/>
          <w:sz w:val="18"/>
          <w:szCs w:val="18"/>
          <w:color w:val="auto"/>
        </w:rPr>
        <w:t>We had no outstanding borrowings under the Credit Facility at May 2, 2026 and no borrowings during the first three months of fiscal 2026. At May 2, 2026, outstanding standby letters of credit were $3.6 million. The average unused excess availability during the first three months of fiscal 2026 was approximately $73.6 million and the unused excess availability at May 2, 2026 was $70.0 million.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May 2, 2026 and May 3, 2025, respectively: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rPr>
              <w:t>Number of</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May 2, 2026</w:t>
            </w:r>
          </w:p>
        </w:tc>
        <w:tc>
          <w:tcPr>
            <w:tcW w:w="10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Square</w:t>
            </w:r>
          </w:p>
        </w:tc>
        <w:tc>
          <w:tcPr>
            <w:tcW w:w="166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May 3, 2025</w:t>
            </w:r>
          </w:p>
        </w:tc>
        <w:tc>
          <w:tcPr>
            <w:tcW w:w="10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Square</w:t>
            </w: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Store Concept</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Stores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Footage</w:t>
            </w:r>
          </w:p>
        </w:tc>
        <w:tc>
          <w:tcPr>
            <w:tcW w:w="16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Stores</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Footage</w:t>
            </w:r>
          </w:p>
        </w:tc>
        <w:tc>
          <w:tcPr>
            <w:tcW w:w="0" w:type="dxa"/>
            <w:vAlign w:val="bottom"/>
          </w:tcPr>
          <w:p>
            <w:pPr>
              <w:spacing w:after="0"/>
              <w:rPr>
                <w:sz w:val="1"/>
                <w:szCs w:val="1"/>
                <w:color w:val="auto"/>
              </w:rPr>
            </w:pPr>
          </w:p>
        </w:tc>
      </w:tr>
      <w:tr>
        <w:trPr>
          <w:trHeight w:val="186"/>
        </w:trPr>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DXL Retail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6"/>
              </w:rPr>
              <w:t>257</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1,843</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DXL Outlets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Casual Male XL Retail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Casual Male Outlets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293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1,985</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first three months of fiscal 2026, we closed one DXL retail store and one Casual Male XL outlet store. We expect our capital expenditures for fiscal 2026 to range from $8.0 million to $12.0 million, net of tenant incentives. Our store development plans for fiscal 2026 will be limited to conversions of a few remaining Casual Male XL stores to the DXL format, store relocations and other capital projects necessary to maintain our existing store portfolio and distribution center. The remainder of our expected capital spend for fiscal 2026 will primarily be for technology-related projects to support our business initiatives.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critical accounting policies and estimates disclosed in our Fiscal 2025 Annual Report. See Note 1,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w:t>
      </w:r>
      <w:r>
        <w:rPr>
          <w:rFonts w:ascii="Times New Roman" w:cs="Times New Roman" w:eastAsia="Times New Roman" w:hAnsi="Times New Roman"/>
          <w:sz w:val="18"/>
          <w:szCs w:val="18"/>
          <w:color w:val="auto"/>
        </w:rPr>
        <w:t>to the Consolidated Financial Statements included in this Quarterly Report for information on recent accounting pronouncements and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accounting principles.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Free cash flow, free cash flow before capital expenditures for store development, adjusted net loss, adjusted net loss per diluted share, adjusted EBITDA and adjusted EBITDA margin are non-GAAP measures. These non-GAAP measures are not presented in accordance with GAAP and should not be considered superior to or as a substitute for net income (loss), net income (loss) per diluted share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Reconciliations of these non-GAAP measures are presented in the following tables </w:t>
      </w:r>
      <w:r>
        <w:rPr>
          <w:rFonts w:ascii="Times New Roman" w:cs="Times New Roman" w:eastAsia="Times New Roman" w:hAnsi="Times New Roman"/>
          <w:sz w:val="18"/>
          <w:szCs w:val="18"/>
          <w:i w:val="1"/>
          <w:iCs w:val="1"/>
          <w:color w:val="auto"/>
        </w:rPr>
        <w:t>(certain columns may not foot due to rounding)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Adjusted Net Loss and Adjusted Net Loss Per Diluted Share</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Adjusted net loss and adjusted net loss per diluted share reflect an adjustment assuming a normal tax rate of 26% and the add back of transaction-related costs. We have fully reserved against our net deferred tax assets and, therefore, the net loss in the first quarter of fiscal 2026 is not reflective of earnings assuming a “normal” tax position. Adjusted net loss provides investors with a useful indication of the financial performance of the business, on a comparative basis, assuming a normalized tax rate of 26%. The estimated normal tax rate of 26% includes a blended state income tax rate. The Company believes that this comparability is useful in comparing the actual results period to period. Adjusted net loss per diluted share is then calculated by dividing the adjusted net loss by the weighted average shares outstanding for the respective period, on a diluted basis. The following table is a reconciliation of net loss on a GAAP basis to adjusted net loss, on a non-GAAP basis, for each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8"/>
        </w:trPr>
        <w:tc>
          <w:tcPr>
            <w:tcW w:w="21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May 2, 2026</w:t>
            </w:r>
          </w:p>
        </w:tc>
        <w:tc>
          <w:tcPr>
            <w:tcW w:w="18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1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May 3, 2025</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2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12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460" w:type="dxa"/>
            <w:vAlign w:val="bottom"/>
          </w:tcPr>
          <w:p>
            <w:pPr>
              <w:spacing w:after="0"/>
              <w:rPr>
                <w:sz w:val="12"/>
                <w:szCs w:val="12"/>
                <w:color w:val="auto"/>
              </w:rPr>
            </w:pPr>
          </w:p>
        </w:tc>
        <w:tc>
          <w:tcPr>
            <w:tcW w:w="74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0" w:type="dxa"/>
            <w:vAlign w:val="bottom"/>
          </w:tcPr>
          <w:p>
            <w:pPr>
              <w:spacing w:after="0"/>
              <w:rPr>
                <w:sz w:val="1"/>
                <w:szCs w:val="1"/>
                <w:color w:val="auto"/>
              </w:rPr>
            </w:pPr>
          </w:p>
        </w:tc>
      </w:tr>
      <w:tr>
        <w:trPr>
          <w:trHeight w:val="171"/>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share</w:t>
            </w:r>
          </w:p>
        </w:tc>
        <w:tc>
          <w:tcPr>
            <w:tcW w:w="4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28"/>
        </w:trPr>
        <w:tc>
          <w:tcPr>
            <w:tcW w:w="446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(GAAP)</w:t>
            </w:r>
          </w:p>
        </w:tc>
        <w:tc>
          <w:tcPr>
            <w:tcW w:w="232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(5,939)</w:t>
            </w:r>
          </w:p>
        </w:tc>
        <w:tc>
          <w:tcPr>
            <w:tcW w:w="300" w:type="dxa"/>
            <w:vAlign w:val="bottom"/>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(0.11)</w:t>
            </w:r>
          </w:p>
        </w:tc>
        <w:tc>
          <w:tcPr>
            <w:tcW w:w="460" w:type="dxa"/>
            <w:vAlign w:val="bottom"/>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(1,939)</w:t>
            </w:r>
          </w:p>
        </w:tc>
        <w:tc>
          <w:tcPr>
            <w:tcW w:w="2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 back:</w:t>
            </w: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Transaction-related costs</w:t>
            </w:r>
          </w:p>
        </w:tc>
        <w:tc>
          <w:tcPr>
            <w:tcW w:w="10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Actual provision (benefit) for income taxes</w:t>
            </w: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(4,636)</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(3,150)</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assuming a normalized tax rate of 26%</w:t>
            </w: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(1,205)</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net loss (non-GAAP)</w:t>
            </w:r>
          </w:p>
        </w:tc>
        <w:tc>
          <w:tcPr>
            <w:tcW w:w="10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(3,431)</w:t>
            </w:r>
          </w:p>
        </w:tc>
        <w:tc>
          <w:tcPr>
            <w:tcW w:w="300" w:type="dxa"/>
            <w:vAlign w:val="bottom"/>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(0.06)</w:t>
            </w:r>
          </w:p>
        </w:tc>
        <w:tc>
          <w:tcPr>
            <w:tcW w:w="460" w:type="dxa"/>
            <w:vAlign w:val="bottom"/>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(2,331)</w:t>
            </w:r>
          </w:p>
        </w:tc>
        <w:tc>
          <w:tcPr>
            <w:tcW w:w="2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42"/>
        </w:trPr>
        <w:tc>
          <w:tcPr>
            <w:tcW w:w="2140" w:type="dxa"/>
            <w:vAlign w:val="bottom"/>
            <w:tcBorders>
              <w:top w:val="single" w:sz="8" w:color="CFF0FC"/>
            </w:tcBorders>
          </w:tcPr>
          <w:p>
            <w:pPr>
              <w:spacing w:after="0"/>
              <w:rPr>
                <w:sz w:val="12"/>
                <w:szCs w:val="12"/>
                <w:color w:val="auto"/>
              </w:rPr>
            </w:pPr>
          </w:p>
        </w:tc>
        <w:tc>
          <w:tcPr>
            <w:tcW w:w="232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common</w:t>
            </w:r>
          </w:p>
        </w:tc>
        <w:tc>
          <w:tcPr>
            <w:tcW w:w="10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outstanding on a diluted basis</w:t>
            </w: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54,916</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-316230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-316230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-316230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define free cash flow as cash flow from operating activities less capital expenditures. We define free cash flow before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for store development as cash flow from operations less all capital expenditures except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 Free cash flow excludes the mandatory and discretionary repayment of debt. Free cash flow is a metric that management uses to monitor liquidity. Management believes this metric is important to investors because it demonstrates the Company's ability to strengthen liquidity while supporting its capital projects and new store development. We expect to fund our ongoing capital expenditures with cash flow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free cash flow: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May 2, 2026</w:t>
            </w:r>
          </w:p>
        </w:tc>
        <w:tc>
          <w:tcPr>
            <w:tcW w:w="320" w:type="dxa"/>
            <w:vAlign w:val="bottom"/>
          </w:tcPr>
          <w:p>
            <w:pPr>
              <w:spacing w:after="0"/>
              <w:rPr>
                <w:sz w:val="14"/>
                <w:szCs w:val="14"/>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May 3, 2025</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20" w:type="dxa"/>
            <w:vAlign w:val="bottom"/>
          </w:tcPr>
          <w:p>
            <w:pPr>
              <w:spacing w:after="0"/>
              <w:rPr>
                <w:sz w:val="12"/>
                <w:szCs w:val="12"/>
                <w:color w:val="auto"/>
              </w:rPr>
            </w:pPr>
          </w:p>
        </w:tc>
        <w:tc>
          <w:tcPr>
            <w:tcW w:w="1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2"/>
                <w:szCs w:val="12"/>
                <w:color w:val="auto"/>
              </w:rPr>
            </w:pPr>
          </w:p>
        </w:tc>
      </w:tr>
      <w:tr>
        <w:trPr>
          <w:trHeight w:val="149"/>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320" w:type="dxa"/>
            <w:vAlign w:val="bottom"/>
          </w:tcPr>
          <w:p>
            <w:pPr>
              <w:spacing w:after="0"/>
              <w:rPr>
                <w:sz w:val="12"/>
                <w:szCs w:val="12"/>
                <w:color w:val="auto"/>
              </w:rPr>
            </w:pPr>
          </w:p>
        </w:tc>
        <w:tc>
          <w:tcPr>
            <w:tcW w:w="1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80" w:type="dxa"/>
            <w:vAlign w:val="bottom"/>
            <w:tcBorders>
              <w:top w:val="single" w:sz="8" w:color="auto"/>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(12.7)</w:t>
            </w:r>
          </w:p>
        </w:tc>
        <w:tc>
          <w:tcPr>
            <w:tcW w:w="3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 and Adjusted EBITDA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is calculated as earnings before interest, taxes, depreciation and amortization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adding back transaction-related expenses. Adjusted EBITDA margin is calculated as Adjusted EBITDA divided by Sales. We believe that providing adjusted EBITDA and adjusted EBITDA margin is useful to investors in evaluating our performance and are key metrics to measure profitability and economic productivity. The following table reconciles adjusted EBITDA from net income and calculates adjusted EBITDA margin: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346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260" w:type="dxa"/>
            <w:vAlign w:val="bottom"/>
            <w:vMerge w:val="restart"/>
          </w:tcPr>
          <w:p>
            <w:pPr>
              <w:spacing w:after="0"/>
              <w:rPr>
                <w:sz w:val="14"/>
                <w:szCs w:val="14"/>
                <w:color w:val="auto"/>
              </w:rPr>
            </w:pPr>
          </w:p>
        </w:tc>
        <w:tc>
          <w:tcPr>
            <w:tcW w:w="13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May 2, 2026</w:t>
            </w: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color w:val="auto"/>
              </w:rPr>
              <w:t>May 3, 2025</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20" w:type="dxa"/>
            <w:vAlign w:val="bottom"/>
            <w:tcBorders>
              <w:bottom w:val="single" w:sz="8" w:color="auto"/>
            </w:tcBorders>
            <w:vMerge w:val="continue"/>
          </w:tcPr>
          <w:p>
            <w:pPr>
              <w:spacing w:after="0"/>
              <w:rPr>
                <w:sz w:val="12"/>
                <w:szCs w:val="12"/>
                <w:color w:val="auto"/>
              </w:rPr>
            </w:pPr>
          </w:p>
        </w:tc>
        <w:tc>
          <w:tcPr>
            <w:tcW w:w="6260" w:type="dxa"/>
            <w:vAlign w:val="bottom"/>
            <w:vMerge w:val="continue"/>
          </w:tcPr>
          <w:p>
            <w:pPr>
              <w:spacing w:after="0"/>
              <w:rPr>
                <w:sz w:val="12"/>
                <w:szCs w:val="12"/>
                <w:color w:val="auto"/>
              </w:rPr>
            </w:pPr>
          </w:p>
        </w:tc>
        <w:tc>
          <w:tcPr>
            <w:tcW w:w="1320" w:type="dxa"/>
            <w:vAlign w:val="bottom"/>
            <w:vMerge w:val="restart"/>
          </w:tcPr>
          <w:p>
            <w:pPr>
              <w:jc w:val="right"/>
              <w:ind w:right="119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(5.9)</w:t>
            </w:r>
          </w:p>
        </w:tc>
        <w:tc>
          <w:tcPr>
            <w:tcW w:w="1300" w:type="dxa"/>
            <w:vAlign w:val="bottom"/>
            <w:vMerge w:val="restart"/>
          </w:tcPr>
          <w:p>
            <w:pPr>
              <w:jc w:val="right"/>
              <w:ind w:right="118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6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loss (GAAP)</w:t>
            </w:r>
          </w:p>
        </w:tc>
        <w:tc>
          <w:tcPr>
            <w:tcW w:w="13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1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Transaction-related expenses</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13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6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32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30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8"/>
        </w:trPr>
        <w:tc>
          <w:tcPr>
            <w:tcW w:w="698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32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42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4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Adjusted EBITDA (non-GAAP)</w:t>
            </w:r>
          </w:p>
        </w:tc>
        <w:tc>
          <w:tcPr>
            <w:tcW w:w="1320" w:type="dxa"/>
            <w:vAlign w:val="bottom"/>
          </w:tcPr>
          <w:p>
            <w:pPr>
              <w:jc w:val="right"/>
              <w:ind w:right="119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(0.7)</w:t>
            </w:r>
          </w:p>
        </w:tc>
        <w:tc>
          <w:tcPr>
            <w:tcW w:w="1300" w:type="dxa"/>
            <w:vAlign w:val="bottom"/>
          </w:tcPr>
          <w:p>
            <w:pPr>
              <w:jc w:val="right"/>
              <w:ind w:right="118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shd w:val="clear" w:color="auto" w:fill="CFF0FC"/>
          </w:tcPr>
          <w:p>
            <w:pPr>
              <w:spacing w:after="0"/>
              <w:rPr>
                <w:sz w:val="11"/>
                <w:szCs w:val="11"/>
                <w:color w:val="auto"/>
              </w:rPr>
            </w:pPr>
          </w:p>
        </w:tc>
        <w:tc>
          <w:tcPr>
            <w:tcW w:w="6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1320" w:type="dxa"/>
            <w:vAlign w:val="bottom"/>
          </w:tcPr>
          <w:p>
            <w:pPr>
              <w:jc w:val="right"/>
              <w:ind w:right="119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420" w:type="dxa"/>
            <w:vAlign w:val="bottom"/>
          </w:tcPr>
          <w:p>
            <w:pPr>
              <w:spacing w:after="0"/>
              <w:rPr>
                <w:sz w:val="12"/>
                <w:szCs w:val="12"/>
                <w:color w:val="auto"/>
              </w:rPr>
            </w:pPr>
          </w:p>
        </w:tc>
        <w:tc>
          <w:tcPr>
            <w:tcW w:w="1300" w:type="dxa"/>
            <w:vAlign w:val="bottom"/>
          </w:tcPr>
          <w:p>
            <w:pPr>
              <w:jc w:val="right"/>
              <w:ind w:right="118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3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3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-410845</wp:posOffset>
            </wp:positionV>
            <wp:extent cx="1200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-410845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interest rate previously disclosed in Part II, Item 7A of our Fiscal 2025 Annual Report.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2, 2026.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2, 2026, our disclosure controls and procedures were effective.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We have not experienced any changes in our internal control over financial reporting (as defined in Rules 13a-15(f) and 15d-15(f) under the Exchange Act) during the three months ended May 2, 2026 that has materially affected, or is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We currently believe that the resolution of these matters will not have a material adverse impact on our future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of our Fiscal 2025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May 2, 2026,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pursuant to Rule 13a-14(a) under the Securities Exchange Act of 1934*.</w:t>
            </w: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the Company pursuant to Rule 13a-14(a) under the Securities Exchange Act of 1934.*</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gridSpan w:val="2"/>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196"/>
        </w:trPr>
        <w:tc>
          <w:tcPr>
            <w:tcW w:w="960" w:type="dxa"/>
            <w:vAlign w:val="bottom"/>
          </w:tcPr>
          <w:p>
            <w:pPr>
              <w:spacing w:after="0"/>
              <w:rPr>
                <w:sz w:val="17"/>
                <w:szCs w:val="17"/>
                <w:color w:val="auto"/>
              </w:rPr>
            </w:pPr>
          </w:p>
        </w:tc>
        <w:tc>
          <w:tcPr>
            <w:tcW w:w="10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9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6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9380" w:type="dxa"/>
            <w:vAlign w:val="bottom"/>
            <w:gridSpan w:val="5"/>
          </w:tcPr>
          <w:p>
            <w:pPr>
              <w:spacing w:after="0" w:line="20" w:lineRule="exact"/>
              <w:rPr>
                <w:sz w:val="1"/>
                <w:szCs w:val="1"/>
                <w:color w:val="auto"/>
              </w:rPr>
            </w:pPr>
          </w:p>
        </w:tc>
      </w:tr>
      <w:tr>
        <w:trPr>
          <w:trHeight w:val="4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960" w:type="dxa"/>
            <w:vAlign w:val="bottom"/>
          </w:tcPr>
          <w:p>
            <w:pPr>
              <w:spacing w:after="0"/>
              <w:rPr>
                <w:sz w:val="20"/>
                <w:szCs w:val="20"/>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bl>
    <w:p>
      <w:pPr>
        <w:spacing w:after="0" w:line="198" w:lineRule="exact"/>
        <w:rPr>
          <w:sz w:val="20"/>
          <w:szCs w:val="20"/>
          <w:color w:val="auto"/>
        </w:rPr>
      </w:pPr>
    </w:p>
    <w:p>
      <w:pPr>
        <w:ind w:left="1020" w:right="140" w:hanging="951"/>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DESTINATION XL GROUP, INC.</w:t>
            </w:r>
          </w:p>
        </w:tc>
      </w:tr>
      <w:tr>
        <w:trPr>
          <w:trHeight w:val="45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June 03, 2026</w:t>
            </w:r>
          </w:p>
        </w:tc>
        <w:tc>
          <w:tcPr>
            <w:tcW w:w="30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Cooney</w:t>
            </w:r>
          </w:p>
        </w:tc>
      </w:tr>
      <w:tr>
        <w:trPr>
          <w:trHeight w:val="211"/>
        </w:trPr>
        <w:tc>
          <w:tcPr>
            <w:tcW w:w="3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John F. Cooney</w:t>
            </w:r>
          </w:p>
        </w:tc>
      </w:tr>
    </w:tbl>
    <w:p>
      <w:pPr>
        <w:ind w:left="676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Corporate Controller (Duly Authorized Officer and Chief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0" w:val="left"/>
          <w:tab w:leader="none" w:pos="6760" w:val="left"/>
          <w:tab w:leader="none" w:pos="8400" w:val="left"/>
        </w:tabs>
        <w:rPr>
          <w:sz w:val="20"/>
          <w:szCs w:val="20"/>
          <w:color w:val="auto"/>
        </w:rPr>
      </w:pPr>
      <w:r>
        <w:rPr>
          <w:rFonts w:ascii="Times New Roman" w:cs="Times New Roman" w:eastAsia="Times New Roman" w:hAnsi="Times New Roman"/>
          <w:sz w:val="18"/>
          <w:szCs w:val="18"/>
          <w:color w:val="auto"/>
        </w:rPr>
        <w:t>Date:</w:t>
        <w:tab/>
        <w:t>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May 2, 2026, as filed with the Securities and Exchange Commission on the date hereof (the “Report”), I, Harvey S. Kanter, Chief Executive Officer of the Company, certify pursuant to 18 U.S.C. § 1350, as adopted pursuant to § 906 of the Sarbanes-Oxley Act of 2002, that:</w:t>
      </w:r>
    </w:p>
    <w:p>
      <w:pPr>
        <w:spacing w:after="0" w:line="68" w:lineRule="exact"/>
        <w:rPr>
          <w:sz w:val="20"/>
          <w:szCs w:val="20"/>
          <w:color w:val="auto"/>
        </w:rPr>
      </w:pPr>
    </w:p>
    <w:p>
      <w:pPr>
        <w:ind w:left="1400" w:right="480" w:hanging="374"/>
        <w:spacing w:after="0" w:line="282" w:lineRule="auto"/>
        <w:tabs>
          <w:tab w:leader="none" w:pos="12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spacing w:after="0"/>
        <w:tabs>
          <w:tab w:leader="none" w:pos="600" w:val="left"/>
          <w:tab w:leader="none" w:pos="6760" w:val="left"/>
          <w:tab w:leader="none" w:pos="8440" w:val="left"/>
        </w:tabs>
        <w:rPr>
          <w:sz w:val="20"/>
          <w:szCs w:val="20"/>
          <w:color w:val="auto"/>
        </w:rPr>
      </w:pPr>
      <w:r>
        <w:rPr>
          <w:rFonts w:ascii="Times New Roman" w:cs="Times New Roman" w:eastAsia="Times New Roman" w:hAnsi="Times New Roman"/>
          <w:sz w:val="18"/>
          <w:szCs w:val="18"/>
          <w:color w:val="auto"/>
        </w:rPr>
        <w:t>Date:</w:t>
        <w:tab/>
        <w:t>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Harvey S. Kanter</w:t>
      </w:r>
    </w:p>
    <w:p>
      <w:pPr>
        <w:spacing w:after="0" w:line="8"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9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May 2, 2026,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8" w:lineRule="exact"/>
        <w:rPr>
          <w:sz w:val="20"/>
          <w:szCs w:val="20"/>
          <w:color w:val="auto"/>
        </w:rPr>
      </w:pPr>
    </w:p>
    <w:p>
      <w:pPr>
        <w:ind w:left="1400" w:right="480" w:hanging="374"/>
        <w:spacing w:after="0" w:line="282" w:lineRule="auto"/>
        <w:tabs>
          <w:tab w:leader="none" w:pos="12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spacing w:after="0"/>
        <w:tabs>
          <w:tab w:leader="none" w:pos="560" w:val="left"/>
          <w:tab w:leader="none" w:pos="6760" w:val="left"/>
          <w:tab w:leader="none" w:pos="8340" w:val="left"/>
        </w:tabs>
        <w:rPr>
          <w:sz w:val="20"/>
          <w:szCs w:val="20"/>
          <w:color w:val="auto"/>
        </w:rPr>
      </w:pPr>
      <w:r>
        <w:rPr>
          <w:rFonts w:ascii="Times New Roman" w:cs="Times New Roman" w:eastAsia="Times New Roman" w:hAnsi="Times New Roman"/>
          <w:sz w:val="18"/>
          <w:szCs w:val="18"/>
          <w:color w:val="auto"/>
        </w:rPr>
        <w:t>Date:</w:t>
        <w:tab/>
        <w:t>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Peter H. Stratton, Jr.</w:t>
      </w:r>
    </w:p>
    <w:p>
      <w:pPr>
        <w:spacing w:after="0" w:line="8"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9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04"/>
    </w:lvl>
    <w:lvl w:ilvl="1">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2026-06-03T15:29:25Z</dcterms:created>
  <dcterms:modified xsi:type="dcterms:W3CDTF">2026-06-03T15:29:25Z</dcterms:modified>
</cp:coreProperties>
</file>