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4437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4373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Dhoot Ujjwal</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DESTINATION XL GROUP,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555 TURNPIKE STREET</w:t>
      </w:r>
    </w:p>
    <w:p>
      <w:pPr>
        <w:spacing w:after="0" w:line="276"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CANTON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02021</w:t>
            </w:r>
          </w:p>
        </w:tc>
      </w:tr>
      <w:tr>
        <w:trPr>
          <w:trHeight w:val="147"/>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9"/>
        </w:trPr>
        <w:tc>
          <w:tcPr>
            <w:tcW w:w="3820" w:type="dxa"/>
            <w:vAlign w:val="bottom"/>
            <w:gridSpan w:val="4"/>
          </w:tcPr>
          <w:p>
            <w:pPr>
              <w:ind w:left="60"/>
              <w:spacing w:after="0" w:line="20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DESTINATION XL GROUP,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DXLG</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760" w:type="dxa"/>
            <w:vAlign w:val="bottom"/>
            <w:tcBorders>
              <w:top w:val="single" w:sz="8" w:color="0000EE"/>
            </w:tcBorders>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ind w:left="120"/>
              <w:spacing w:after="0" w:line="142" w:lineRule="exact"/>
              <w:rPr>
                <w:sz w:val="20"/>
                <w:szCs w:val="20"/>
                <w:color w:val="auto"/>
              </w:rPr>
            </w:pPr>
            <w:r>
              <w:rPr>
                <w:rFonts w:ascii="Arial" w:cs="Arial" w:eastAsia="Arial" w:hAnsi="Arial"/>
                <w:sz w:val="13"/>
                <w:szCs w:val="13"/>
                <w:color w:val="auto"/>
              </w:rPr>
              <w:t>Director</w:t>
            </w:r>
          </w:p>
        </w:tc>
        <w:tc>
          <w:tcPr>
            <w:tcW w:w="1460" w:type="dxa"/>
            <w:vAlign w:val="bottom"/>
          </w:tcPr>
          <w:p>
            <w:pPr>
              <w:ind w:left="340"/>
              <w:spacing w:after="0" w:line="142"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6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2760" w:type="dxa"/>
            <w:vAlign w:val="bottom"/>
            <w:tcBorders>
              <w:bottom w:val="single" w:sz="8" w:color="808080"/>
            </w:tcBorders>
          </w:tcPr>
          <w:p>
            <w:pPr>
              <w:spacing w:after="0"/>
              <w:rPr>
                <w:sz w:val="15"/>
                <w:szCs w:val="15"/>
                <w:color w:val="auto"/>
              </w:rPr>
            </w:pPr>
          </w:p>
        </w:tc>
        <w:tc>
          <w:tcPr>
            <w:tcW w:w="880" w:type="dxa"/>
            <w:vAlign w:val="bottom"/>
            <w:tcBorders>
              <w:bottom w:val="single" w:sz="8" w:color="808080"/>
            </w:tcBorders>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8"/>
        </w:trPr>
        <w:tc>
          <w:tcPr>
            <w:tcW w:w="18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360" w:type="dxa"/>
            <w:vAlign w:val="bottom"/>
            <w:vMerge w:val="restart"/>
          </w:tcPr>
          <w:p>
            <w:pPr>
              <w:ind w:left="120"/>
              <w:spacing w:after="0" w:line="122"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Chief Marketing Officer</w:t>
            </w:r>
          </w:p>
        </w:tc>
        <w:tc>
          <w:tcPr>
            <w:tcW w:w="0" w:type="dxa"/>
            <w:vAlign w:val="bottom"/>
          </w:tcPr>
          <w:p>
            <w:pPr>
              <w:spacing w:after="0"/>
              <w:rPr>
                <w:sz w:val="1"/>
                <w:szCs w:val="1"/>
                <w:color w:val="auto"/>
              </w:rPr>
            </w:pPr>
          </w:p>
        </w:tc>
      </w:tr>
      <w:tr>
        <w:trPr>
          <w:trHeight w:val="216"/>
        </w:trPr>
        <w:tc>
          <w:tcPr>
            <w:tcW w:w="29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04/09/2022</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6"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 Derivative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 (Instr. 3 and</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15"/>
                <w:szCs w:val="15"/>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13,839</w:t>
            </w:r>
            <w:r>
              <w:rPr>
                <w:rFonts w:ascii="Times New Roman" w:cs="Times New Roman" w:eastAsia="Times New Roman" w:hAnsi="Times New Roman"/>
                <w:sz w:val="21"/>
                <w:szCs w:val="21"/>
                <w:color w:val="008000"/>
                <w:w w:val="98"/>
                <w:vertAlign w:val="superscript"/>
              </w:rPr>
              <w:t>(2)</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320"/>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80" w:type="dxa"/>
            <w:vAlign w:val="bottom"/>
          </w:tcPr>
          <w:p>
            <w:pPr>
              <w:jc w:val="right"/>
              <w:ind w:right="181"/>
              <w:spacing w:after="0" w:line="128" w:lineRule="exact"/>
              <w:rPr>
                <w:sz w:val="20"/>
                <w:szCs w:val="20"/>
                <w:color w:val="auto"/>
              </w:rPr>
            </w:pPr>
            <w:r>
              <w:rPr>
                <w:rFonts w:ascii="Times New Roman" w:cs="Times New Roman" w:eastAsia="Times New Roman" w:hAnsi="Times New Roman"/>
                <w:sz w:val="13"/>
                <w:szCs w:val="13"/>
                <w:color w:val="0000FF"/>
              </w:rPr>
              <w:t>04/09/2022</w:t>
            </w:r>
          </w:p>
        </w:tc>
        <w:tc>
          <w:tcPr>
            <w:tcW w:w="1060" w:type="dxa"/>
            <w:vAlign w:val="bottom"/>
          </w:tcPr>
          <w:p>
            <w:pPr>
              <w:spacing w:after="0"/>
              <w:rPr>
                <w:sz w:val="11"/>
                <w:szCs w:val="11"/>
                <w:color w:val="auto"/>
              </w:rPr>
            </w:pPr>
          </w:p>
        </w:tc>
        <w:tc>
          <w:tcPr>
            <w:tcW w:w="800" w:type="dxa"/>
            <w:vAlign w:val="bottom"/>
          </w:tcPr>
          <w:p>
            <w:pPr>
              <w:ind w:left="18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28" w:lineRule="exact"/>
              <w:rPr>
                <w:sz w:val="20"/>
                <w:szCs w:val="20"/>
                <w:color w:val="auto"/>
              </w:rPr>
            </w:pPr>
            <w:r>
              <w:rPr>
                <w:rFonts w:ascii="Times New Roman" w:cs="Times New Roman" w:eastAsia="Times New Roman" w:hAnsi="Times New Roman"/>
                <w:sz w:val="13"/>
                <w:szCs w:val="13"/>
                <w:color w:val="0000FF"/>
              </w:rPr>
              <w:t>13,839</w:t>
            </w:r>
          </w:p>
        </w:tc>
        <w:tc>
          <w:tcPr>
            <w:tcW w:w="2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Times New Roman" w:cs="Times New Roman" w:eastAsia="Times New Roman" w:hAnsi="Times New Roman"/>
                <w:sz w:val="13"/>
                <w:szCs w:val="13"/>
                <w:color w:val="0000FF"/>
              </w:rPr>
              <w:t>04/09/2032</w:t>
            </w:r>
          </w:p>
        </w:tc>
        <w:tc>
          <w:tcPr>
            <w:tcW w:w="62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tcPr>
          <w:p>
            <w:pPr>
              <w:ind w:left="280"/>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28" w:lineRule="exact"/>
              <w:rPr>
                <w:sz w:val="20"/>
                <w:szCs w:val="20"/>
                <w:color w:val="auto"/>
              </w:rPr>
            </w:pPr>
            <w:r>
              <w:rPr>
                <w:rFonts w:ascii="Times New Roman" w:cs="Times New Roman" w:eastAsia="Times New Roman" w:hAnsi="Times New Roman"/>
                <w:sz w:val="13"/>
                <w:szCs w:val="13"/>
                <w:color w:val="0000FF"/>
              </w:rPr>
              <w:t>13,839</w:t>
            </w:r>
          </w:p>
        </w:tc>
        <w:tc>
          <w:tcPr>
            <w:tcW w:w="72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700"/>
        <w:spacing w:after="0" w:line="250"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("RSUs") represent the time-based portion of the 2022-2024 Long-Term Incentive Plan award to the Reporting Person. The RSUs vest and become exercisable in four equal installments on April 9, 2023, April 1, 2024, April 1, 2025 and April 1, 2026.</w:t>
      </w:r>
    </w:p>
    <w:p>
      <w:pPr>
        <w:spacing w:after="0" w:line="2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as defined in the Company's 2016 Incentive Compensation Plan, represents a contingent right to receive one share of DXLG common stock.</w:t>
      </w:r>
    </w:p>
    <w:p>
      <w:pPr>
        <w:spacing w:after="0" w:line="5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4"/>
              </w:rPr>
              <w:t>Ujjwal Dhoot</w:t>
            </w:r>
          </w:p>
        </w:tc>
        <w:tc>
          <w:tcPr>
            <w:tcW w:w="130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04/12/2022</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12939"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2022-04-12T15:30:47Z</dcterms:created>
  <dcterms:modified xsi:type="dcterms:W3CDTF">2022-04-12T15:30:47Z</dcterms:modified>
</cp:coreProperties>
</file>