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440" w:type="dxa"/>
        <w:tblCellMar>
          <w:top w:w="0" w:type="dxa"/>
          <w:left w:w="0" w:type="dxa"/>
          <w:bottom w:w="0" w:type="dxa"/>
          <w:right w:w="0" w:type="dxa"/>
        </w:tblCellMar>
      </w:tblPr>
      <w:tr>
        <w:trPr>
          <w:trHeight w:val="204"/>
        </w:trPr>
        <w:tc>
          <w:tcPr>
            <w:tcW w:w="3940" w:type="dxa"/>
            <w:vAlign w:val="bottom"/>
          </w:tcPr>
          <w:p>
            <w:pPr>
              <w:spacing w:after="0"/>
              <w:rPr>
                <w:sz w:val="17"/>
                <w:szCs w:val="17"/>
                <w:color w:val="auto"/>
              </w:rPr>
            </w:pPr>
          </w:p>
        </w:tc>
        <w:tc>
          <w:tcPr>
            <w:tcW w:w="33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94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rPr>
              <w:t>UNITED STATES</w:t>
            </w:r>
          </w:p>
        </w:tc>
        <w:tc>
          <w:tcPr>
            <w:tcW w:w="1220" w:type="dxa"/>
            <w:vAlign w:val="bottom"/>
          </w:tcPr>
          <w:p>
            <w:pPr>
              <w:spacing w:after="0"/>
              <w:rPr>
                <w:sz w:val="17"/>
                <w:szCs w:val="17"/>
                <w:color w:val="auto"/>
              </w:rPr>
            </w:pPr>
          </w:p>
        </w:tc>
        <w:tc>
          <w:tcPr>
            <w:tcW w:w="21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OMB APPROVAL</w:t>
            </w:r>
          </w:p>
        </w:tc>
      </w:tr>
      <w:tr>
        <w:trPr>
          <w:trHeight w:val="203"/>
        </w:trPr>
        <w:tc>
          <w:tcPr>
            <w:tcW w:w="3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6"/>
              </w:rPr>
              <w:t>SECURITIES AND EXCHANGE COMMISSION</w:t>
            </w:r>
          </w:p>
        </w:tc>
        <w:tc>
          <w:tcPr>
            <w:tcW w:w="1220" w:type="dxa"/>
            <w:vAlign w:val="bottom"/>
          </w:tcPr>
          <w:p>
            <w:pPr>
              <w:spacing w:after="0"/>
              <w:rPr>
                <w:sz w:val="17"/>
                <w:szCs w:val="17"/>
                <w:color w:val="auto"/>
              </w:rPr>
            </w:pPr>
          </w:p>
        </w:tc>
        <w:tc>
          <w:tcPr>
            <w:tcW w:w="21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39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Washington, DC 20549</w:t>
            </w:r>
          </w:p>
        </w:tc>
        <w:tc>
          <w:tcPr>
            <w:tcW w:w="23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OMB Number:</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3235-0145</w:t>
            </w:r>
          </w:p>
        </w:tc>
      </w:tr>
      <w:tr>
        <w:trPr>
          <w:trHeight w:val="203"/>
        </w:trPr>
        <w:tc>
          <w:tcPr>
            <w:tcW w:w="3940" w:type="dxa"/>
            <w:vAlign w:val="bottom"/>
          </w:tcPr>
          <w:p>
            <w:pPr>
              <w:spacing w:after="0"/>
              <w:rPr>
                <w:sz w:val="17"/>
                <w:szCs w:val="17"/>
                <w:color w:val="auto"/>
              </w:rPr>
            </w:pPr>
          </w:p>
        </w:tc>
        <w:tc>
          <w:tcPr>
            <w:tcW w:w="1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Expires:</w:t>
            </w:r>
          </w:p>
        </w:tc>
        <w:tc>
          <w:tcPr>
            <w:tcW w:w="2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October 31, 2002</w:t>
            </w:r>
          </w:p>
        </w:tc>
      </w:tr>
      <w:tr>
        <w:trPr>
          <w:trHeight w:val="203"/>
        </w:trPr>
        <w:tc>
          <w:tcPr>
            <w:tcW w:w="394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rPr>
              <w:t>SCHEDULE 13G</w:t>
            </w:r>
          </w:p>
        </w:tc>
        <w:tc>
          <w:tcPr>
            <w:tcW w:w="332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Estimated average burden</w:t>
            </w:r>
          </w:p>
        </w:tc>
      </w:tr>
      <w:tr>
        <w:trPr>
          <w:trHeight w:val="203"/>
        </w:trPr>
        <w:tc>
          <w:tcPr>
            <w:tcW w:w="3940" w:type="dxa"/>
            <w:vAlign w:val="bottom"/>
          </w:tcPr>
          <w:p>
            <w:pPr>
              <w:spacing w:after="0"/>
              <w:rPr>
                <w:sz w:val="17"/>
                <w:szCs w:val="17"/>
                <w:color w:val="auto"/>
              </w:rPr>
            </w:pPr>
          </w:p>
        </w:tc>
        <w:tc>
          <w:tcPr>
            <w:tcW w:w="238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rPr>
              <w:t>hours per response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14.90</w:t>
            </w:r>
          </w:p>
        </w:tc>
      </w:tr>
    </w:tbl>
    <w:p>
      <w:pPr>
        <w:ind w:left="2120"/>
        <w:spacing w:after="0"/>
        <w:tabs>
          <w:tab w:leader="none" w:pos="6720" w:val="left"/>
        </w:tabs>
        <w:rPr>
          <w:sz w:val="20"/>
          <w:szCs w:val="20"/>
          <w:color w:val="auto"/>
        </w:rPr>
      </w:pPr>
      <w:r>
        <w:rPr>
          <w:rFonts w:ascii="Courier New" w:cs="Courier New" w:eastAsia="Courier New" w:hAnsi="Courier New"/>
          <w:sz w:val="18"/>
          <w:szCs w:val="18"/>
          <w:color w:val="auto"/>
        </w:rPr>
        <w:t>Under the Securities Exchange Act of 1934</w:t>
      </w:r>
      <w:r>
        <w:rPr>
          <w:sz w:val="20"/>
          <w:szCs w:val="20"/>
          <w:color w:val="auto"/>
        </w:rPr>
        <w:tab/>
      </w:r>
      <w:r>
        <w:rPr>
          <w:rFonts w:ascii="Courier New" w:cs="Courier New" w:eastAsia="Courier New" w:hAnsi="Courier New"/>
          <w:sz w:val="16"/>
          <w:szCs w:val="16"/>
          <w:color w:val="auto"/>
        </w:rPr>
        <w:t>----------------------------</w:t>
      </w:r>
    </w:p>
    <w:p>
      <w:pPr>
        <w:ind w:left="338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25057L102</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July 18, 2002</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Rule 13d-1(b)</w:t>
      </w:r>
    </w:p>
    <w:p>
      <w:pPr>
        <w:spacing w:after="0" w:line="201" w:lineRule="exact"/>
        <w:rPr>
          <w:sz w:val="24"/>
          <w:szCs w:val="24"/>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640"/>
        <w:spacing w:after="0"/>
        <w:tabs>
          <w:tab w:leader="none" w:pos="14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6540"/>
        <w:spacing w:after="0"/>
        <w:rPr>
          <w:sz w:val="20"/>
          <w:szCs w:val="20"/>
          <w:color w:val="auto"/>
        </w:rPr>
      </w:pPr>
      <w:r>
        <w:rPr>
          <w:rFonts w:ascii="Courier New" w:cs="Courier New" w:eastAsia="Courier New" w:hAnsi="Courier New"/>
          <w:sz w:val="18"/>
          <w:szCs w:val="18"/>
          <w:color w:val="auto"/>
        </w:rPr>
        <w:t>Page 2 of 10 Pages</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25057L102</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NAME OF REPORTING PERSONS.</w:t>
      </w:r>
    </w:p>
    <w:p>
      <w:pPr>
        <w:ind w:left="1160"/>
        <w:spacing w:after="0" w:line="237" w:lineRule="auto"/>
        <w:rPr>
          <w:sz w:val="20"/>
          <w:szCs w:val="20"/>
          <w:color w:val="auto"/>
        </w:rPr>
      </w:pPr>
      <w:r>
        <w:rPr>
          <w:rFonts w:ascii="Courier New" w:cs="Courier New" w:eastAsia="Courier New" w:hAnsi="Courier New"/>
          <w:sz w:val="18"/>
          <w:szCs w:val="18"/>
          <w:color w:val="auto"/>
        </w:rPr>
        <w:t>I.R.S. IDENTIFICATION NOS. OF ABOVE PERSONS (ENTITIES ONLY).</w:t>
      </w:r>
    </w:p>
    <w:p>
      <w:pPr>
        <w:ind w:left="740"/>
        <w:spacing w:after="0" w:line="238" w:lineRule="auto"/>
        <w:rPr>
          <w:sz w:val="20"/>
          <w:szCs w:val="20"/>
          <w:color w:val="auto"/>
        </w:rPr>
      </w:pPr>
      <w:r>
        <w:rPr>
          <w:rFonts w:ascii="Courier New" w:cs="Courier New" w:eastAsia="Courier New" w:hAnsi="Courier New"/>
          <w:sz w:val="18"/>
          <w:szCs w:val="18"/>
          <w:color w:val="auto"/>
        </w:rPr>
        <w:t>1</w:t>
      </w:r>
    </w:p>
    <w:p>
      <w:pPr>
        <w:ind w:left="1160"/>
        <w:spacing w:after="0"/>
        <w:rPr>
          <w:sz w:val="20"/>
          <w:szCs w:val="20"/>
          <w:color w:val="auto"/>
        </w:rPr>
      </w:pPr>
      <w:r>
        <w:rPr>
          <w:rFonts w:ascii="Courier New" w:cs="Courier New" w:eastAsia="Courier New" w:hAnsi="Courier New"/>
          <w:sz w:val="18"/>
          <w:szCs w:val="18"/>
          <w:color w:val="auto"/>
        </w:rPr>
        <w:t>Husic Capital Management</w:t>
      </w:r>
    </w:p>
    <w:p>
      <w:pPr>
        <w:ind w:left="220" w:hanging="212"/>
        <w:spacing w:after="0" w:line="237"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2" w:lineRule="exact"/>
        <w:rPr>
          <w:sz w:val="24"/>
          <w:szCs w:val="24"/>
          <w:color w:val="auto"/>
        </w:rPr>
      </w:pPr>
    </w:p>
    <w:p>
      <w:pPr>
        <w:ind w:left="1160" w:hanging="415"/>
        <w:spacing w:after="0"/>
        <w:tabs>
          <w:tab w:leader="none" w:pos="11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[_]</w:t>
      </w:r>
    </w:p>
    <w:p>
      <w:pPr>
        <w:ind w:left="1580" w:hanging="413"/>
        <w:spacing w:after="0" w:line="238" w:lineRule="auto"/>
        <w:tabs>
          <w:tab w:leader="none" w:pos="158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055" w:right="1440" w:bottom="0" w:gutter="0" w:footer="0" w:header="0"/>
        </w:sectPr>
      </w:pPr>
    </w:p>
    <w:bookmarkStart w:id="1" w:name="page2"/>
    <w:bookmarkEnd w:id="1"/>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160" w:hanging="415"/>
        <w:spacing w:after="0"/>
        <w:tabs>
          <w:tab w:leader="none" w:pos="11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California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220"/>
        <w:spacing w:after="0"/>
        <w:rPr>
          <w:sz w:val="20"/>
          <w:szCs w:val="20"/>
          <w:color w:val="auto"/>
        </w:rPr>
      </w:pPr>
      <w:r>
        <w:rPr>
          <w:rFonts w:ascii="Courier New" w:cs="Courier New" w:eastAsia="Courier New" w:hAnsi="Courier New"/>
          <w:sz w:val="18"/>
          <w:szCs w:val="18"/>
          <w:color w:val="auto"/>
        </w:rPr>
        <w:t>5</w:t>
      </w:r>
    </w:p>
    <w:p>
      <w:pPr>
        <w:ind w:left="2640"/>
        <w:spacing w:after="0" w:line="237" w:lineRule="auto"/>
        <w:rPr>
          <w:sz w:val="20"/>
          <w:szCs w:val="20"/>
          <w:color w:val="auto"/>
        </w:rPr>
      </w:pPr>
      <w:r>
        <w:rPr>
          <w:rFonts w:ascii="Courier New" w:cs="Courier New" w:eastAsia="Courier New" w:hAnsi="Courier New"/>
          <w:sz w:val="18"/>
          <w:szCs w:val="18"/>
          <w:color w:val="auto"/>
        </w:rPr>
        <w:t>1,760,043</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26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SHARED VOTING POWER</w:t>
      </w:r>
    </w:p>
    <w:p>
      <w:pPr>
        <w:ind w:left="320"/>
        <w:spacing w:after="0"/>
        <w:tabs>
          <w:tab w:leader="none" w:pos="220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6</w:t>
      </w:r>
    </w:p>
    <w:p>
      <w:pPr>
        <w:spacing w:after="0"/>
        <w:tabs>
          <w:tab w:leader="none" w:pos="262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0</w:t>
      </w:r>
    </w:p>
    <w:p>
      <w:pPr>
        <w:ind w:left="220"/>
        <w:spacing w:after="0"/>
        <w:tabs>
          <w:tab w:leader="none" w:pos="146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ind w:left="420"/>
        <w:spacing w:after="0"/>
        <w:tabs>
          <w:tab w:leader="none" w:pos="26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120"/>
        <w:spacing w:after="0"/>
        <w:tabs>
          <w:tab w:leader="none" w:pos="220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7</w:t>
      </w:r>
    </w:p>
    <w:p>
      <w:pPr>
        <w:spacing w:after="0"/>
        <w:tabs>
          <w:tab w:leader="none" w:pos="2620" w:val="left"/>
        </w:tabs>
        <w:rPr>
          <w:sz w:val="20"/>
          <w:szCs w:val="20"/>
          <w:color w:val="auto"/>
        </w:rPr>
      </w:pPr>
      <w:r>
        <w:rPr>
          <w:rFonts w:ascii="Courier New" w:cs="Courier New" w:eastAsia="Courier New" w:hAnsi="Courier New"/>
          <w:sz w:val="18"/>
          <w:szCs w:val="18"/>
          <w:color w:val="auto"/>
        </w:rPr>
        <w:t>PERSON WITH</w:t>
      </w:r>
      <w:r>
        <w:rPr>
          <w:sz w:val="20"/>
          <w:szCs w:val="20"/>
          <w:color w:val="auto"/>
        </w:rPr>
        <w:tab/>
      </w:r>
      <w:r>
        <w:rPr>
          <w:rFonts w:ascii="Courier New" w:cs="Courier New" w:eastAsia="Courier New" w:hAnsi="Courier New"/>
          <w:sz w:val="16"/>
          <w:szCs w:val="16"/>
          <w:color w:val="auto"/>
        </w:rPr>
        <w:t>1,760,043</w:t>
      </w:r>
    </w:p>
    <w:p>
      <w:pPr>
        <w:ind w:left="1480"/>
        <w:spacing w:after="0"/>
        <w:rPr>
          <w:sz w:val="20"/>
          <w:szCs w:val="20"/>
          <w:color w:val="auto"/>
        </w:rPr>
      </w:pPr>
      <w:r>
        <w:rPr>
          <w:rFonts w:ascii="Courier New" w:cs="Courier New" w:eastAsia="Courier New" w:hAnsi="Courier New"/>
          <w:sz w:val="18"/>
          <w:szCs w:val="18"/>
          <w:color w:val="auto"/>
        </w:rPr>
        <w:t>------------------------------------------------------------------</w:t>
      </w:r>
    </w:p>
    <w:p>
      <w:pPr>
        <w:ind w:left="2640"/>
        <w:spacing w:after="0" w:line="237" w:lineRule="auto"/>
        <w:rPr>
          <w:sz w:val="20"/>
          <w:szCs w:val="20"/>
          <w:color w:val="auto"/>
        </w:rPr>
      </w:pPr>
      <w:r>
        <w:rPr>
          <w:rFonts w:ascii="Courier New" w:cs="Courier New" w:eastAsia="Courier New" w:hAnsi="Courier New"/>
          <w:sz w:val="18"/>
          <w:szCs w:val="18"/>
          <w:color w:val="auto"/>
        </w:rPr>
        <w:t>SHARED DISPOSITIVE POWER</w:t>
      </w:r>
    </w:p>
    <w:p>
      <w:pPr>
        <w:ind w:left="2220"/>
        <w:spacing w:after="0"/>
        <w:rPr>
          <w:sz w:val="20"/>
          <w:szCs w:val="20"/>
          <w:color w:val="auto"/>
        </w:rPr>
      </w:pPr>
      <w:r>
        <w:rPr>
          <w:rFonts w:ascii="Courier New" w:cs="Courier New" w:eastAsia="Courier New" w:hAnsi="Courier New"/>
          <w:sz w:val="18"/>
          <w:szCs w:val="18"/>
          <w:color w:val="auto"/>
        </w:rPr>
        <w:t>8</w:t>
      </w:r>
    </w:p>
    <w:p>
      <w:pPr>
        <w:ind w:left="2640"/>
        <w:spacing w:after="0" w:line="237"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ind w:left="640"/>
        <w:spacing w:after="0"/>
        <w:rPr>
          <w:sz w:val="20"/>
          <w:szCs w:val="20"/>
          <w:color w:val="auto"/>
        </w:rPr>
      </w:pPr>
      <w:r>
        <w:rPr>
          <w:rFonts w:ascii="Courier New" w:cs="Courier New" w:eastAsia="Courier New" w:hAnsi="Courier New"/>
          <w:sz w:val="18"/>
          <w:szCs w:val="18"/>
          <w:color w:val="auto"/>
        </w:rPr>
        <w:t>9</w:t>
      </w:r>
    </w:p>
    <w:p>
      <w:pPr>
        <w:ind w:left="1160"/>
        <w:spacing w:after="0" w:line="237" w:lineRule="auto"/>
        <w:rPr>
          <w:sz w:val="20"/>
          <w:szCs w:val="20"/>
          <w:color w:val="auto"/>
        </w:rPr>
      </w:pPr>
      <w:r>
        <w:rPr>
          <w:rFonts w:ascii="Courier New" w:cs="Courier New" w:eastAsia="Courier New" w:hAnsi="Courier New"/>
          <w:sz w:val="18"/>
          <w:szCs w:val="18"/>
          <w:color w:val="auto"/>
        </w:rPr>
        <w:t>1,760,043</w:t>
      </w:r>
    </w:p>
    <w:p>
      <w:pPr>
        <w:spacing w:after="0" w:line="5"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(9) EXCLUDES CERTAIN SHARES</w:t>
      </w:r>
    </w:p>
    <w:p>
      <w:pPr>
        <w:ind w:left="1160" w:hanging="520"/>
        <w:spacing w:after="0"/>
        <w:tabs>
          <w:tab w:leader="none" w:pos="11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w:t>
      </w:r>
    </w:p>
    <w:p>
      <w:pPr>
        <w:spacing w:after="0" w:line="20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6"/>
          <w:szCs w:val="16"/>
          <w:color w:val="auto"/>
        </w:rPr>
      </w:pPr>
    </w:p>
    <w:p>
      <w:pPr>
        <w:ind w:left="1160" w:hanging="520"/>
        <w:spacing w:after="0"/>
        <w:tabs>
          <w:tab w:leader="none" w:pos="11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6"/>
          <w:szCs w:val="16"/>
          <w:color w:val="auto"/>
        </w:rPr>
      </w:pPr>
    </w:p>
    <w:p>
      <w:pPr>
        <w:ind w:left="1160" w:hanging="520"/>
        <w:spacing w:after="0"/>
        <w:tabs>
          <w:tab w:leader="none" w:pos="11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PN, 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sectPr>
      </w:pPr>
    </w:p>
    <w:bookmarkStart w:id="2" w:name="page3"/>
    <w:bookmarkEnd w:id="2"/>
    <w:p>
      <w:pPr>
        <w:ind w:left="6540"/>
        <w:spacing w:after="0"/>
        <w:rPr>
          <w:sz w:val="20"/>
          <w:szCs w:val="20"/>
          <w:color w:val="auto"/>
        </w:rPr>
      </w:pPr>
      <w:r>
        <w:rPr>
          <w:rFonts w:ascii="Courier New" w:cs="Courier New" w:eastAsia="Courier New" w:hAnsi="Courier New"/>
          <w:sz w:val="18"/>
          <w:szCs w:val="18"/>
          <w:color w:val="auto"/>
        </w:rPr>
        <w:t>Page 3 of 10 Pages</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25057L102</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PERSONS.</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w:t>
      </w:r>
    </w:p>
    <w:p>
      <w:pPr>
        <w:ind w:left="740"/>
        <w:spacing w:after="0"/>
        <w:rPr>
          <w:sz w:val="20"/>
          <w:szCs w:val="20"/>
          <w:color w:val="auto"/>
        </w:rPr>
      </w:pPr>
      <w:r>
        <w:rPr>
          <w:rFonts w:ascii="Courier New" w:cs="Courier New" w:eastAsia="Courier New" w:hAnsi="Courier New"/>
          <w:sz w:val="18"/>
          <w:szCs w:val="18"/>
          <w:color w:val="auto"/>
        </w:rPr>
        <w:t>1</w:t>
      </w:r>
    </w:p>
    <w:p>
      <w:pPr>
        <w:ind w:left="1160"/>
        <w:spacing w:after="0" w:line="237" w:lineRule="auto"/>
        <w:rPr>
          <w:sz w:val="20"/>
          <w:szCs w:val="20"/>
          <w:color w:val="auto"/>
        </w:rPr>
      </w:pPr>
      <w:r>
        <w:rPr>
          <w:rFonts w:ascii="Courier New" w:cs="Courier New" w:eastAsia="Courier New" w:hAnsi="Courier New"/>
          <w:sz w:val="18"/>
          <w:szCs w:val="18"/>
          <w:color w:val="auto"/>
        </w:rPr>
        <w:t>Frank J. Husic &amp; Co.</w:t>
      </w:r>
    </w:p>
    <w:p>
      <w:pPr>
        <w:spacing w:after="0" w:line="5"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 (SEE INSTRUCTIONS)</w:t>
      </w:r>
    </w:p>
    <w:p>
      <w:pPr>
        <w:spacing w:after="0" w:line="202" w:lineRule="exact"/>
        <w:rPr>
          <w:sz w:val="20"/>
          <w:szCs w:val="20"/>
          <w:color w:val="auto"/>
        </w:rPr>
      </w:pPr>
    </w:p>
    <w:p>
      <w:pPr>
        <w:ind w:left="1160" w:hanging="415"/>
        <w:spacing w:after="0"/>
        <w:tabs>
          <w:tab w:leader="none" w:pos="11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[_]</w:t>
      </w:r>
    </w:p>
    <w:p>
      <w:pPr>
        <w:ind w:left="1580" w:hanging="413"/>
        <w:spacing w:after="0" w:line="238" w:lineRule="auto"/>
        <w:tabs>
          <w:tab w:leader="none" w:pos="158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160" w:hanging="415"/>
        <w:spacing w:after="0"/>
        <w:tabs>
          <w:tab w:leader="none" w:pos="116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California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7060" w:type="dxa"/>
            <w:vAlign w:val="bottom"/>
          </w:tcPr>
          <w:p>
            <w:pPr>
              <w:ind w:left="12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rPr>
                <w:sz w:val="17"/>
                <w:szCs w:val="17"/>
                <w:color w:val="auto"/>
              </w:rPr>
            </w:pPr>
          </w:p>
        </w:tc>
        <w:tc>
          <w:tcPr>
            <w:tcW w:w="70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380" w:type="dxa"/>
            <w:vAlign w:val="bottom"/>
          </w:tcPr>
          <w:p>
            <w:pPr>
              <w:spacing w:after="0"/>
              <w:rPr>
                <w:sz w:val="17"/>
                <w:szCs w:val="17"/>
                <w:color w:val="auto"/>
              </w:rPr>
            </w:pPr>
          </w:p>
        </w:tc>
        <w:tc>
          <w:tcPr>
            <w:tcW w:w="70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1,760,043</w:t>
            </w:r>
          </w:p>
        </w:tc>
      </w:tr>
      <w:tr>
        <w:trPr>
          <w:trHeight w:val="203"/>
        </w:trPr>
        <w:tc>
          <w:tcPr>
            <w:tcW w:w="1380" w:type="dxa"/>
            <w:vAlign w:val="bottom"/>
          </w:tcPr>
          <w:p>
            <w:pPr>
              <w:spacing w:after="0"/>
              <w:rPr>
                <w:sz w:val="17"/>
                <w:szCs w:val="17"/>
                <w:color w:val="auto"/>
              </w:rPr>
            </w:pPr>
          </w:p>
        </w:tc>
        <w:tc>
          <w:tcPr>
            <w:tcW w:w="7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70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70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70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EACH</w:t>
            </w:r>
          </w:p>
        </w:tc>
        <w:tc>
          <w:tcPr>
            <w:tcW w:w="70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3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70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3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70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1,760,043</w:t>
            </w:r>
          </w:p>
        </w:tc>
      </w:tr>
      <w:tr>
        <w:trPr>
          <w:trHeight w:val="203"/>
        </w:trPr>
        <w:tc>
          <w:tcPr>
            <w:tcW w:w="1380" w:type="dxa"/>
            <w:vAlign w:val="bottom"/>
          </w:tcPr>
          <w:p>
            <w:pPr>
              <w:spacing w:after="0"/>
              <w:rPr>
                <w:sz w:val="17"/>
                <w:szCs w:val="17"/>
                <w:color w:val="auto"/>
              </w:rPr>
            </w:pPr>
          </w:p>
        </w:tc>
        <w:tc>
          <w:tcPr>
            <w:tcW w:w="70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80" w:type="dxa"/>
            <w:vAlign w:val="bottom"/>
          </w:tcPr>
          <w:p>
            <w:pPr>
              <w:spacing w:after="0"/>
              <w:rPr>
                <w:sz w:val="17"/>
                <w:szCs w:val="17"/>
                <w:color w:val="auto"/>
              </w:rPr>
            </w:pPr>
          </w:p>
        </w:tc>
        <w:tc>
          <w:tcPr>
            <w:tcW w:w="706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ind w:left="2220"/>
        <w:spacing w:after="0" w:line="238" w:lineRule="auto"/>
        <w:rPr>
          <w:sz w:val="20"/>
          <w:szCs w:val="20"/>
          <w:color w:val="auto"/>
        </w:rPr>
      </w:pPr>
      <w:r>
        <w:rPr>
          <w:rFonts w:ascii="Courier New" w:cs="Courier New" w:eastAsia="Courier New" w:hAnsi="Courier New"/>
          <w:sz w:val="18"/>
          <w:szCs w:val="18"/>
          <w:color w:val="auto"/>
        </w:rPr>
        <w:t>8</w:t>
      </w:r>
    </w:p>
    <w:p>
      <w:pPr>
        <w:ind w:left="2640"/>
        <w:spacing w:after="0"/>
        <w:rPr>
          <w:sz w:val="20"/>
          <w:szCs w:val="20"/>
          <w:color w:val="auto"/>
        </w:rPr>
      </w:pPr>
      <w:r>
        <w:rPr>
          <w:rFonts w:ascii="Courier New" w:cs="Courier New" w:eastAsia="Courier New" w:hAnsi="Courier New"/>
          <w:sz w:val="18"/>
          <w:szCs w:val="18"/>
          <w:color w:val="auto"/>
        </w:rPr>
        <w:t>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640"/>
        <w:spacing w:after="0" w:line="238" w:lineRule="auto"/>
        <w:rPr>
          <w:sz w:val="20"/>
          <w:szCs w:val="20"/>
          <w:color w:val="auto"/>
        </w:rPr>
      </w:pPr>
      <w:r>
        <w:rPr>
          <w:rFonts w:ascii="Courier New" w:cs="Courier New" w:eastAsia="Courier New" w:hAnsi="Courier New"/>
          <w:sz w:val="18"/>
          <w:szCs w:val="18"/>
          <w:color w:val="auto"/>
        </w:rPr>
        <w:t>9</w:t>
      </w:r>
    </w:p>
    <w:p>
      <w:pPr>
        <w:ind w:left="1160"/>
        <w:spacing w:after="0"/>
        <w:rPr>
          <w:sz w:val="20"/>
          <w:szCs w:val="20"/>
          <w:color w:val="auto"/>
        </w:rPr>
      </w:pPr>
      <w:r>
        <w:rPr>
          <w:rFonts w:ascii="Courier New" w:cs="Courier New" w:eastAsia="Courier New" w:hAnsi="Courier New"/>
          <w:sz w:val="18"/>
          <w:szCs w:val="18"/>
          <w:color w:val="auto"/>
        </w:rPr>
        <w:t>1,760,043</w:t>
      </w:r>
    </w:p>
    <w:p>
      <w:pPr>
        <w:spacing w:after="0" w:line="3"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IF THE AGGREGATE AMOUNT IN ROW (9) EXCLUDES CERTAIN SHARES</w:t>
      </w:r>
    </w:p>
    <w:p>
      <w:pPr>
        <w:ind w:left="1160" w:hanging="520"/>
        <w:spacing w:after="0"/>
        <w:tabs>
          <w:tab w:leader="none" w:pos="116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w:t>
      </w:r>
    </w:p>
    <w:p>
      <w:pPr>
        <w:spacing w:after="0" w:line="20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6"/>
          <w:szCs w:val="16"/>
          <w:color w:val="auto"/>
        </w:rPr>
      </w:pPr>
    </w:p>
    <w:p>
      <w:pPr>
        <w:ind w:left="1160" w:hanging="520"/>
        <w:spacing w:after="0"/>
        <w:tabs>
          <w:tab w:leader="none" w:pos="11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6"/>
          <w:szCs w:val="16"/>
          <w:color w:val="auto"/>
        </w:rPr>
      </w:pPr>
    </w:p>
    <w:p>
      <w:pPr>
        <w:ind w:left="1160" w:hanging="520"/>
        <w:spacing w:after="0"/>
        <w:tabs>
          <w:tab w:leader="none" w:pos="11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 HC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2" w:right="1440" w:bottom="1440" w:gutter="0" w:footer="0" w:header="0"/>
        </w:sectPr>
      </w:pPr>
    </w:p>
    <w:bookmarkStart w:id="3" w:name="page4"/>
    <w:bookmarkEnd w:id="3"/>
    <w:p>
      <w:pPr>
        <w:ind w:left="6540"/>
        <w:spacing w:after="0"/>
        <w:rPr>
          <w:sz w:val="20"/>
          <w:szCs w:val="20"/>
          <w:color w:val="auto"/>
        </w:rPr>
      </w:pPr>
      <w:r>
        <w:rPr>
          <w:rFonts w:ascii="Courier New" w:cs="Courier New" w:eastAsia="Courier New" w:hAnsi="Courier New"/>
          <w:sz w:val="18"/>
          <w:szCs w:val="18"/>
          <w:color w:val="auto"/>
        </w:rPr>
        <w:t>Page 4 of 10 Pages</w:t>
      </w: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No. 25057L102</w:t>
      </w:r>
    </w:p>
    <w:p>
      <w:pPr>
        <w:ind w:left="220" w:hanging="212"/>
        <w:spacing w:after="0" w:line="238" w:lineRule="auto"/>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PERSONS.</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NOS. OF ABOVE PERSONS (ENTITIES ONLY).</w:t>
      </w:r>
    </w:p>
    <w:p>
      <w:pPr>
        <w:ind w:left="740"/>
        <w:spacing w:after="0"/>
        <w:rPr>
          <w:sz w:val="20"/>
          <w:szCs w:val="20"/>
          <w:color w:val="auto"/>
        </w:rPr>
      </w:pPr>
      <w:r>
        <w:rPr>
          <w:rFonts w:ascii="Courier New" w:cs="Courier New" w:eastAsia="Courier New" w:hAnsi="Courier New"/>
          <w:sz w:val="18"/>
          <w:szCs w:val="18"/>
          <w:color w:val="auto"/>
        </w:rPr>
        <w:t>1</w:t>
      </w:r>
    </w:p>
    <w:p>
      <w:pPr>
        <w:ind w:left="1160"/>
        <w:spacing w:after="0" w:line="237" w:lineRule="auto"/>
        <w:rPr>
          <w:sz w:val="20"/>
          <w:szCs w:val="20"/>
          <w:color w:val="auto"/>
        </w:rPr>
      </w:pPr>
      <w:r>
        <w:rPr>
          <w:rFonts w:ascii="Courier New" w:cs="Courier New" w:eastAsia="Courier New" w:hAnsi="Courier New"/>
          <w:sz w:val="18"/>
          <w:szCs w:val="18"/>
          <w:color w:val="auto"/>
        </w:rPr>
        <w:t>Frank J. Husic</w:t>
      </w:r>
    </w:p>
    <w:p>
      <w:pPr>
        <w:spacing w:after="0" w:line="5"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 (SEE INSTRUCTIONS)</w:t>
      </w:r>
    </w:p>
    <w:p>
      <w:pPr>
        <w:spacing w:after="0" w:line="202" w:lineRule="exact"/>
        <w:rPr>
          <w:sz w:val="20"/>
          <w:szCs w:val="20"/>
          <w:color w:val="auto"/>
        </w:rPr>
      </w:pPr>
    </w:p>
    <w:p>
      <w:pPr>
        <w:ind w:left="1160" w:hanging="415"/>
        <w:spacing w:after="0"/>
        <w:tabs>
          <w:tab w:leader="none" w:pos="11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[_]</w:t>
      </w:r>
    </w:p>
    <w:p>
      <w:pPr>
        <w:ind w:left="1580" w:hanging="413"/>
        <w:spacing w:after="0" w:line="238" w:lineRule="auto"/>
        <w:tabs>
          <w:tab w:leader="none" w:pos="1580"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spacing w:after="0" w:line="202" w:lineRule="exact"/>
        <w:rPr>
          <w:sz w:val="20"/>
          <w:szCs w:val="20"/>
          <w:color w:val="auto"/>
        </w:rPr>
      </w:pPr>
    </w:p>
    <w:p>
      <w:pPr>
        <w:ind w:left="1160" w:hanging="415"/>
        <w:spacing w:after="0"/>
        <w:tabs>
          <w:tab w:leader="none" w:pos="11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California</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220"/>
        <w:spacing w:after="0"/>
        <w:rPr>
          <w:sz w:val="20"/>
          <w:szCs w:val="20"/>
          <w:color w:val="auto"/>
        </w:rPr>
      </w:pPr>
      <w:r>
        <w:rPr>
          <w:rFonts w:ascii="Courier New" w:cs="Courier New" w:eastAsia="Courier New" w:hAnsi="Courier New"/>
          <w:sz w:val="18"/>
          <w:szCs w:val="18"/>
          <w:color w:val="auto"/>
        </w:rPr>
        <w:t>5</w:t>
      </w:r>
    </w:p>
    <w:p>
      <w:pPr>
        <w:ind w:left="2640"/>
        <w:spacing w:after="0" w:line="237" w:lineRule="auto"/>
        <w:rPr>
          <w:sz w:val="20"/>
          <w:szCs w:val="20"/>
          <w:color w:val="auto"/>
        </w:rPr>
      </w:pPr>
      <w:r>
        <w:rPr>
          <w:rFonts w:ascii="Courier New" w:cs="Courier New" w:eastAsia="Courier New" w:hAnsi="Courier New"/>
          <w:sz w:val="18"/>
          <w:szCs w:val="18"/>
          <w:color w:val="auto"/>
        </w:rPr>
        <w:t>1,760,043</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tabs>
          <w:tab w:leader="none" w:pos="26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SHARED VOTING POWER</w:t>
      </w:r>
    </w:p>
    <w:p>
      <w:pPr>
        <w:ind w:left="320"/>
        <w:spacing w:after="0"/>
        <w:tabs>
          <w:tab w:leader="none" w:pos="220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6</w:t>
      </w:r>
    </w:p>
    <w:p>
      <w:pPr>
        <w:spacing w:after="0"/>
        <w:tabs>
          <w:tab w:leader="none" w:pos="262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6"/>
          <w:szCs w:val="16"/>
          <w:color w:val="auto"/>
        </w:rPr>
        <w:t>0</w:t>
      </w:r>
    </w:p>
    <w:p>
      <w:pPr>
        <w:ind w:left="220"/>
        <w:spacing w:after="0"/>
        <w:tabs>
          <w:tab w:leader="none" w:pos="146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6"/>
          <w:szCs w:val="16"/>
          <w:color w:val="auto"/>
        </w:rPr>
        <w:t>------------------------------------------------------------------</w:t>
      </w:r>
    </w:p>
    <w:p>
      <w:pPr>
        <w:ind w:left="420"/>
        <w:spacing w:after="0"/>
        <w:tabs>
          <w:tab w:leader="none" w:pos="26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120"/>
        <w:spacing w:after="0"/>
        <w:tabs>
          <w:tab w:leader="none" w:pos="220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7</w:t>
      </w:r>
    </w:p>
    <w:p>
      <w:pPr>
        <w:spacing w:after="0"/>
        <w:tabs>
          <w:tab w:leader="none" w:pos="2620" w:val="left"/>
        </w:tabs>
        <w:rPr>
          <w:sz w:val="20"/>
          <w:szCs w:val="20"/>
          <w:color w:val="auto"/>
        </w:rPr>
      </w:pPr>
      <w:r>
        <w:rPr>
          <w:rFonts w:ascii="Courier New" w:cs="Courier New" w:eastAsia="Courier New" w:hAnsi="Courier New"/>
          <w:sz w:val="18"/>
          <w:szCs w:val="18"/>
          <w:color w:val="auto"/>
        </w:rPr>
        <w:t>PERSON WITH</w:t>
      </w:r>
      <w:r>
        <w:rPr>
          <w:sz w:val="20"/>
          <w:szCs w:val="20"/>
          <w:color w:val="auto"/>
        </w:rPr>
        <w:tab/>
      </w:r>
      <w:r>
        <w:rPr>
          <w:rFonts w:ascii="Courier New" w:cs="Courier New" w:eastAsia="Courier New" w:hAnsi="Courier New"/>
          <w:sz w:val="16"/>
          <w:szCs w:val="16"/>
          <w:color w:val="auto"/>
        </w:rPr>
        <w:t>1,760,043</w:t>
      </w:r>
    </w:p>
    <w:p>
      <w:pPr>
        <w:ind w:left="1480"/>
        <w:spacing w:after="0"/>
        <w:rPr>
          <w:sz w:val="20"/>
          <w:szCs w:val="20"/>
          <w:color w:val="auto"/>
        </w:rPr>
      </w:pPr>
      <w:r>
        <w:rPr>
          <w:rFonts w:ascii="Courier New" w:cs="Courier New" w:eastAsia="Courier New" w:hAnsi="Courier New"/>
          <w:sz w:val="18"/>
          <w:szCs w:val="18"/>
          <w:color w:val="auto"/>
        </w:rPr>
        <w:t>------------------------------------------------------------------</w:t>
      </w:r>
    </w:p>
    <w:p>
      <w:pPr>
        <w:ind w:left="2640"/>
        <w:spacing w:after="0" w:line="237" w:lineRule="auto"/>
        <w:rPr>
          <w:sz w:val="20"/>
          <w:szCs w:val="20"/>
          <w:color w:val="auto"/>
        </w:rPr>
      </w:pPr>
      <w:r>
        <w:rPr>
          <w:rFonts w:ascii="Courier New" w:cs="Courier New" w:eastAsia="Courier New" w:hAnsi="Courier New"/>
          <w:sz w:val="18"/>
          <w:szCs w:val="18"/>
          <w:color w:val="auto"/>
        </w:rPr>
        <w:t>SHARED DISPOSITIVE POWER</w:t>
      </w:r>
    </w:p>
    <w:p>
      <w:pPr>
        <w:ind w:left="2220"/>
        <w:spacing w:after="0"/>
        <w:rPr>
          <w:sz w:val="20"/>
          <w:szCs w:val="20"/>
          <w:color w:val="auto"/>
        </w:rPr>
      </w:pPr>
      <w:r>
        <w:rPr>
          <w:rFonts w:ascii="Courier New" w:cs="Courier New" w:eastAsia="Courier New" w:hAnsi="Courier New"/>
          <w:sz w:val="18"/>
          <w:szCs w:val="18"/>
          <w:color w:val="auto"/>
        </w:rPr>
        <w:t>8</w:t>
      </w:r>
    </w:p>
    <w:p>
      <w:pPr>
        <w:ind w:left="2640"/>
        <w:spacing w:after="0" w:line="237"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ind w:left="640"/>
        <w:spacing w:after="0"/>
        <w:rPr>
          <w:sz w:val="20"/>
          <w:szCs w:val="20"/>
          <w:color w:val="auto"/>
        </w:rPr>
      </w:pPr>
      <w:r>
        <w:rPr>
          <w:rFonts w:ascii="Courier New" w:cs="Courier New" w:eastAsia="Courier New" w:hAnsi="Courier New"/>
          <w:sz w:val="18"/>
          <w:szCs w:val="18"/>
          <w:color w:val="auto"/>
        </w:rPr>
        <w:t>9</w:t>
      </w:r>
    </w:p>
    <w:p>
      <w:pPr>
        <w:ind w:left="1160"/>
        <w:spacing w:after="0" w:line="237" w:lineRule="auto"/>
        <w:rPr>
          <w:sz w:val="20"/>
          <w:szCs w:val="20"/>
          <w:color w:val="auto"/>
        </w:rPr>
      </w:pPr>
      <w:r>
        <w:rPr>
          <w:rFonts w:ascii="Courier New" w:cs="Courier New" w:eastAsia="Courier New" w:hAnsi="Courier New"/>
          <w:sz w:val="18"/>
          <w:szCs w:val="18"/>
          <w:color w:val="auto"/>
        </w:rPr>
        <w:t>1,760,043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CHECK IF THE AGGREGATE AMOUNT IN ROW (9) EXCLUDES CERTAIN SHARES</w:t>
      </w:r>
    </w:p>
    <w:p>
      <w:pPr>
        <w:ind w:left="1160" w:hanging="520"/>
        <w:spacing w:after="0" w:line="238" w:lineRule="auto"/>
        <w:tabs>
          <w:tab w:leader="none" w:pos="116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6"/>
          <w:szCs w:val="16"/>
          <w:color w:val="auto"/>
        </w:rPr>
      </w:pPr>
    </w:p>
    <w:p>
      <w:pPr>
        <w:ind w:left="1160" w:hanging="520"/>
        <w:spacing w:after="0"/>
        <w:tabs>
          <w:tab w:leader="none" w:pos="11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11.00%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6"/>
          <w:szCs w:val="16"/>
          <w:color w:val="auto"/>
        </w:rPr>
      </w:pPr>
    </w:p>
    <w:p>
      <w:pPr>
        <w:ind w:left="1160" w:hanging="520"/>
        <w:spacing w:after="0"/>
        <w:tabs>
          <w:tab w:leader="none" w:pos="116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00 (Control Person)</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122"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Page 5 of 10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580" w:hanging="519"/>
        <w:spacing w:after="0"/>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DESIGNS, INC.</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w:t>
      </w:r>
    </w:p>
    <w:p>
      <w:pPr>
        <w:spacing w:after="0" w:line="206" w:lineRule="exact"/>
        <w:rPr>
          <w:rFonts w:ascii="Courier New" w:cs="Courier New" w:eastAsia="Courier New" w:hAnsi="Courier New"/>
          <w:sz w:val="18"/>
          <w:szCs w:val="18"/>
          <w:color w:val="auto"/>
        </w:rPr>
      </w:pPr>
    </w:p>
    <w:p>
      <w:pPr>
        <w:ind w:left="1580" w:right="6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66 B Street Needham, MA 02494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1580" w:hanging="519"/>
        <w:spacing w:after="0" w:line="238"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7" w:lineRule="exact"/>
        <w:rPr>
          <w:rFonts w:ascii="Courier New" w:cs="Courier New" w:eastAsia="Courier New" w:hAnsi="Courier New"/>
          <w:sz w:val="18"/>
          <w:szCs w:val="18"/>
          <w:color w:val="auto"/>
        </w:rPr>
      </w:pPr>
    </w:p>
    <w:p>
      <w:pPr>
        <w:ind w:left="1580" w:right="18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statement is being filed by (i) Husic Capital Management, a California limited partnership and registered investment adviser ("IA"), (ii) Frank J. Husic and Co., a California corporation ("Corporate G.P.") and (iii) Frank J. Husic ("Shareholder") (collectively, the "Reporting Persons"). Corporate G.P. controls IA by virtue of its position as the sole general partner of IA. Shareholder controls IA by virtue of Shareholder's position as the sole shareholder of Corporate G.P.</w:t>
      </w:r>
    </w:p>
    <w:p>
      <w:pPr>
        <w:spacing w:after="0" w:line="185" w:lineRule="exact"/>
        <w:rPr>
          <w:rFonts w:ascii="Courier New" w:cs="Courier New" w:eastAsia="Courier New" w:hAnsi="Courier New"/>
          <w:sz w:val="18"/>
          <w:szCs w:val="18"/>
          <w:color w:val="auto"/>
        </w:rPr>
      </w:pPr>
    </w:p>
    <w:p>
      <w:pPr>
        <w:ind w:left="1580"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IA's beneficial ownership of the Common Stock is direct as a result of IA's discretionary authority to buy, sell, and vote shares of such Common Stock for its investment advisory clients. Corporate G.P.'s beneficial ownership of Common Stock is indirect as a result of its control of IA. Shareholder's beneficial ownership of Common Stock is indirect as a result of Shareholder's stock ownership in Corporate G.P. The beneficial ownership of the Corporate G.P. and Shareholder is reported solely because Rules 13d-1(a) and (b) under the Securities Exchange Act of 1934, as amended, require any person who is "directly or indirectly" the beneficial owner of more than five percent of any equity security of a specified class to file a Schedule 13G within the specified time period. The answers in blocks 5, 7, 9 and 11 above and in responses to item 4 by Corporate G.P. and Shareholder are given on the basis of the "indirect" beneficial ownership referred to in such Rule, based on the direct beneficial ownership of Common Stock by IA and the relationship of Corporate G.P. and Shareholder to IA referred to above.</w:t>
      </w:r>
    </w:p>
    <w:p>
      <w:pPr>
        <w:spacing w:after="0" w:line="209" w:lineRule="exact"/>
        <w:rPr>
          <w:rFonts w:ascii="Courier New" w:cs="Courier New" w:eastAsia="Courier New" w:hAnsi="Courier New"/>
          <w:sz w:val="18"/>
          <w:szCs w:val="18"/>
          <w:color w:val="auto"/>
        </w:rPr>
      </w:pPr>
    </w:p>
    <w:p>
      <w:pPr>
        <w:ind w:left="158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with respect to each Reporting Person is given solely by the respective Reporting Person, and no Reporting Person undertakes hereby any responsibility for the accuracy or completeness of such information concerning any other Reporting Person.</w:t>
      </w:r>
    </w:p>
    <w:p>
      <w:pPr>
        <w:spacing w:after="0" w:line="208" w:lineRule="exact"/>
        <w:rPr>
          <w:rFonts w:ascii="Courier New" w:cs="Courier New" w:eastAsia="Courier New" w:hAnsi="Courier New"/>
          <w:sz w:val="18"/>
          <w:szCs w:val="18"/>
          <w:color w:val="auto"/>
        </w:rPr>
      </w:pPr>
    </w:p>
    <w:p>
      <w:pPr>
        <w:ind w:left="1580" w:right="2419" w:hanging="519"/>
        <w:spacing w:after="0" w:line="470" w:lineRule="auto"/>
        <w:tabs>
          <w:tab w:leader="none" w:pos="15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IA's Principal Business Office is located at:</w:t>
      </w:r>
    </w:p>
    <w:p>
      <w:pPr>
        <w:spacing w:after="0" w:line="11" w:lineRule="exact"/>
        <w:rPr>
          <w:rFonts w:ascii="Courier New" w:cs="Courier New" w:eastAsia="Courier New" w:hAnsi="Courier New"/>
          <w:sz w:val="18"/>
          <w:szCs w:val="18"/>
          <w:color w:val="auto"/>
        </w:rPr>
      </w:pPr>
    </w:p>
    <w:p>
      <w:pPr>
        <w:ind w:left="1580" w:right="51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555 California Street, Suite 2900 San Francisco, California 94104</w:t>
      </w:r>
    </w:p>
    <w:p>
      <w:pPr>
        <w:spacing w:after="0" w:line="164"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G.P.'s Principal Business Office is located at:</w:t>
      </w:r>
    </w:p>
    <w:p>
      <w:pPr>
        <w:spacing w:after="0" w:line="206" w:lineRule="exact"/>
        <w:rPr>
          <w:rFonts w:ascii="Courier New" w:cs="Courier New" w:eastAsia="Courier New" w:hAnsi="Courier New"/>
          <w:sz w:val="18"/>
          <w:szCs w:val="18"/>
          <w:color w:val="auto"/>
        </w:rPr>
      </w:pPr>
    </w:p>
    <w:p>
      <w:pPr>
        <w:ind w:left="1580" w:right="51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555 California Street, Suite 2900 San Francisco, California 94104</w:t>
      </w:r>
    </w:p>
    <w:p>
      <w:pPr>
        <w:sectPr>
          <w:pgSz w:w="11900" w:h="16838" w:orient="portrait"/>
          <w:cols w:equalWidth="0" w:num="1">
            <w:col w:w="10219"/>
          </w:cols>
          <w:pgMar w:left="240" w:top="1122"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Page 6 of 10 pages</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Shareholder's Principal Business Office is located at: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555 California Street, Suite 2900</w:t>
      </w:r>
    </w:p>
    <w:p>
      <w:pPr>
        <w:ind w:left="1580"/>
        <w:spacing w:after="0" w:line="238" w:lineRule="auto"/>
        <w:rPr>
          <w:sz w:val="20"/>
          <w:szCs w:val="20"/>
          <w:color w:val="auto"/>
        </w:rPr>
      </w:pPr>
      <w:r>
        <w:rPr>
          <w:rFonts w:ascii="Courier New" w:cs="Courier New" w:eastAsia="Courier New" w:hAnsi="Courier New"/>
          <w:sz w:val="18"/>
          <w:szCs w:val="18"/>
          <w:color w:val="auto"/>
        </w:rPr>
        <w:t>San Francisco, California 94104</w:t>
      </w:r>
    </w:p>
    <w:p>
      <w:pPr>
        <w:spacing w:after="0" w:line="202" w:lineRule="exact"/>
        <w:rPr>
          <w:sz w:val="20"/>
          <w:szCs w:val="20"/>
          <w:color w:val="auto"/>
        </w:rPr>
      </w:pPr>
    </w:p>
    <w:p>
      <w:pPr>
        <w:ind w:left="1580" w:hanging="519"/>
        <w:spacing w:after="0"/>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6" w:lineRule="exact"/>
        <w:rPr>
          <w:rFonts w:ascii="Courier New" w:cs="Courier New" w:eastAsia="Courier New" w:hAnsi="Courier New"/>
          <w:sz w:val="18"/>
          <w:szCs w:val="18"/>
          <w:color w:val="auto"/>
        </w:rPr>
      </w:pPr>
    </w:p>
    <w:p>
      <w:pPr>
        <w:ind w:left="1580" w:right="41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IA is a California limited partnership Corporate G.P. is a California corporation Shareholder is a United States citizen</w:t>
      </w:r>
    </w:p>
    <w:p>
      <w:pPr>
        <w:spacing w:after="0" w:line="178" w:lineRule="exact"/>
        <w:rPr>
          <w:rFonts w:ascii="Courier New" w:cs="Courier New" w:eastAsia="Courier New" w:hAnsi="Courier New"/>
          <w:sz w:val="18"/>
          <w:szCs w:val="18"/>
          <w:color w:val="auto"/>
        </w:rPr>
      </w:pPr>
    </w:p>
    <w:p>
      <w:pPr>
        <w:ind w:left="1580" w:right="5679" w:hanging="519"/>
        <w:spacing w:after="0" w:line="470" w:lineRule="auto"/>
        <w:tabs>
          <w:tab w:leader="none" w:pos="15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11" w:lineRule="exact"/>
        <w:rPr>
          <w:rFonts w:ascii="Courier New" w:cs="Courier New" w:eastAsia="Courier New" w:hAnsi="Courier New"/>
          <w:sz w:val="18"/>
          <w:szCs w:val="18"/>
          <w:color w:val="auto"/>
        </w:rPr>
      </w:pPr>
    </w:p>
    <w:p>
      <w:pPr>
        <w:ind w:left="1580" w:right="7359" w:hanging="519"/>
        <w:spacing w:after="0" w:line="536" w:lineRule="auto"/>
        <w:tabs>
          <w:tab w:leader="none" w:pos="15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25057L102</w:t>
      </w: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240.13d(b) or</w:t>
      </w:r>
    </w:p>
    <w:p>
      <w:pPr>
        <w:ind w:left="10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2000" w:right="2839" w:hanging="939"/>
        <w:spacing w:after="0" w:line="235" w:lineRule="auto"/>
        <w:tabs>
          <w:tab w:leader="none" w:pos="147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8" w:lineRule="exact"/>
        <w:rPr>
          <w:rFonts w:ascii="Courier New" w:cs="Courier New" w:eastAsia="Courier New" w:hAnsi="Courier New"/>
          <w:sz w:val="18"/>
          <w:szCs w:val="18"/>
          <w:color w:val="auto"/>
        </w:rPr>
      </w:pPr>
    </w:p>
    <w:p>
      <w:pPr>
        <w:ind w:left="2000" w:right="3039" w:hanging="939"/>
        <w:spacing w:after="0" w:line="235" w:lineRule="auto"/>
        <w:tabs>
          <w:tab w:leader="none" w:pos="147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8" w:lineRule="exact"/>
        <w:rPr>
          <w:rFonts w:ascii="Courier New" w:cs="Courier New" w:eastAsia="Courier New" w:hAnsi="Courier New"/>
          <w:sz w:val="18"/>
          <w:szCs w:val="18"/>
          <w:color w:val="auto"/>
        </w:rPr>
      </w:pPr>
    </w:p>
    <w:p>
      <w:pPr>
        <w:ind w:left="2000" w:right="2839" w:hanging="939"/>
        <w:spacing w:after="0" w:line="235" w:lineRule="auto"/>
        <w:tabs>
          <w:tab w:leader="none" w:pos="147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000" w:right="2739" w:hanging="939"/>
        <w:spacing w:after="0" w:line="290" w:lineRule="auto"/>
        <w:tabs>
          <w:tab w:leader="none" w:pos="147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Investment company registered under section 8 of the Investment Company Act of 1940 (15 U.S.C. 80a-8).</w:t>
      </w:r>
    </w:p>
    <w:p>
      <w:pPr>
        <w:spacing w:after="0" w:line="169" w:lineRule="exact"/>
        <w:rPr>
          <w:rFonts w:ascii="Courier New" w:cs="Courier New" w:eastAsia="Courier New" w:hAnsi="Courier New"/>
          <w:sz w:val="16"/>
          <w:szCs w:val="16"/>
          <w:color w:val="auto"/>
        </w:rPr>
      </w:pPr>
    </w:p>
    <w:p>
      <w:pPr>
        <w:ind w:left="2000" w:right="3159" w:hanging="939"/>
        <w:spacing w:after="0" w:line="235" w:lineRule="auto"/>
        <w:tabs>
          <w:tab w:leader="none" w:pos="147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8" w:lineRule="exact"/>
        <w:rPr>
          <w:rFonts w:ascii="Courier New" w:cs="Courier New" w:eastAsia="Courier New" w:hAnsi="Courier New"/>
          <w:sz w:val="18"/>
          <w:szCs w:val="18"/>
          <w:color w:val="auto"/>
        </w:rPr>
      </w:pPr>
    </w:p>
    <w:p>
      <w:pPr>
        <w:ind w:left="2000" w:right="3159" w:hanging="939"/>
        <w:spacing w:after="0" w:line="290" w:lineRule="auto"/>
        <w:tabs>
          <w:tab w:leader="none" w:pos="147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An employee benefit plan or endowment fund in accordance with Section 240.13d-1(b)(10(ii)(F);</w:t>
      </w:r>
    </w:p>
    <w:p>
      <w:pPr>
        <w:spacing w:after="0" w:line="169" w:lineRule="exact"/>
        <w:rPr>
          <w:rFonts w:ascii="Courier New" w:cs="Courier New" w:eastAsia="Courier New" w:hAnsi="Courier New"/>
          <w:sz w:val="16"/>
          <w:szCs w:val="16"/>
          <w:color w:val="auto"/>
        </w:rPr>
      </w:pPr>
    </w:p>
    <w:p>
      <w:pPr>
        <w:ind w:left="2000" w:right="3039" w:hanging="939"/>
        <w:spacing w:after="0" w:line="290" w:lineRule="auto"/>
        <w:tabs>
          <w:tab w:leader="none" w:pos="147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parent holding company or control person in accordance with Section 249,13d-1(b)(1)(iii)(G);</w:t>
      </w:r>
    </w:p>
    <w:p>
      <w:pPr>
        <w:spacing w:after="0" w:line="169" w:lineRule="exact"/>
        <w:rPr>
          <w:rFonts w:ascii="Courier New" w:cs="Courier New" w:eastAsia="Courier New" w:hAnsi="Courier New"/>
          <w:sz w:val="16"/>
          <w:szCs w:val="16"/>
          <w:color w:val="auto"/>
        </w:rPr>
      </w:pPr>
    </w:p>
    <w:p>
      <w:pPr>
        <w:ind w:left="2000" w:right="2739" w:hanging="939"/>
        <w:spacing w:after="0" w:line="290" w:lineRule="auto"/>
        <w:tabs>
          <w:tab w:leader="none" w:pos="147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savings associations as defined in Section 3(b) of the Federal Deposit Insurance Act (12 U.S.C. 1813)</w:t>
      </w:r>
    </w:p>
    <w:p>
      <w:pPr>
        <w:spacing w:after="0" w:line="169" w:lineRule="exact"/>
        <w:rPr>
          <w:rFonts w:ascii="Courier New" w:cs="Courier New" w:eastAsia="Courier New" w:hAnsi="Courier New"/>
          <w:sz w:val="16"/>
          <w:szCs w:val="16"/>
          <w:color w:val="auto"/>
        </w:rPr>
      </w:pPr>
    </w:p>
    <w:p>
      <w:pPr>
        <w:ind w:left="2000" w:right="1879" w:hanging="939"/>
        <w:spacing w:after="0" w:line="236" w:lineRule="auto"/>
        <w:tabs>
          <w:tab w:leader="none" w:pos="147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3(c)(114) of the Investment Company Act of 1940 (15 U.S.C. 80a-3);</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Section 240.13d-1(b)(1)(ii)(J).</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740" w:space="320"/>
            <w:col w:w="9159"/>
          </w:cols>
          <w:pgMar w:left="240" w:top="1122" w:right="1440" w:bottom="144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1122" w:right="1440" w:bottom="1440" w:gutter="0" w:footer="0" w:header="0"/>
          <w:type w:val="continuous"/>
        </w:sectPr>
      </w:pPr>
    </w:p>
    <w:p>
      <w:pPr>
        <w:spacing w:after="0" w:line="224"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6"/>
          <w:szCs w:val="16"/>
          <w:color w:val="auto"/>
        </w:rPr>
        <w:t>(a)</w:t>
        <w:tab/>
        <w:t>Amount Beneficially Owned: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1,760,043</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240" w:space="720"/>
            <w:col w:w="3259"/>
          </w:cols>
          <w:pgMar w:left="240" w:top="1122" w:right="1440" w:bottom="1440" w:gutter="0" w:footer="0" w:header="0"/>
          <w:type w:val="continuous"/>
        </w:sectPr>
      </w:pPr>
    </w:p>
    <w:bookmarkStart w:id="6" w:name="page7"/>
    <w:bookmarkEnd w:id="6"/>
    <w:p>
      <w:pPr>
        <w:ind w:left="6540"/>
        <w:spacing w:after="0"/>
        <w:rPr>
          <w:sz w:val="20"/>
          <w:szCs w:val="20"/>
          <w:color w:val="auto"/>
        </w:rPr>
      </w:pPr>
      <w:r>
        <w:rPr>
          <w:rFonts w:ascii="Courier New" w:cs="Courier New" w:eastAsia="Courier New" w:hAnsi="Courier New"/>
          <w:sz w:val="16"/>
          <w:szCs w:val="16"/>
          <w:color w:val="auto"/>
        </w:rPr>
        <w:t>Page 7 of 10 pages</w:t>
      </w:r>
    </w:p>
    <w:p>
      <w:pPr>
        <w:sectPr>
          <w:pgSz w:w="11900" w:h="16838" w:orient="portrait"/>
          <w:cols w:equalWidth="0" w:num="1">
            <w:col w:w="10219"/>
          </w:cols>
          <w:pgMar w:left="240" w:top="1128"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1060"/>
        <w:spacing w:after="0"/>
        <w:tabs>
          <w:tab w:leader="none" w:pos="1560" w:val="left"/>
        </w:tabs>
        <w:rPr>
          <w:sz w:val="20"/>
          <w:szCs w:val="20"/>
          <w:color w:val="auto"/>
        </w:rPr>
      </w:pPr>
      <w:r>
        <w:rPr>
          <w:rFonts w:ascii="Courier New" w:cs="Courier New" w:eastAsia="Courier New" w:hAnsi="Courier New"/>
          <w:sz w:val="16"/>
          <w:szCs w:val="16"/>
          <w:color w:val="auto"/>
        </w:rPr>
        <w:t>(b)</w:t>
        <w:tab/>
        <w:t>Percent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660" w:space="720"/>
            <w:col w:w="2839"/>
          </w:cols>
          <w:pgMar w:left="240" w:top="1128" w:right="1440" w:bottom="1440" w:gutter="0" w:footer="0" w:header="0"/>
          <w:type w:val="continuous"/>
        </w:sectPr>
      </w:pPr>
    </w:p>
    <w:p>
      <w:pPr>
        <w:ind w:left="1580" w:hanging="519"/>
        <w:spacing w:after="0"/>
        <w:tabs>
          <w:tab w:leader="none" w:pos="15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joint filers have:</w:t>
      </w:r>
    </w:p>
    <w:tbl>
      <w:tblPr>
        <w:tblLayout w:type="fixed"/>
        <w:tblInd w:w="1580" w:type="dxa"/>
        <w:tblCellMar>
          <w:top w:w="0" w:type="dxa"/>
          <w:left w:w="0" w:type="dxa"/>
          <w:bottom w:w="0" w:type="dxa"/>
          <w:right w:w="0" w:type="dxa"/>
        </w:tblCellMar>
      </w:tblP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(i)</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power to vote or to direct the vote:</w:t>
            </w: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1,760,043</w:t>
            </w:r>
          </w:p>
        </w:tc>
      </w:tr>
      <w:tr>
        <w:trPr>
          <w:trHeight w:val="203"/>
        </w:trPr>
        <w:tc>
          <w:tcPr>
            <w:tcW w:w="5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(ii)</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power to vote of to direct the vote:</w:t>
            </w: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(iii)</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power to dispose or to direct the</w:t>
            </w:r>
          </w:p>
        </w:tc>
        <w:tc>
          <w:tcPr>
            <w:tcW w:w="1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disposition of:</w:t>
            </w: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1,760,043</w:t>
            </w:r>
          </w:p>
        </w:tc>
      </w:tr>
      <w:tr>
        <w:trPr>
          <w:trHeight w:val="203"/>
        </w:trPr>
        <w:tc>
          <w:tcPr>
            <w:tcW w:w="5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(iv)</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power to dispose of or to direct</w:t>
            </w:r>
          </w:p>
        </w:tc>
        <w:tc>
          <w:tcPr>
            <w:tcW w:w="128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disposition of:</w:t>
            </w: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8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060" w:right="1779"/>
        <w:spacing w:after="0" w:line="272" w:lineRule="auto"/>
        <w:rPr>
          <w:sz w:val="20"/>
          <w:szCs w:val="20"/>
          <w:color w:val="auto"/>
        </w:rPr>
      </w:pPr>
      <w:r>
        <w:rPr>
          <w:rFonts w:ascii="Courier New" w:cs="Courier New" w:eastAsia="Courier New" w:hAnsi="Courier New"/>
          <w:sz w:val="16"/>
          <w:szCs w:val="16"/>
          <w:color w:val="auto"/>
        </w:rPr>
        <w:t>IA, a registered investment adviser, Corporate G.P., IA's sole general partner, and Shareholder, the sole shareholder of Corporate G.P., have the right or the power to direct the receipt of dividends from Common Stock, and to direct the receipt of proceeds from the sale of Common Stock to IA's investment advisory clients. No single investment advisory client of IA owns more than 5% of the Common Stock.</w:t>
      </w:r>
    </w:p>
    <w:p>
      <w:pPr>
        <w:spacing w:after="0" w:line="186" w:lineRule="exact"/>
        <w:rPr>
          <w:sz w:val="20"/>
          <w:szCs w:val="20"/>
          <w:color w:val="auto"/>
        </w:rPr>
      </w:pPr>
    </w:p>
    <w:p>
      <w:pPr>
        <w:ind w:left="1060" w:right="17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8"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Corporate G.P. and Shareholder are the equivalent of parent holding companies for purposes of the Schedule 13G. IA is the equivalent of Corporate G.P.'s direct subsidiary and Shareholder's indirect subsidiary, and IA acquired the security being reported on by Corporate G.P. and Shareholder. IA is a registered investment adviser. See Exhibit B.</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580" w:right="1779" w:hanging="519"/>
        <w:spacing w:after="0" w:line="235" w:lineRule="auto"/>
        <w:tabs>
          <w:tab w:leader="none" w:pos="15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240.13d-l (b):</w:t>
      </w:r>
    </w:p>
    <w:p>
      <w:pPr>
        <w:spacing w:after="0" w:line="208" w:lineRule="exact"/>
        <w:rPr>
          <w:sz w:val="20"/>
          <w:szCs w:val="20"/>
          <w:color w:val="auto"/>
        </w:rPr>
      </w:pPr>
    </w:p>
    <w:p>
      <w:pPr>
        <w:jc w:val="both"/>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1128" w:right="1440" w:bottom="1440" w:gutter="0" w:footer="0" w:header="0"/>
          <w:type w:val="continuous"/>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Page 8 of 10 pages</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 2002</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HUSIC CAPITAL MANAGEMENT</w:t>
      </w:r>
    </w:p>
    <w:p>
      <w:pPr>
        <w:spacing w:after="0" w:line="201"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Frank J. Husic &amp; Co.</w:t>
      </w:r>
    </w:p>
    <w:p>
      <w:pPr>
        <w:ind w:left="3160"/>
        <w:spacing w:after="0" w:line="238" w:lineRule="auto"/>
        <w:tabs>
          <w:tab w:leader="none" w:pos="3780" w:val="left"/>
        </w:tabs>
        <w:rPr>
          <w:sz w:val="20"/>
          <w:szCs w:val="20"/>
          <w:color w:val="auto"/>
        </w:rPr>
      </w:pPr>
      <w:r>
        <w:rPr>
          <w:rFonts w:ascii="Courier New" w:cs="Courier New" w:eastAsia="Courier New" w:hAnsi="Courier New"/>
          <w:sz w:val="18"/>
          <w:szCs w:val="18"/>
          <w:color w:val="auto"/>
        </w:rPr>
        <w:t>Its:</w:t>
        <w:tab/>
        <w:t>General Partner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John Sanders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John Sanders</w:t>
      </w:r>
    </w:p>
    <w:p>
      <w:pPr>
        <w:ind w:left="358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FRANK J. HUSIC &amp; CO.</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Frank J. Husic &amp; Co.</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John Sanders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John Sanders</w:t>
      </w:r>
    </w:p>
    <w:p>
      <w:pPr>
        <w:ind w:left="358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FRANK J. HUSIC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Frank J. Husic</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122"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Page 9 of 10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A</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Rule 13d-1(b)(ii)(J) and Rule 13d-1(k)(1) under the Securities and Exchange Act of 1934, the members of the group making this joint filing are identified and classified as follows:</w:t>
      </w:r>
    </w:p>
    <w:p>
      <w:pPr>
        <w:spacing w:after="0" w:line="203"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2740" w:type="dxa"/>
            <w:vAlign w:val="bottom"/>
          </w:tcPr>
          <w:p>
            <w:pPr>
              <w:ind w:left="540"/>
              <w:spacing w:after="0"/>
              <w:rPr>
                <w:sz w:val="20"/>
                <w:szCs w:val="20"/>
                <w:color w:val="auto"/>
              </w:rPr>
            </w:pPr>
            <w:r>
              <w:rPr>
                <w:rFonts w:ascii="Courier New" w:cs="Courier New" w:eastAsia="Courier New" w:hAnsi="Courier New"/>
                <w:sz w:val="18"/>
                <w:szCs w:val="18"/>
                <w:color w:val="auto"/>
              </w:rPr>
              <w:t>Name</w:t>
            </w:r>
          </w:p>
        </w:tc>
        <w:tc>
          <w:tcPr>
            <w:tcW w:w="2740" w:type="dxa"/>
            <w:vAlign w:val="bottom"/>
          </w:tcPr>
          <w:p>
            <w:pPr>
              <w:jc w:val="right"/>
              <w:spacing w:after="0"/>
              <w:rPr>
                <w:sz w:val="20"/>
                <w:szCs w:val="20"/>
                <w:color w:val="auto"/>
              </w:rPr>
            </w:pPr>
            <w:r>
              <w:rPr>
                <w:rFonts w:ascii="Courier New" w:cs="Courier New" w:eastAsia="Courier New" w:hAnsi="Courier New"/>
                <w:sz w:val="18"/>
                <w:szCs w:val="18"/>
                <w:color w:val="auto"/>
              </w:rPr>
              <w:t>Classification</w:t>
            </w:r>
          </w:p>
        </w:tc>
      </w:tr>
      <w:tr>
        <w:trPr>
          <w:trHeight w:val="203"/>
        </w:trPr>
        <w:tc>
          <w:tcPr>
            <w:tcW w:w="2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r>
    </w:tbl>
    <w:p>
      <w:pPr>
        <w:sectPr>
          <w:pgSz w:w="11900" w:h="16838" w:orient="portrait"/>
          <w:cols w:equalWidth="0" w:num="1">
            <w:col w:w="10219"/>
          </w:cols>
          <w:pgMar w:left="240" w:top="1122"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Page 10 of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B</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Joint Filing Agreement Pursuant to Rule 13d-1</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agreement is made pursuant to Rule 13d-1(b)(ii)(J) and Rule 13d-1(k)(1) under the Securities and Exchange Act of 1934 (the "Act") by and among the parties listed below, each referred to herein as a "Joint Filer." The Joint Filers agree that a statement of beneficial ownership as required by Sections 13(g) or 13(d) of the Act and the Rules thereunder may be filed on each of their behalf on Schedule 13G or Schedule 13D, as appropriate, and that said joint filing may thereafter be amended by further joint filings. The Joint Filers state that they each satisfy the requirements for making a joint filing under Rule 13d-1.</w:t>
      </w:r>
    </w:p>
    <w:p>
      <w:pPr>
        <w:spacing w:after="0" w:line="20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2, 2002</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HUSIC CAPITAL MANAGEMENT</w:t>
      </w:r>
    </w:p>
    <w:p>
      <w:pPr>
        <w:spacing w:after="0" w:line="201"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Frank J. Husic &amp; Co.</w:t>
      </w:r>
    </w:p>
    <w:p>
      <w:pPr>
        <w:ind w:left="3160"/>
        <w:spacing w:after="0" w:line="238" w:lineRule="auto"/>
        <w:tabs>
          <w:tab w:leader="none" w:pos="3780" w:val="left"/>
        </w:tabs>
        <w:rPr>
          <w:sz w:val="20"/>
          <w:szCs w:val="20"/>
          <w:color w:val="auto"/>
        </w:rPr>
      </w:pPr>
      <w:r>
        <w:rPr>
          <w:rFonts w:ascii="Courier New" w:cs="Courier New" w:eastAsia="Courier New" w:hAnsi="Courier New"/>
          <w:sz w:val="18"/>
          <w:szCs w:val="18"/>
          <w:color w:val="auto"/>
        </w:rPr>
        <w:t>Its:</w:t>
        <w:tab/>
        <w:t>General Partner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John Sanders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John Sanders</w:t>
      </w:r>
    </w:p>
    <w:p>
      <w:pPr>
        <w:ind w:left="358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FRANK J. HUSIC &amp; CO.</w:t>
      </w:r>
    </w:p>
    <w:p>
      <w:pPr>
        <w:spacing w:after="0" w:line="201"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tab/>
        <w:t>Frank J. Husic &amp; Co.</w:t>
      </w:r>
    </w:p>
    <w:p>
      <w:pPr>
        <w:ind w:left="3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John Sanders</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John Sanders</w:t>
      </w:r>
    </w:p>
    <w:p>
      <w:pPr>
        <w:ind w:left="3580"/>
        <w:spacing w:after="0" w:line="237" w:lineRule="auto"/>
        <w:rPr>
          <w:sz w:val="20"/>
          <w:szCs w:val="20"/>
          <w:color w:val="auto"/>
        </w:rPr>
      </w:pPr>
      <w:r>
        <w:rPr>
          <w:rFonts w:ascii="Courier New" w:cs="Courier New" w:eastAsia="Courier New" w:hAnsi="Courier New"/>
          <w:sz w:val="18"/>
          <w:szCs w:val="18"/>
          <w:color w:val="auto"/>
        </w:rPr>
        <w:t>Compliance Officer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FRANK J. HUSIC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 Frank J. Husic</w:t>
      </w:r>
    </w:p>
    <w:p>
      <w:pPr>
        <w:ind w:left="316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lvl w:ilvl="1">
      <w:lvlJc w:val="left"/>
      <w:lvlText w:val="2"/>
      <w:numFmt w:val="bullet"/>
      <w:start w:val="1"/>
    </w:lvl>
    <w:lvl w:ilvl="2">
      <w:lvlJc w:val="left"/>
      <w:lvlText w:val="(%3)"/>
      <w:numFmt w:val="lowerLetter"/>
      <w:start w:val="2"/>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lvl w:ilvl="1">
      <w:lvlJc w:val="left"/>
      <w:lvlText w:val="4"/>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lvl w:ilvl="1">
      <w:lvlJc w:val="left"/>
      <w:lvlText w:val="%2"/>
      <w:numFmt w:val="decimal"/>
      <w:start w:val="10"/>
    </w:lvl>
  </w:abstractNum>
  <w:abstractNum w:abstractNumId="11">
    <w:nsid w:val="8EDBDAB"/>
    <w:multiLevelType w:val="hybridMultilevel"/>
    <w:lvl w:ilvl="0">
      <w:lvlJc w:val="left"/>
      <w:lvlText w:val="-"/>
      <w:numFmt w:val="bullet"/>
      <w:start w:val="1"/>
    </w:lvl>
    <w:lvl w:ilvl="1">
      <w:lvlJc w:val="left"/>
      <w:lvlText w:val="%2"/>
      <w:numFmt w:val="decimal"/>
      <w:start w:val="11"/>
    </w:lvl>
  </w:abstractNum>
  <w:abstractNum w:abstractNumId="12">
    <w:nsid w:val="79838CB2"/>
    <w:multiLevelType w:val="hybridMultilevel"/>
    <w:lvl w:ilvl="0">
      <w:lvlJc w:val="left"/>
      <w:lvlText w:val="-"/>
      <w:numFmt w:val="bullet"/>
      <w:start w:val="1"/>
    </w:lvl>
    <w:lvl w:ilvl="1">
      <w:lvlJc w:val="left"/>
      <w:lvlText w:val="%2"/>
      <w:numFmt w:val="decimal"/>
      <w:start w:val="12"/>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lvl w:ilvl="1">
      <w:lvlJc w:val="left"/>
      <w:lvlText w:val="2"/>
      <w:numFmt w:val="bullet"/>
      <w:start w:val="1"/>
    </w:lvl>
    <w:lvl w:ilvl="2">
      <w:lvlJc w:val="left"/>
      <w:lvlText w:val="(%3)"/>
      <w:numFmt w:val="lowerLetter"/>
      <w:start w:val="2"/>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lvl w:ilvl="1">
      <w:lvlJc w:val="left"/>
      <w:lvlText w:val="4"/>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lvl w:ilvl="1">
      <w:lvlJc w:val="left"/>
      <w:lvlText w:val="%2"/>
      <w:numFmt w:val="decimal"/>
      <w:start w:val="10"/>
    </w:lvl>
  </w:abstractNum>
  <w:abstractNum w:abstractNumId="20">
    <w:nsid w:val="2901D82"/>
    <w:multiLevelType w:val="hybridMultilevel"/>
    <w:lvl w:ilvl="0">
      <w:lvlJc w:val="left"/>
      <w:lvlText w:val="-"/>
      <w:numFmt w:val="bullet"/>
      <w:start w:val="1"/>
    </w:lvl>
    <w:lvl w:ilvl="1">
      <w:lvlJc w:val="left"/>
      <w:lvlText w:val="%2"/>
      <w:numFmt w:val="decimal"/>
      <w:start w:val="11"/>
    </w:lvl>
  </w:abstractNum>
  <w:abstractNum w:abstractNumId="21">
    <w:nsid w:val="3A95F874"/>
    <w:multiLevelType w:val="hybridMultilevel"/>
    <w:lvl w:ilvl="0">
      <w:lvlJc w:val="left"/>
      <w:lvlText w:val="-"/>
      <w:numFmt w:val="bullet"/>
      <w:start w:val="1"/>
    </w:lvl>
    <w:lvl w:ilvl="1">
      <w:lvlJc w:val="left"/>
      <w:lvlText w:val="%2"/>
      <w:numFmt w:val="decimal"/>
      <w:start w:val="12"/>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lvl w:ilvl="1">
      <w:lvlJc w:val="left"/>
      <w:lvlText w:val="2"/>
      <w:numFmt w:val="bullet"/>
      <w:start w:val="1"/>
    </w:lvl>
    <w:lvl w:ilvl="2">
      <w:lvlJc w:val="left"/>
      <w:lvlText w:val="(%3)"/>
      <w:numFmt w:val="lowerLetter"/>
      <w:start w:val="2"/>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lvl w:ilvl="1">
      <w:lvlJc w:val="left"/>
      <w:lvlText w:val="4"/>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lvl w:ilvl="1">
      <w:lvlJc w:val="left"/>
      <w:lvlText w:val="%2"/>
      <w:numFmt w:val="decimal"/>
      <w:start w:val="10"/>
    </w:lvl>
  </w:abstractNum>
  <w:abstractNum w:abstractNumId="29">
    <w:nsid w:val="3006C83E"/>
    <w:multiLevelType w:val="hybridMultilevel"/>
    <w:lvl w:ilvl="0">
      <w:lvlJc w:val="left"/>
      <w:lvlText w:val="-"/>
      <w:numFmt w:val="bullet"/>
      <w:start w:val="1"/>
    </w:lvl>
    <w:lvl w:ilvl="1">
      <w:lvlJc w:val="left"/>
      <w:lvlText w:val="%2"/>
      <w:numFmt w:val="decimal"/>
      <w:start w:val="11"/>
    </w:lvl>
  </w:abstractNum>
  <w:abstractNum w:abstractNumId="30">
    <w:nsid w:val="614FD4A1"/>
    <w:multiLevelType w:val="hybridMultilevel"/>
    <w:lvl w:ilvl="0">
      <w:lvlJc w:val="left"/>
      <w:lvlText w:val="-"/>
      <w:numFmt w:val="bullet"/>
      <w:start w:val="1"/>
    </w:lvl>
    <w:lvl w:ilvl="1">
      <w:lvlJc w:val="left"/>
      <w:lvlText w:val="%2"/>
      <w:numFmt w:val="decimal"/>
      <w:start w:val="12"/>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Letter"/>
      <w:start w:val="3"/>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upperLetter"/>
      <w:start w:val="3"/>
    </w:lvl>
  </w:abstractNum>
  <w:abstractNum w:abstractNumId="36">
    <w:nsid w:val="77465F0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2019-12-20T15:17:00Z</dcterms:created>
  <dcterms:modified xsi:type="dcterms:W3CDTF">2019-12-20T15:17:00Z</dcterms:modified>
</cp:coreProperties>
</file>