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3"/>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HOLTZMAN SEYMOUR</w:t>
              </w:r>
            </w:hyperlink>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CASUAL MALE RETAIL GROUP INC </w:t>
              </w:r>
            </w:hyperlink>
            <w:r>
              <w:rPr>
                <w:rFonts w:ascii="Times New Roman" w:cs="Times New Roman" w:eastAsia="Times New Roman" w:hAnsi="Times New Roman"/>
                <w:sz w:val="12"/>
                <w:szCs w:val="12"/>
                <w:color w:val="000000"/>
              </w:rPr>
              <w:t>[</w:t>
            </w:r>
          </w:p>
        </w:tc>
        <w:tc>
          <w:tcPr>
            <w:tcW w:w="1300" w:type="dxa"/>
            <w:vAlign w:val="bottom"/>
            <w:gridSpan w:val="5"/>
            <w:vMerge w:val="restart"/>
          </w:tcPr>
          <w:p>
            <w:pPr>
              <w:spacing w:after="0"/>
              <w:rPr>
                <w:sz w:val="20"/>
                <w:szCs w:val="20"/>
                <w:color w:val="auto"/>
              </w:rPr>
            </w:pPr>
            <w:r>
              <w:rPr>
                <w:rFonts w:ascii="Arial" w:cs="Arial" w:eastAsia="Arial" w:hAnsi="Arial"/>
                <w:sz w:val="14"/>
                <w:szCs w:val="14"/>
                <w:color w:val="auto"/>
                <w:w w:val="95"/>
              </w:rPr>
              <w:t>(Check all applicable)</w:t>
            </w: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520" w:type="dxa"/>
            <w:vAlign w:val="bottom"/>
          </w:tcPr>
          <w:p>
            <w:pPr>
              <w:spacing w:after="0"/>
              <w:rPr>
                <w:sz w:val="2"/>
                <w:szCs w:val="2"/>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X</w:t>
            </w: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Borders>
              <w:bottom w:val="single" w:sz="8" w:color="0000EE"/>
            </w:tcBorders>
            <w:gridSpan w:val="3"/>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 xml:space="preserve">CMRG </w:t>
            </w:r>
            <w:r>
              <w:rPr>
                <w:rFonts w:ascii="Times New Roman" w:cs="Times New Roman" w:eastAsia="Times New Roman" w:hAnsi="Times New Roman"/>
                <w:sz w:val="21"/>
                <w:szCs w:val="21"/>
                <w:color w:val="000000"/>
              </w:rPr>
              <w:t>]</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20" w:type="dxa"/>
            <w:vAlign w:val="bottom"/>
            <w:gridSpan w:val="3"/>
          </w:tcPr>
          <w:p>
            <w:pPr>
              <w:spacing w:after="0"/>
              <w:rPr>
                <w:sz w:val="6"/>
                <w:szCs w:val="6"/>
                <w:color w:val="auto"/>
              </w:rPr>
            </w:pPr>
          </w:p>
        </w:tc>
        <w:tc>
          <w:tcPr>
            <w:tcW w:w="22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460" w:type="dxa"/>
            <w:vAlign w:val="bottom"/>
            <w:gridSpan w:val="3"/>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320" w:type="dxa"/>
            <w:vAlign w:val="bottom"/>
            <w:vMerge w:val="continue"/>
          </w:tcPr>
          <w:p>
            <w:pPr>
              <w:spacing w:after="0"/>
              <w:rPr>
                <w:sz w:val="9"/>
                <w:szCs w:val="9"/>
                <w:color w:val="auto"/>
              </w:rPr>
            </w:pP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01/07/2010</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8"/>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7"/>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2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260" w:type="dxa"/>
            <w:vAlign w:val="bottom"/>
            <w:gridSpan w:val="9"/>
            <w:vMerge w:val="restart"/>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32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8"/>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color w:val="auto"/>
              </w:rPr>
              <w:t>Person</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780" w:type="dxa"/>
            <w:vAlign w:val="bottom"/>
            <w:tcBorders>
              <w:top w:val="single" w:sz="8" w:color="2C2C2C"/>
            </w:tcBorders>
            <w:gridSpan w:val="21"/>
          </w:tcPr>
          <w:p>
            <w:pPr>
              <w:jc w:val="center"/>
              <w:ind w:left="4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2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5"/>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8"/>
                <w:szCs w:val="18"/>
                <w:color w:val="auto"/>
                <w:w w:val="88"/>
              </w:rPr>
              <w:t>$</w:t>
            </w:r>
            <w:r>
              <w:rPr>
                <w:rFonts w:ascii="Times New Roman" w:cs="Times New Roman" w:eastAsia="Times New Roman" w:hAnsi="Times New Roman"/>
                <w:sz w:val="18"/>
                <w:szCs w:val="18"/>
                <w:color w:val="0000FF"/>
                <w:w w:val="88"/>
              </w:rPr>
              <w:t>2.25</w:t>
            </w:r>
            <w:r>
              <w:rPr>
                <w:rFonts w:ascii="Times New Roman" w:cs="Times New Roman" w:eastAsia="Times New Roman" w:hAnsi="Times New Roman"/>
                <w:sz w:val="22"/>
                <w:szCs w:val="22"/>
                <w:color w:val="008000"/>
                <w:w w:val="88"/>
                <w:vertAlign w:val="superscript"/>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rPr>
              <w:t>Common Stock, $.01 par value</w:t>
            </w: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01/07/2010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color w:val="0000FF"/>
              </w:rPr>
              <w:t>P</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20,800</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5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57,800</w:t>
            </w:r>
          </w:p>
        </w:tc>
        <w:tc>
          <w:tcPr>
            <w:tcW w:w="420" w:type="dxa"/>
            <w:vAlign w:val="bottom"/>
          </w:tcPr>
          <w:p>
            <w:pPr>
              <w:spacing w:after="0"/>
              <w:rPr>
                <w:sz w:val="18"/>
                <w:szCs w:val="18"/>
                <w:color w:val="auto"/>
              </w:rPr>
            </w:pPr>
          </w:p>
        </w:tc>
        <w:tc>
          <w:tcPr>
            <w:tcW w:w="520" w:type="dxa"/>
            <w:vAlign w:val="bottom"/>
          </w:tcPr>
          <w:p>
            <w:pPr>
              <w:ind w:left="300"/>
              <w:spacing w:after="0" w:line="216"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Managemenet,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rPr>
              <w:t>Common Stock, $.01 par value</w:t>
            </w: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5"/>
          </w:tcPr>
          <w:p>
            <w:pPr>
              <w:jc w:val="right"/>
              <w:ind w:right="239"/>
              <w:spacing w:after="0"/>
              <w:rPr>
                <w:sz w:val="20"/>
                <w:szCs w:val="20"/>
                <w:color w:val="auto"/>
              </w:rPr>
            </w:pPr>
            <w:r>
              <w:rPr>
                <w:rFonts w:ascii="Times New Roman" w:cs="Times New Roman" w:eastAsia="Times New Roman" w:hAnsi="Times New Roman"/>
                <w:sz w:val="18"/>
                <w:szCs w:val="18"/>
                <w:color w:val="0000FF"/>
              </w:rPr>
              <w:t>3,890,069</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40" w:type="dxa"/>
            <w:vAlign w:val="bottom"/>
            <w:tcBorders>
              <w:bottom w:val="single" w:sz="8" w:color="2C2C2C"/>
            </w:tcBorders>
            <w:gridSpan w:val="3"/>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60" w:type="dxa"/>
            <w:vAlign w:val="bottom"/>
            <w:gridSpan w:val="17"/>
          </w:tcPr>
          <w:p>
            <w:pPr>
              <w:jc w:val="center"/>
              <w:ind w:left="2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79"/>
              </w:rPr>
              <w:t>4.</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jc w:val="right"/>
              <w:ind w:right="40"/>
              <w:spacing w:after="0" w:line="135" w:lineRule="exact"/>
              <w:rPr>
                <w:sz w:val="20"/>
                <w:szCs w:val="20"/>
                <w:color w:val="auto"/>
              </w:rPr>
            </w:pPr>
            <w:r>
              <w:rPr>
                <w:rFonts w:ascii="Arial" w:cs="Arial" w:eastAsia="Arial" w:hAnsi="Arial"/>
                <w:sz w:val="12"/>
                <w:szCs w:val="12"/>
                <w:b w:val="1"/>
                <w:bCs w:val="1"/>
                <w:color w:val="auto"/>
                <w:w w:val="93"/>
              </w:rPr>
              <w:t>8)</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Owned</w:t>
            </w:r>
          </w:p>
        </w:tc>
        <w:tc>
          <w:tcPr>
            <w:tcW w:w="52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7"/>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Date</w:t>
            </w:r>
          </w:p>
        </w:tc>
        <w:tc>
          <w:tcPr>
            <w:tcW w:w="8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9"/>
              </w:rPr>
              <w:t>Code</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56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80" w:firstLine="9"/>
        <w:spacing w:after="0" w:line="305" w:lineRule="auto"/>
        <w:tabs>
          <w:tab w:leader="none" w:pos="17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Price represents the weighted average price with respect to shares purchased on this date. This transaction was executed in multiple trades ranging from $2.20 to $2.29. The Reporting Person hereby undertakes to provide upon request to the SEC, the issuer or any stockholder of the issuer full information regarding the number of shares and prices at which the transaction was effected.</w:t>
      </w: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an indirect controlling shareholder of Jewelcor Management, Inc.</w:t>
      </w:r>
    </w:p>
    <w:p>
      <w:pPr>
        <w:spacing w:after="0" w:line="5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0000FF"/>
                <w:w w:val="96"/>
              </w:rPr>
              <w:t>Seymour Holtzman</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01/08/2010</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2019-12-16T05:14:05Z</dcterms:created>
  <dcterms:modified xsi:type="dcterms:W3CDTF">2019-12-16T05:14:05Z</dcterms:modified>
</cp:coreProperties>
</file>