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205740</wp:posOffset>
            </wp:positionV>
            <wp:extent cx="724662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231140</wp:posOffset>
            </wp:positionV>
            <wp:extent cx="72466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371" w:lineRule="exact"/>
        <w:rPr>
          <w:sz w:val="24"/>
          <w:szCs w:val="24"/>
          <w:color w:val="auto"/>
        </w:rPr>
      </w:pPr>
    </w:p>
    <w:p>
      <w:pPr>
        <w:jc w:val="center"/>
        <w:ind w:right="-619"/>
        <w:spacing w:after="0"/>
        <w:rPr>
          <w:sz w:val="20"/>
          <w:szCs w:val="20"/>
          <w:color w:val="auto"/>
        </w:rPr>
      </w:pPr>
      <w:r>
        <w:rPr>
          <w:rFonts w:ascii="Arial" w:cs="Arial" w:eastAsia="Arial" w:hAnsi="Arial"/>
          <w:sz w:val="32"/>
          <w:szCs w:val="32"/>
          <w:b w:val="1"/>
          <w:bCs w:val="1"/>
          <w:color w:val="auto"/>
        </w:rPr>
        <w:t>UNITED STATES</w:t>
      </w:r>
    </w:p>
    <w:p>
      <w:pPr>
        <w:spacing w:after="0" w:line="31" w:lineRule="exact"/>
        <w:rPr>
          <w:sz w:val="24"/>
          <w:szCs w:val="24"/>
          <w:color w:val="auto"/>
        </w:rPr>
      </w:pPr>
    </w:p>
    <w:p>
      <w:pPr>
        <w:jc w:val="center"/>
        <w:ind w:right="-619"/>
        <w:spacing w:after="0"/>
        <w:rPr>
          <w:sz w:val="20"/>
          <w:szCs w:val="20"/>
          <w:color w:val="auto"/>
        </w:rPr>
      </w:pPr>
      <w:r>
        <w:rPr>
          <w:rFonts w:ascii="Arial" w:cs="Arial" w:eastAsia="Arial" w:hAnsi="Arial"/>
          <w:sz w:val="32"/>
          <w:szCs w:val="32"/>
          <w:b w:val="1"/>
          <w:bCs w:val="1"/>
          <w:color w:val="auto"/>
        </w:rPr>
        <w:t>SECURITIES AND EXCHANGE COMMISSION</w:t>
      </w:r>
    </w:p>
    <w:p>
      <w:pPr>
        <w:jc w:val="center"/>
        <w:ind w:right="-619"/>
        <w:spacing w:after="0"/>
        <w:rPr>
          <w:sz w:val="20"/>
          <w:szCs w:val="20"/>
          <w:color w:val="auto"/>
        </w:rPr>
      </w:pPr>
      <w:r>
        <w:rPr>
          <w:rFonts w:ascii="Arial" w:cs="Arial" w:eastAsia="Arial" w:hAnsi="Arial"/>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107315</wp:posOffset>
            </wp:positionV>
            <wp:extent cx="151765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03" w:lineRule="exact"/>
        <w:rPr>
          <w:sz w:val="24"/>
          <w:szCs w:val="24"/>
          <w:color w:val="auto"/>
        </w:rPr>
      </w:pPr>
    </w:p>
    <w:p>
      <w:pPr>
        <w:ind w:left="4840"/>
        <w:spacing w:after="0"/>
        <w:rPr>
          <w:sz w:val="20"/>
          <w:szCs w:val="20"/>
          <w:color w:val="auto"/>
        </w:rPr>
      </w:pPr>
      <w:r>
        <w:rPr>
          <w:rFonts w:ascii="Arial" w:cs="Arial" w:eastAsia="Arial" w:hAnsi="Arial"/>
          <w:sz w:val="32"/>
          <w:szCs w:val="32"/>
          <w:b w:val="1"/>
          <w:bCs w:val="1"/>
          <w:color w:val="auto"/>
        </w:rPr>
        <w:t>FORM 11-K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127000</wp:posOffset>
            </wp:positionV>
            <wp:extent cx="151765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60" w:lineRule="exact"/>
        <w:rPr>
          <w:sz w:val="24"/>
          <w:szCs w:val="24"/>
          <w:color w:val="auto"/>
        </w:rPr>
      </w:pPr>
    </w:p>
    <w:p>
      <w:pPr>
        <w:spacing w:after="0"/>
        <w:rPr>
          <w:sz w:val="20"/>
          <w:szCs w:val="20"/>
          <w:color w:val="auto"/>
        </w:rPr>
      </w:pPr>
      <w:r>
        <w:rPr>
          <w:rFonts w:ascii="Arial" w:cs="Arial" w:eastAsia="Arial" w:hAnsi="Arial"/>
          <w:sz w:val="18"/>
          <w:szCs w:val="18"/>
          <w:b w:val="1"/>
          <w:bCs w:val="1"/>
          <w:color w:val="auto"/>
        </w:rPr>
        <w:t>(Mark one)</w:t>
      </w:r>
    </w:p>
    <w:p>
      <w:pPr>
        <w:spacing w:after="0" w:line="20" w:lineRule="exact"/>
        <w:rPr>
          <w:sz w:val="24"/>
          <w:szCs w:val="24"/>
          <w:color w:val="auto"/>
        </w:rPr>
      </w:pPr>
    </w:p>
    <w:p>
      <w:pPr>
        <w:ind w:left="460" w:hanging="452"/>
        <w:spacing w:after="0"/>
        <w:tabs>
          <w:tab w:leader="none" w:pos="460" w:val="left"/>
        </w:tabs>
        <w:numPr>
          <w:ilvl w:val="0"/>
          <w:numId w:val="1"/>
        </w:numPr>
        <w:rPr>
          <w:rFonts w:ascii="MS PGothic" w:cs="MS PGothic" w:eastAsia="MS PGothic" w:hAnsi="MS PGothic"/>
          <w:sz w:val="22"/>
          <w:szCs w:val="22"/>
          <w:color w:val="auto"/>
          <w:highlight w:val="black"/>
        </w:rPr>
      </w:pPr>
      <w:r>
        <w:rPr>
          <w:rFonts w:ascii="Arial" w:cs="Arial" w:eastAsia="Arial" w:hAnsi="Arial"/>
          <w:sz w:val="22"/>
          <w:szCs w:val="22"/>
          <w:b w:val="1"/>
          <w:bCs w:val="1"/>
          <w:color w:val="auto"/>
        </w:rPr>
        <w:t>ANNUAL REPORT PURSUANT TO SECTION 15(d) OF THE SECURITIES EXCHANGE ACT OF 1934</w:t>
      </w:r>
    </w:p>
    <w:p>
      <w:pPr>
        <w:spacing w:after="0" w:line="155" w:lineRule="exact"/>
        <w:rPr>
          <w:sz w:val="24"/>
          <w:szCs w:val="24"/>
          <w:color w:val="auto"/>
        </w:rPr>
      </w:pPr>
    </w:p>
    <w:p>
      <w:pPr>
        <w:ind w:left="460"/>
        <w:spacing w:after="0"/>
        <w:rPr>
          <w:sz w:val="20"/>
          <w:szCs w:val="20"/>
          <w:color w:val="auto"/>
        </w:rPr>
      </w:pPr>
      <w:r>
        <w:rPr>
          <w:rFonts w:ascii="Arial" w:cs="Arial" w:eastAsia="Arial" w:hAnsi="Arial"/>
          <w:sz w:val="18"/>
          <w:szCs w:val="18"/>
          <w:b w:val="1"/>
          <w:bCs w:val="1"/>
          <w:color w:val="auto"/>
        </w:rPr>
        <w:t>For the fiscal year ended December 31, 2009</w:t>
      </w:r>
    </w:p>
    <w:p>
      <w:pPr>
        <w:spacing w:after="0" w:line="171" w:lineRule="exact"/>
        <w:rPr>
          <w:sz w:val="24"/>
          <w:szCs w:val="24"/>
          <w:color w:val="auto"/>
        </w:rPr>
      </w:pPr>
    </w:p>
    <w:p>
      <w:pPr>
        <w:ind w:left="5640"/>
        <w:spacing w:after="0"/>
        <w:rPr>
          <w:sz w:val="20"/>
          <w:szCs w:val="20"/>
          <w:color w:val="auto"/>
        </w:rPr>
      </w:pPr>
      <w:r>
        <w:rPr>
          <w:rFonts w:ascii="Arial" w:cs="Arial" w:eastAsia="Arial" w:hAnsi="Arial"/>
          <w:sz w:val="18"/>
          <w:szCs w:val="18"/>
          <w:b w:val="1"/>
          <w:bCs w:val="1"/>
          <w:color w:val="auto"/>
        </w:rPr>
        <w:t>or</w:t>
      </w:r>
    </w:p>
    <w:p>
      <w:pPr>
        <w:spacing w:after="0" w:line="199" w:lineRule="exact"/>
        <w:rPr>
          <w:sz w:val="24"/>
          <w:szCs w:val="24"/>
          <w:color w:val="auto"/>
        </w:rPr>
      </w:pPr>
    </w:p>
    <w:p>
      <w:pPr>
        <w:ind w:left="460" w:hanging="452"/>
        <w:spacing w:after="0"/>
        <w:tabs>
          <w:tab w:leader="none" w:pos="460" w:val="left"/>
        </w:tabs>
        <w:numPr>
          <w:ilvl w:val="0"/>
          <w:numId w:val="2"/>
        </w:numPr>
        <w:rPr>
          <w:rFonts w:ascii="MS PGothic" w:cs="MS PGothic" w:eastAsia="MS PGothic" w:hAnsi="MS PGothic"/>
          <w:sz w:val="21"/>
          <w:szCs w:val="21"/>
          <w:color w:val="auto"/>
          <w:highlight w:val="black"/>
        </w:rPr>
      </w:pPr>
      <w:r>
        <w:rPr>
          <w:rFonts w:ascii="Arial" w:cs="Arial" w:eastAsia="Arial" w:hAnsi="Arial"/>
          <w:sz w:val="21"/>
          <w:szCs w:val="21"/>
          <w:b w:val="1"/>
          <w:bCs w:val="1"/>
          <w:color w:val="auto"/>
        </w:rPr>
        <w:t>TRANSITION REPORT PURSUANT TO SECTION 15(d) OF THE SECURITIES EXCHANGE ACT OF 1934</w:t>
      </w:r>
    </w:p>
    <w:p>
      <w:pPr>
        <w:spacing w:after="0" w:line="190" w:lineRule="exact"/>
        <w:rPr>
          <w:sz w:val="24"/>
          <w:szCs w:val="24"/>
          <w:color w:val="auto"/>
        </w:rPr>
      </w:pPr>
    </w:p>
    <w:p>
      <w:pPr>
        <w:ind w:left="460"/>
        <w:spacing w:after="0"/>
        <w:tabs>
          <w:tab w:leader="none" w:pos="3680" w:val="left"/>
        </w:tabs>
        <w:rPr>
          <w:sz w:val="20"/>
          <w:szCs w:val="20"/>
          <w:color w:val="auto"/>
        </w:rPr>
      </w:pPr>
      <w:r>
        <w:rPr>
          <w:rFonts w:ascii="Arial" w:cs="Arial" w:eastAsia="Arial" w:hAnsi="Arial"/>
          <w:sz w:val="18"/>
          <w:szCs w:val="18"/>
          <w:b w:val="1"/>
          <w:bCs w:val="1"/>
          <w:color w:val="auto"/>
        </w:rPr>
        <w:t>For the transition period from</w:t>
      </w:r>
      <w:r>
        <w:rPr>
          <w:sz w:val="20"/>
          <w:szCs w:val="20"/>
          <w:color w:val="auto"/>
        </w:rPr>
        <w:tab/>
      </w:r>
      <w:r>
        <w:rPr>
          <w:rFonts w:ascii="Arial" w:cs="Arial" w:eastAsia="Arial" w:hAnsi="Arial"/>
          <w:sz w:val="14"/>
          <w:szCs w:val="14"/>
          <w:b w:val="1"/>
          <w:bCs w:val="1"/>
          <w:color w:val="auto"/>
        </w:rPr>
        <w:t>to</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1763395</wp:posOffset>
            </wp:positionH>
            <wp:positionV relativeFrom="paragraph">
              <wp:posOffset>-10160</wp:posOffset>
            </wp:positionV>
            <wp:extent cx="126365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263650" cy="8890"/>
                    </a:xfrm>
                    <a:prstGeom prst="rect">
                      <a:avLst/>
                    </a:prstGeom>
                    <a:noFill/>
                  </pic:spPr>
                </pic:pic>
              </a:graphicData>
            </a:graphic>
          </wp:anchor>
        </w:drawing>
      </w:r>
    </w:p>
    <w:p>
      <w:pPr>
        <w:spacing w:after="0" w:line="151" w:lineRule="exact"/>
        <w:rPr>
          <w:sz w:val="24"/>
          <w:szCs w:val="24"/>
          <w:color w:val="auto"/>
        </w:rPr>
      </w:pPr>
    </w:p>
    <w:p>
      <w:pPr>
        <w:jc w:val="center"/>
        <w:ind w:right="-619"/>
        <w:spacing w:after="0"/>
        <w:rPr>
          <w:sz w:val="20"/>
          <w:szCs w:val="20"/>
          <w:color w:val="auto"/>
        </w:rPr>
      </w:pPr>
      <w:r>
        <w:rPr>
          <w:rFonts w:ascii="Arial" w:cs="Arial" w:eastAsia="Arial" w:hAnsi="Arial"/>
          <w:sz w:val="18"/>
          <w:szCs w:val="18"/>
          <w:b w:val="1"/>
          <w:bCs w:val="1"/>
          <w:color w:val="auto"/>
        </w:rPr>
        <w:t>Commission File Number 01-34219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118110</wp:posOffset>
            </wp:positionV>
            <wp:extent cx="151765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32" w:lineRule="exact"/>
        <w:rPr>
          <w:sz w:val="24"/>
          <w:szCs w:val="24"/>
          <w:color w:val="auto"/>
        </w:rPr>
      </w:pPr>
    </w:p>
    <w:p>
      <w:pPr>
        <w:jc w:val="center"/>
        <w:ind w:right="-619"/>
        <w:spacing w:after="0"/>
        <w:rPr>
          <w:sz w:val="20"/>
          <w:szCs w:val="20"/>
          <w:color w:val="auto"/>
        </w:rPr>
      </w:pPr>
      <w:r>
        <w:rPr>
          <w:rFonts w:ascii="Arial" w:cs="Arial" w:eastAsia="Arial" w:hAnsi="Arial"/>
          <w:sz w:val="24"/>
          <w:szCs w:val="24"/>
          <w:b w:val="1"/>
          <w:bCs w:val="1"/>
          <w:color w:val="auto"/>
        </w:rPr>
        <w:t>CASUAL MALE RETAIL GROUP, INC. 401(K) HOURLY SAVINGS PLAN</w:t>
      </w:r>
    </w:p>
    <w:p>
      <w:pPr>
        <w:spacing w:after="0" w:line="41" w:lineRule="exact"/>
        <w:rPr>
          <w:sz w:val="24"/>
          <w:szCs w:val="24"/>
          <w:color w:val="auto"/>
        </w:rPr>
      </w:pPr>
    </w:p>
    <w:p>
      <w:pPr>
        <w:ind w:left="4920"/>
        <w:spacing w:after="0"/>
        <w:rPr>
          <w:sz w:val="20"/>
          <w:szCs w:val="20"/>
          <w:color w:val="auto"/>
        </w:rPr>
      </w:pPr>
      <w:r>
        <w:rPr>
          <w:rFonts w:ascii="Arial" w:cs="Arial" w:eastAsia="Arial" w:hAnsi="Arial"/>
          <w:sz w:val="18"/>
          <w:szCs w:val="18"/>
          <w:b w:val="1"/>
          <w:bCs w:val="1"/>
          <w:i w:val="1"/>
          <w:iCs w:val="1"/>
          <w:color w:val="auto"/>
        </w:rPr>
        <w:t>(Full title of the plan)</w:t>
      </w:r>
    </w:p>
    <w:p>
      <w:pPr>
        <w:spacing w:after="0" w:line="152" w:lineRule="exact"/>
        <w:rPr>
          <w:sz w:val="24"/>
          <w:szCs w:val="24"/>
          <w:color w:val="auto"/>
        </w:rPr>
      </w:pPr>
    </w:p>
    <w:p>
      <w:pPr>
        <w:ind w:left="4160"/>
        <w:spacing w:after="0"/>
        <w:rPr>
          <w:sz w:val="20"/>
          <w:szCs w:val="20"/>
          <w:color w:val="auto"/>
        </w:rPr>
      </w:pPr>
      <w:r>
        <w:rPr>
          <w:rFonts w:ascii="Arial" w:cs="Arial" w:eastAsia="Arial" w:hAnsi="Arial"/>
          <w:sz w:val="18"/>
          <w:szCs w:val="18"/>
          <w:b w:val="1"/>
          <w:bCs w:val="1"/>
          <w:color w:val="auto"/>
        </w:rPr>
        <w:t>CASUAL MALE RETAIL GROUP, INC.</w:t>
      </w:r>
    </w:p>
    <w:p>
      <w:pPr>
        <w:spacing w:after="0" w:line="21" w:lineRule="exact"/>
        <w:rPr>
          <w:sz w:val="24"/>
          <w:szCs w:val="24"/>
          <w:color w:val="auto"/>
        </w:rPr>
      </w:pPr>
    </w:p>
    <w:p>
      <w:pPr>
        <w:jc w:val="center"/>
        <w:ind w:right="-619"/>
        <w:spacing w:after="0"/>
        <w:rPr>
          <w:sz w:val="20"/>
          <w:szCs w:val="20"/>
          <w:color w:val="auto"/>
        </w:rPr>
      </w:pPr>
      <w:r>
        <w:rPr>
          <w:rFonts w:ascii="Arial" w:cs="Arial" w:eastAsia="Arial" w:hAnsi="Arial"/>
          <w:sz w:val="18"/>
          <w:szCs w:val="18"/>
          <w:b w:val="1"/>
          <w:bCs w:val="1"/>
          <w:color w:val="auto"/>
        </w:rPr>
        <w:t>555 Turnpike Street</w:t>
      </w:r>
    </w:p>
    <w:p>
      <w:pPr>
        <w:spacing w:after="0" w:line="9" w:lineRule="exact"/>
        <w:rPr>
          <w:sz w:val="24"/>
          <w:szCs w:val="24"/>
          <w:color w:val="auto"/>
        </w:rPr>
      </w:pPr>
    </w:p>
    <w:p>
      <w:pPr>
        <w:jc w:val="center"/>
        <w:ind w:right="-619"/>
        <w:spacing w:after="0"/>
        <w:rPr>
          <w:sz w:val="20"/>
          <w:szCs w:val="20"/>
          <w:color w:val="auto"/>
        </w:rPr>
      </w:pPr>
      <w:r>
        <w:rPr>
          <w:rFonts w:ascii="Arial" w:cs="Arial" w:eastAsia="Arial" w:hAnsi="Arial"/>
          <w:sz w:val="18"/>
          <w:szCs w:val="18"/>
          <w:b w:val="1"/>
          <w:bCs w:val="1"/>
          <w:color w:val="auto"/>
        </w:rPr>
        <w:t>Canton, Massachusetts 02021</w:t>
      </w:r>
    </w:p>
    <w:p>
      <w:pPr>
        <w:jc w:val="center"/>
        <w:ind w:right="-619"/>
        <w:spacing w:after="0"/>
        <w:rPr>
          <w:sz w:val="20"/>
          <w:szCs w:val="20"/>
          <w:color w:val="auto"/>
        </w:rPr>
      </w:pPr>
      <w:r>
        <w:rPr>
          <w:rFonts w:ascii="Arial" w:cs="Arial" w:eastAsia="Arial" w:hAnsi="Arial"/>
          <w:sz w:val="14"/>
          <w:szCs w:val="14"/>
          <w:b w:val="1"/>
          <w:bCs w:val="1"/>
          <w:i w:val="1"/>
          <w:iCs w:val="1"/>
          <w:color w:val="auto"/>
        </w:rPr>
        <w:t>(Name of issuer of the securities held pursuant to the plan and the address</w:t>
      </w:r>
    </w:p>
    <w:p>
      <w:pPr>
        <w:jc w:val="center"/>
        <w:ind w:right="-619"/>
        <w:spacing w:after="0"/>
        <w:rPr>
          <w:sz w:val="20"/>
          <w:szCs w:val="20"/>
          <w:color w:val="auto"/>
        </w:rPr>
      </w:pPr>
      <w:r>
        <w:rPr>
          <w:rFonts w:ascii="Arial" w:cs="Arial" w:eastAsia="Arial" w:hAnsi="Arial"/>
          <w:sz w:val="14"/>
          <w:szCs w:val="14"/>
          <w:b w:val="1"/>
          <w:bCs w:val="1"/>
          <w:i w:val="1"/>
          <w:iCs w:val="1"/>
          <w:color w:val="auto"/>
        </w:rPr>
        <w:t>of its principal executive office)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68580</wp:posOffset>
            </wp:positionV>
            <wp:extent cx="724662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102870</wp:posOffset>
            </wp:positionV>
            <wp:extent cx="724662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0800"/>
          </w:cols>
          <w:pgMar w:left="240" w:top="230" w:right="859" w:bottom="1440" w:gutter="0" w:footer="0" w:header="0"/>
        </w:sectPr>
      </w:pPr>
    </w:p>
    <w:bookmarkStart w:id="1" w:name="page2"/>
    <w:bookmarkEnd w:id="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3680"/>
        <w:spacing w:after="0"/>
        <w:rPr>
          <w:sz w:val="20"/>
          <w:szCs w:val="20"/>
          <w:color w:val="auto"/>
        </w:rPr>
      </w:pPr>
      <w:r>
        <w:rPr>
          <w:rFonts w:ascii="Arial" w:cs="Arial" w:eastAsia="Arial" w:hAnsi="Arial"/>
          <w:sz w:val="18"/>
          <w:szCs w:val="18"/>
          <w:b w:val="1"/>
          <w:bCs w:val="1"/>
          <w:color w:val="auto"/>
        </w:rPr>
        <w:t>Casual Male Retail Group 401(k) Hourly Savings Plan</w:t>
      </w:r>
    </w:p>
    <w:p>
      <w:pPr>
        <w:spacing w:after="0" w:line="90" w:lineRule="exact"/>
        <w:rPr>
          <w:sz w:val="20"/>
          <w:szCs w:val="20"/>
          <w:color w:val="auto"/>
        </w:rPr>
      </w:pPr>
    </w:p>
    <w:p>
      <w:pPr>
        <w:ind w:left="3860"/>
        <w:spacing w:after="0"/>
        <w:rPr>
          <w:sz w:val="20"/>
          <w:szCs w:val="20"/>
          <w:color w:val="auto"/>
        </w:rPr>
      </w:pPr>
      <w:r>
        <w:rPr>
          <w:rFonts w:ascii="Arial" w:cs="Arial" w:eastAsia="Arial" w:hAnsi="Arial"/>
          <w:sz w:val="18"/>
          <w:szCs w:val="18"/>
          <w:b w:val="1"/>
          <w:bCs w:val="1"/>
          <w:color w:val="auto"/>
        </w:rPr>
        <w:t>Financial Statements and Supplemental Schedule</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Year ended December 31, 2009</w:t>
      </w:r>
    </w:p>
    <w:p>
      <w:pPr>
        <w:spacing w:after="0" w:line="15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Table of Contents</w:t>
      </w:r>
    </w:p>
    <w:p>
      <w:pPr>
        <w:spacing w:after="0" w:line="195"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7660" w:type="dxa"/>
            <w:vAlign w:val="bottom"/>
            <w:gridSpan w:val="6"/>
          </w:tcPr>
          <w:p>
            <w:pPr>
              <w:spacing w:after="0"/>
              <w:rPr>
                <w:rFonts w:ascii="Arial" w:cs="Arial" w:eastAsia="Arial" w:hAnsi="Arial"/>
                <w:sz w:val="18"/>
                <w:szCs w:val="18"/>
                <w:color w:val="0000EE"/>
              </w:rPr>
            </w:pPr>
            <w:hyperlink w:anchor="page3">
              <w:r>
                <w:rPr>
                  <w:rFonts w:ascii="Arial" w:cs="Arial" w:eastAsia="Arial" w:hAnsi="Arial"/>
                  <w:sz w:val="18"/>
                  <w:szCs w:val="18"/>
                  <w:color w:val="0000EE"/>
                </w:rPr>
                <w:t>Report of Independent Registered Public Accounting Firm</w:t>
              </w:r>
            </w:hyperlink>
          </w:p>
        </w:tc>
        <w:tc>
          <w:tcPr>
            <w:tcW w:w="3760" w:type="dxa"/>
            <w:vAlign w:val="bottom"/>
          </w:tcPr>
          <w:p>
            <w:pPr>
              <w:jc w:val="right"/>
              <w:spacing w:after="0"/>
              <w:rPr>
                <w:sz w:val="20"/>
                <w:szCs w:val="20"/>
                <w:color w:val="auto"/>
              </w:rPr>
            </w:pPr>
            <w:r>
              <w:rPr>
                <w:rFonts w:ascii="Arial" w:cs="Arial" w:eastAsia="Arial" w:hAnsi="Arial"/>
                <w:sz w:val="18"/>
                <w:szCs w:val="18"/>
                <w:color w:val="auto"/>
              </w:rPr>
              <w:t>1</w:t>
            </w:r>
          </w:p>
        </w:tc>
      </w:tr>
      <w:tr>
        <w:trPr>
          <w:trHeight w:val="20"/>
        </w:trPr>
        <w:tc>
          <w:tcPr>
            <w:tcW w:w="1760" w:type="dxa"/>
            <w:vAlign w:val="bottom"/>
            <w:shd w:val="clear" w:color="auto" w:fill="0000EE"/>
          </w:tcPr>
          <w:p>
            <w:pPr>
              <w:spacing w:after="0" w:line="20" w:lineRule="exact"/>
              <w:rPr>
                <w:sz w:val="1"/>
                <w:szCs w:val="1"/>
                <w:color w:val="auto"/>
              </w:rPr>
            </w:pPr>
          </w:p>
        </w:tc>
        <w:tc>
          <w:tcPr>
            <w:tcW w:w="340" w:type="dxa"/>
            <w:vAlign w:val="bottom"/>
            <w:shd w:val="clear" w:color="auto" w:fill="0000EE"/>
          </w:tcPr>
          <w:p>
            <w:pPr>
              <w:spacing w:after="0" w:line="20" w:lineRule="exact"/>
              <w:rPr>
                <w:sz w:val="1"/>
                <w:szCs w:val="1"/>
                <w:color w:val="auto"/>
              </w:rPr>
            </w:pPr>
          </w:p>
        </w:tc>
        <w:tc>
          <w:tcPr>
            <w:tcW w:w="2020" w:type="dxa"/>
            <w:vAlign w:val="bottom"/>
            <w:shd w:val="clear" w:color="auto" w:fill="0000EE"/>
          </w:tcPr>
          <w:p>
            <w:pPr>
              <w:spacing w:after="0" w:line="20" w:lineRule="exact"/>
              <w:rPr>
                <w:sz w:val="1"/>
                <w:szCs w:val="1"/>
                <w:color w:val="auto"/>
              </w:rPr>
            </w:pPr>
          </w:p>
        </w:tc>
        <w:tc>
          <w:tcPr>
            <w:tcW w:w="174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3760" w:type="dxa"/>
            <w:vAlign w:val="bottom"/>
          </w:tcPr>
          <w:p>
            <w:pPr>
              <w:spacing w:after="0" w:line="20" w:lineRule="exact"/>
              <w:rPr>
                <w:sz w:val="1"/>
                <w:szCs w:val="1"/>
                <w:color w:val="auto"/>
              </w:rPr>
            </w:pPr>
          </w:p>
        </w:tc>
      </w:tr>
      <w:tr>
        <w:trPr>
          <w:trHeight w:val="412"/>
        </w:trPr>
        <w:tc>
          <w:tcPr>
            <w:tcW w:w="5860" w:type="dxa"/>
            <w:vAlign w:val="bottom"/>
            <w:tcBorders>
              <w:bottom w:val="single" w:sz="8" w:color="0000EE"/>
            </w:tcBorders>
            <w:gridSpan w:val="4"/>
          </w:tcPr>
          <w:p>
            <w:pPr>
              <w:spacing w:after="0"/>
              <w:rPr>
                <w:rFonts w:ascii="Arial" w:cs="Arial" w:eastAsia="Arial" w:hAnsi="Arial"/>
                <w:sz w:val="18"/>
                <w:szCs w:val="18"/>
                <w:color w:val="0000EE"/>
                <w:w w:val="87"/>
              </w:rPr>
            </w:pPr>
            <w:hyperlink w:anchor="page4">
              <w:r>
                <w:rPr>
                  <w:rFonts w:ascii="Arial" w:cs="Arial" w:eastAsia="Arial" w:hAnsi="Arial"/>
                  <w:sz w:val="18"/>
                  <w:szCs w:val="18"/>
                  <w:color w:val="0000EE"/>
                  <w:w w:val="87"/>
                </w:rPr>
                <w:t>Statements of Net Assets Available for Benefits as of December 31, 2009 and 2008</w:t>
              </w:r>
            </w:hyperlink>
          </w:p>
        </w:tc>
        <w:tc>
          <w:tcPr>
            <w:tcW w:w="1800" w:type="dxa"/>
            <w:vAlign w:val="bottom"/>
            <w:gridSpan w:val="2"/>
          </w:tcPr>
          <w:p>
            <w:pPr>
              <w:spacing w:after="0"/>
              <w:rPr>
                <w:sz w:val="24"/>
                <w:szCs w:val="24"/>
                <w:color w:val="auto"/>
              </w:rPr>
            </w:pPr>
          </w:p>
        </w:tc>
        <w:tc>
          <w:tcPr>
            <w:tcW w:w="3760" w:type="dxa"/>
            <w:vAlign w:val="bottom"/>
          </w:tcPr>
          <w:p>
            <w:pPr>
              <w:jc w:val="right"/>
              <w:spacing w:after="0"/>
              <w:rPr>
                <w:sz w:val="20"/>
                <w:szCs w:val="20"/>
                <w:color w:val="auto"/>
              </w:rPr>
            </w:pPr>
            <w:r>
              <w:rPr>
                <w:rFonts w:ascii="Arial" w:cs="Arial" w:eastAsia="Arial" w:hAnsi="Arial"/>
                <w:sz w:val="18"/>
                <w:szCs w:val="18"/>
                <w:color w:val="auto"/>
              </w:rPr>
              <w:t>2</w:t>
            </w:r>
          </w:p>
        </w:tc>
      </w:tr>
      <w:tr>
        <w:trPr>
          <w:trHeight w:val="412"/>
        </w:trPr>
        <w:tc>
          <w:tcPr>
            <w:tcW w:w="7660" w:type="dxa"/>
            <w:vAlign w:val="bottom"/>
            <w:gridSpan w:val="6"/>
          </w:tcPr>
          <w:p>
            <w:pPr>
              <w:spacing w:after="0"/>
              <w:rPr>
                <w:rFonts w:ascii="Arial" w:cs="Arial" w:eastAsia="Arial" w:hAnsi="Arial"/>
                <w:sz w:val="18"/>
                <w:szCs w:val="18"/>
                <w:color w:val="0000EE"/>
                <w:w w:val="96"/>
              </w:rPr>
            </w:pPr>
            <w:hyperlink w:anchor="page5">
              <w:r>
                <w:rPr>
                  <w:rFonts w:ascii="Arial" w:cs="Arial" w:eastAsia="Arial" w:hAnsi="Arial"/>
                  <w:sz w:val="18"/>
                  <w:szCs w:val="18"/>
                  <w:color w:val="0000EE"/>
                  <w:w w:val="96"/>
                </w:rPr>
                <w:t>Statement of Changes in Net Assets Available for Benefits For the Year Ended December 31, 2009</w:t>
              </w:r>
            </w:hyperlink>
          </w:p>
        </w:tc>
        <w:tc>
          <w:tcPr>
            <w:tcW w:w="3760" w:type="dxa"/>
            <w:vAlign w:val="bottom"/>
          </w:tcPr>
          <w:p>
            <w:pPr>
              <w:jc w:val="right"/>
              <w:spacing w:after="0"/>
              <w:rPr>
                <w:sz w:val="20"/>
                <w:szCs w:val="20"/>
                <w:color w:val="auto"/>
              </w:rPr>
            </w:pPr>
            <w:r>
              <w:rPr>
                <w:rFonts w:ascii="Arial" w:cs="Arial" w:eastAsia="Arial" w:hAnsi="Arial"/>
                <w:sz w:val="18"/>
                <w:szCs w:val="18"/>
                <w:color w:val="auto"/>
              </w:rPr>
              <w:t>3</w:t>
            </w:r>
          </w:p>
        </w:tc>
      </w:tr>
      <w:tr>
        <w:trPr>
          <w:trHeight w:val="412"/>
        </w:trPr>
        <w:tc>
          <w:tcPr>
            <w:tcW w:w="6940" w:type="dxa"/>
            <w:vAlign w:val="bottom"/>
            <w:tcBorders>
              <w:top w:val="single" w:sz="8" w:color="0000EE"/>
            </w:tcBorders>
            <w:gridSpan w:val="5"/>
          </w:tcPr>
          <w:p>
            <w:pPr>
              <w:spacing w:after="0"/>
              <w:rPr>
                <w:rFonts w:ascii="Arial" w:cs="Arial" w:eastAsia="Arial" w:hAnsi="Arial"/>
                <w:sz w:val="18"/>
                <w:szCs w:val="18"/>
                <w:color w:val="0000EE"/>
              </w:rPr>
            </w:pPr>
            <w:hyperlink w:anchor="page6">
              <w:r>
                <w:rPr>
                  <w:rFonts w:ascii="Arial" w:cs="Arial" w:eastAsia="Arial" w:hAnsi="Arial"/>
                  <w:sz w:val="18"/>
                  <w:szCs w:val="18"/>
                  <w:color w:val="0000EE"/>
                </w:rPr>
                <w:t>Notes to Financial Statements</w:t>
              </w:r>
            </w:hyperlink>
          </w:p>
        </w:tc>
        <w:tc>
          <w:tcPr>
            <w:tcW w:w="720" w:type="dxa"/>
            <w:vAlign w:val="bottom"/>
          </w:tcPr>
          <w:p>
            <w:pPr>
              <w:spacing w:after="0"/>
              <w:rPr>
                <w:sz w:val="24"/>
                <w:szCs w:val="24"/>
                <w:color w:val="auto"/>
              </w:rPr>
            </w:pPr>
          </w:p>
        </w:tc>
        <w:tc>
          <w:tcPr>
            <w:tcW w:w="3760" w:type="dxa"/>
            <w:vAlign w:val="bottom"/>
          </w:tcPr>
          <w:p>
            <w:pPr>
              <w:jc w:val="right"/>
              <w:spacing w:after="0"/>
              <w:rPr>
                <w:sz w:val="20"/>
                <w:szCs w:val="20"/>
                <w:color w:val="auto"/>
              </w:rPr>
            </w:pPr>
            <w:r>
              <w:rPr>
                <w:rFonts w:ascii="Arial" w:cs="Arial" w:eastAsia="Arial" w:hAnsi="Arial"/>
                <w:sz w:val="18"/>
                <w:szCs w:val="18"/>
                <w:color w:val="auto"/>
              </w:rPr>
              <w:t>4-13</w:t>
            </w:r>
          </w:p>
        </w:tc>
      </w:tr>
      <w:tr>
        <w:trPr>
          <w:trHeight w:val="412"/>
        </w:trPr>
        <w:tc>
          <w:tcPr>
            <w:tcW w:w="1760" w:type="dxa"/>
            <w:vAlign w:val="bottom"/>
            <w:tcBorders>
              <w:top w:val="single" w:sz="8" w:color="0000EE"/>
              <w:bottom w:val="single" w:sz="8" w:color="0000EE"/>
            </w:tcBorders>
          </w:tcPr>
          <w:p>
            <w:pPr>
              <w:spacing w:after="0"/>
              <w:rPr>
                <w:rFonts w:ascii="Arial" w:cs="Arial" w:eastAsia="Arial" w:hAnsi="Arial"/>
                <w:sz w:val="18"/>
                <w:szCs w:val="18"/>
                <w:color w:val="0000EE"/>
                <w:w w:val="86"/>
              </w:rPr>
            </w:pPr>
            <w:hyperlink w:anchor="page16">
              <w:r>
                <w:rPr>
                  <w:rFonts w:ascii="Arial" w:cs="Arial" w:eastAsia="Arial" w:hAnsi="Arial"/>
                  <w:sz w:val="18"/>
                  <w:szCs w:val="18"/>
                  <w:color w:val="0000EE"/>
                  <w:w w:val="86"/>
                </w:rPr>
                <w:t>Supplementary Schedule</w:t>
              </w:r>
            </w:hyperlink>
          </w:p>
        </w:tc>
        <w:tc>
          <w:tcPr>
            <w:tcW w:w="340" w:type="dxa"/>
            <w:vAlign w:val="bottom"/>
            <w:tcBorders>
              <w:top w:val="single" w:sz="8" w:color="0000EE"/>
            </w:tcBorders>
          </w:tcPr>
          <w:p>
            <w:pPr>
              <w:spacing w:after="0"/>
              <w:rPr>
                <w:sz w:val="24"/>
                <w:szCs w:val="24"/>
                <w:color w:val="auto"/>
              </w:rPr>
            </w:pPr>
          </w:p>
        </w:tc>
        <w:tc>
          <w:tcPr>
            <w:tcW w:w="5560" w:type="dxa"/>
            <w:vAlign w:val="bottom"/>
            <w:gridSpan w:val="4"/>
          </w:tcPr>
          <w:p>
            <w:pPr>
              <w:spacing w:after="0"/>
              <w:rPr>
                <w:sz w:val="24"/>
                <w:szCs w:val="24"/>
                <w:color w:val="auto"/>
              </w:rPr>
            </w:pPr>
          </w:p>
        </w:tc>
        <w:tc>
          <w:tcPr>
            <w:tcW w:w="3760" w:type="dxa"/>
            <w:vAlign w:val="bottom"/>
          </w:tcPr>
          <w:p>
            <w:pPr>
              <w:jc w:val="right"/>
              <w:spacing w:after="0"/>
              <w:rPr>
                <w:sz w:val="20"/>
                <w:szCs w:val="20"/>
                <w:color w:val="auto"/>
              </w:rPr>
            </w:pPr>
            <w:r>
              <w:rPr>
                <w:rFonts w:ascii="Arial" w:cs="Arial" w:eastAsia="Arial" w:hAnsi="Arial"/>
                <w:sz w:val="18"/>
                <w:szCs w:val="18"/>
                <w:color w:val="auto"/>
              </w:rPr>
              <w:t>14</w:t>
            </w:r>
          </w:p>
        </w:tc>
      </w:tr>
      <w:tr>
        <w:trPr>
          <w:trHeight w:val="412"/>
        </w:trPr>
        <w:tc>
          <w:tcPr>
            <w:tcW w:w="7660" w:type="dxa"/>
            <w:vAlign w:val="bottom"/>
            <w:tcBorders>
              <w:bottom w:val="single" w:sz="8" w:color="0000EE"/>
            </w:tcBorders>
            <w:gridSpan w:val="6"/>
          </w:tcPr>
          <w:p>
            <w:pPr>
              <w:spacing w:after="0"/>
              <w:rPr>
                <w:rFonts w:ascii="Arial" w:cs="Arial" w:eastAsia="Arial" w:hAnsi="Arial"/>
                <w:sz w:val="18"/>
                <w:szCs w:val="18"/>
                <w:color w:val="0000EE"/>
                <w:w w:val="88"/>
              </w:rPr>
            </w:pPr>
            <w:hyperlink w:anchor="page17">
              <w:r>
                <w:rPr>
                  <w:rFonts w:ascii="Arial" w:cs="Arial" w:eastAsia="Arial" w:hAnsi="Arial"/>
                  <w:sz w:val="18"/>
                  <w:szCs w:val="18"/>
                  <w:color w:val="0000EE"/>
                  <w:w w:val="88"/>
                </w:rPr>
                <w:t>Schedule H, Line 4i – Schedule of Assets Held for Investment Purposes at End of Year (December 31, 2009)</w:t>
              </w:r>
            </w:hyperlink>
          </w:p>
        </w:tc>
        <w:tc>
          <w:tcPr>
            <w:tcW w:w="3760" w:type="dxa"/>
            <w:vAlign w:val="bottom"/>
          </w:tcPr>
          <w:p>
            <w:pPr>
              <w:jc w:val="right"/>
              <w:spacing w:after="0"/>
              <w:rPr>
                <w:sz w:val="20"/>
                <w:szCs w:val="20"/>
                <w:color w:val="auto"/>
              </w:rPr>
            </w:pPr>
            <w:r>
              <w:rPr>
                <w:rFonts w:ascii="Arial" w:cs="Arial" w:eastAsia="Arial" w:hAnsi="Arial"/>
                <w:sz w:val="18"/>
                <w:szCs w:val="18"/>
                <w:color w:val="auto"/>
              </w:rPr>
              <w:t>15</w:t>
            </w:r>
          </w:p>
        </w:tc>
      </w:tr>
    </w:tbl>
    <w:p>
      <w:pPr>
        <w:sectPr>
          <w:pgSz w:w="11900" w:h="16838" w:orient="portrait"/>
          <w:cols w:equalWidth="0" w:num="1">
            <w:col w:w="11420"/>
          </w:cols>
          <w:pgMar w:left="240" w:top="459" w:right="239" w:bottom="1440" w:gutter="0" w:footer="0" w:header="0"/>
        </w:sectPr>
      </w:pPr>
    </w:p>
    <w:bookmarkStart w:id="2" w:name="page3"/>
    <w:bookmarkEnd w:id="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Report of Independent Registered Public Accounting Firm</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color w:val="auto"/>
        </w:rPr>
        <w:t>To Plan Administrator and Participants</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color w:val="auto"/>
        </w:rPr>
        <w:t>Casual Male Retail Group, Inc.</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401(k) Hourly Savings Plan</w:t>
      </w:r>
    </w:p>
    <w:p>
      <w:pPr>
        <w:spacing w:after="0" w:line="165" w:lineRule="exact"/>
        <w:rPr>
          <w:sz w:val="20"/>
          <w:szCs w:val="20"/>
          <w:color w:val="auto"/>
        </w:rPr>
      </w:pPr>
    </w:p>
    <w:p>
      <w:pPr>
        <w:ind w:right="360"/>
        <w:spacing w:after="0" w:line="335" w:lineRule="auto"/>
        <w:rPr>
          <w:sz w:val="20"/>
          <w:szCs w:val="20"/>
          <w:color w:val="auto"/>
        </w:rPr>
      </w:pPr>
      <w:r>
        <w:rPr>
          <w:rFonts w:ascii="Arial" w:cs="Arial" w:eastAsia="Arial" w:hAnsi="Arial"/>
          <w:sz w:val="15"/>
          <w:szCs w:val="15"/>
          <w:color w:val="auto"/>
        </w:rPr>
        <w:t>We have audited the accompanying statements of net assets available for benefits of the Casual Male Retail Group, Inc. 401(k) Hourly Savings Plan as of December 31, 2009 and 2008, and the related statement of changes in net assets available for benefits for the year ended December 31, 2009. These financial statements are the responsibility of the Plan’s management. Our responsibility is to express an opinion on these financial statements based on our audits.</w:t>
      </w:r>
    </w:p>
    <w:p>
      <w:pPr>
        <w:spacing w:after="0" w:line="88" w:lineRule="exact"/>
        <w:rPr>
          <w:sz w:val="20"/>
          <w:szCs w:val="20"/>
          <w:color w:val="auto"/>
        </w:rPr>
      </w:pPr>
    </w:p>
    <w:p>
      <w:pPr>
        <w:ind w:right="20"/>
        <w:spacing w:after="0" w:line="255" w:lineRule="auto"/>
        <w:rPr>
          <w:sz w:val="20"/>
          <w:szCs w:val="20"/>
          <w:color w:val="auto"/>
        </w:rPr>
      </w:pPr>
      <w:r>
        <w:rPr>
          <w:rFonts w:ascii="Arial" w:cs="Arial" w:eastAsia="Arial" w:hAnsi="Arial"/>
          <w:sz w:val="18"/>
          <w:szCs w:val="18"/>
          <w:color w:val="auto"/>
        </w:rPr>
        <w:t>We conducted our audits in accordance with standards of the Public Company Accounting Oversight Board (United States). Those standards require that we plan and perform the audits to obtain reasonable assurance about whether the financial statements are free of material misstatement. An audit includes examining, on a test basis, evidence supporting the amounts and disclosures in the financial statements. An audit also includes assessing the accounting principles used and significant estimates made by management, as well as evaluating the overall financial statement presentation. We believe that our audits provide a reasonable basis for our opinion.</w:t>
      </w:r>
    </w:p>
    <w:p>
      <w:pPr>
        <w:spacing w:after="0" w:line="143"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In our opinion, the financial statements referred to above present fairly, in all material respects, the net assets available for benefits of the Plan as of December 31, 2009 and 2008 and the changes in its net assets available for benefits for the year ended December 31, 2009, in conformity with accounting principles generally accepted in the United States of America.</w:t>
      </w:r>
    </w:p>
    <w:p>
      <w:pPr>
        <w:spacing w:after="0" w:line="140" w:lineRule="exact"/>
        <w:rPr>
          <w:sz w:val="20"/>
          <w:szCs w:val="20"/>
          <w:color w:val="auto"/>
        </w:rPr>
      </w:pPr>
    </w:p>
    <w:p>
      <w:pPr>
        <w:ind w:right="100"/>
        <w:spacing w:after="0" w:line="254" w:lineRule="auto"/>
        <w:rPr>
          <w:sz w:val="20"/>
          <w:szCs w:val="20"/>
          <w:color w:val="auto"/>
        </w:rPr>
      </w:pPr>
      <w:r>
        <w:rPr>
          <w:rFonts w:ascii="Arial" w:cs="Arial" w:eastAsia="Arial" w:hAnsi="Arial"/>
          <w:sz w:val="18"/>
          <w:szCs w:val="18"/>
          <w:color w:val="auto"/>
        </w:rPr>
        <w:t>Our audit was performed for the purpose of forming an opinion on the financial statements taken as a whole. The accompanying supplemental schedule of assets held for investment purposes at end of year (December 31, 2009) is presented for the purpose of additional analysis and is not a required part of the financial statements but is supplementary information required by the Department of Labor’s Rules and Regulations for Reporting and Disclosure under the Employee Retirement Income Security Act of 1974. This supplemental schedule is the responsibility of the Plan’s management. This supplemental schedule has been subjected to the auditing procedures applied in our audit of the financial statements and, in our opinion, is fairly stated in all material respects in relation to the financial statements taken as a whole.</w:t>
      </w:r>
    </w:p>
    <w:p>
      <w:pPr>
        <w:spacing w:after="0" w:line="185" w:lineRule="exact"/>
        <w:rPr>
          <w:sz w:val="20"/>
          <w:szCs w:val="20"/>
          <w:color w:val="auto"/>
        </w:rPr>
      </w:pPr>
    </w:p>
    <w:p>
      <w:pPr>
        <w:jc w:val="center"/>
        <w:ind w:left="6860"/>
        <w:spacing w:after="0"/>
        <w:rPr>
          <w:sz w:val="20"/>
          <w:szCs w:val="20"/>
          <w:color w:val="auto"/>
        </w:rPr>
      </w:pPr>
      <w:r>
        <w:rPr>
          <w:rFonts w:ascii="Arial" w:cs="Arial" w:eastAsia="Arial" w:hAnsi="Arial"/>
          <w:sz w:val="18"/>
          <w:szCs w:val="18"/>
          <w:color w:val="auto"/>
        </w:rPr>
        <w:t>/s/ Mayer Hoffman McCann CPAs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4352925</wp:posOffset>
            </wp:positionH>
            <wp:positionV relativeFrom="paragraph">
              <wp:posOffset>10795</wp:posOffset>
            </wp:positionV>
            <wp:extent cx="2898775" cy="88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2898775" cy="8890"/>
                    </a:xfrm>
                    <a:prstGeom prst="rect">
                      <a:avLst/>
                    </a:prstGeom>
                    <a:noFill/>
                  </pic:spPr>
                </pic:pic>
              </a:graphicData>
            </a:graphic>
          </wp:anchor>
        </w:drawing>
      </w:r>
    </w:p>
    <w:p>
      <w:pPr>
        <w:spacing w:after="0" w:line="3" w:lineRule="exact"/>
        <w:rPr>
          <w:sz w:val="20"/>
          <w:szCs w:val="20"/>
          <w:color w:val="auto"/>
        </w:rPr>
      </w:pPr>
    </w:p>
    <w:p>
      <w:pPr>
        <w:jc w:val="center"/>
        <w:ind w:left="6860"/>
        <w:spacing w:after="0"/>
        <w:rPr>
          <w:sz w:val="20"/>
          <w:szCs w:val="20"/>
          <w:color w:val="auto"/>
        </w:rPr>
      </w:pPr>
      <w:r>
        <w:rPr>
          <w:rFonts w:ascii="Arial" w:cs="Arial" w:eastAsia="Arial" w:hAnsi="Arial"/>
          <w:sz w:val="16"/>
          <w:szCs w:val="16"/>
          <w:color w:val="auto"/>
        </w:rPr>
        <w:t>(The New York Practice of Mayer Hoffman McCann P.C.)</w:t>
      </w:r>
    </w:p>
    <w:p>
      <w:pPr>
        <w:spacing w:after="0" w:line="194" w:lineRule="exact"/>
        <w:rPr>
          <w:sz w:val="20"/>
          <w:szCs w:val="20"/>
          <w:color w:val="auto"/>
        </w:rPr>
      </w:pPr>
    </w:p>
    <w:p>
      <w:pPr>
        <w:spacing w:after="0"/>
        <w:rPr>
          <w:sz w:val="20"/>
          <w:szCs w:val="20"/>
          <w:color w:val="auto"/>
        </w:rPr>
      </w:pPr>
      <w:r>
        <w:rPr>
          <w:rFonts w:ascii="Arial" w:cs="Arial" w:eastAsia="Arial" w:hAnsi="Arial"/>
          <w:sz w:val="18"/>
          <w:szCs w:val="18"/>
          <w:color w:val="auto"/>
        </w:rPr>
        <w:t>New York, New York</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color w:val="auto"/>
        </w:rPr>
        <w:t>June 29, 2010</w:t>
      </w:r>
    </w:p>
    <w:p>
      <w:pPr>
        <w:spacing w:after="0" w:line="151"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w:t>
      </w:r>
    </w:p>
    <w:p>
      <w:pPr>
        <w:sectPr>
          <w:pgSz w:w="11900" w:h="16838" w:orient="portrait"/>
          <w:cols w:equalWidth="0" w:num="1">
            <w:col w:w="11400"/>
          </w:cols>
          <w:pgMar w:left="240" w:top="459" w:right="259" w:bottom="1440" w:gutter="0" w:footer="0" w:header="0"/>
        </w:sectPr>
      </w:pPr>
    </w:p>
    <w:bookmarkStart w:id="3" w:name="page4"/>
    <w:bookmarkEnd w:id="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3480"/>
        <w:spacing w:after="0"/>
        <w:rPr>
          <w:sz w:val="20"/>
          <w:szCs w:val="20"/>
          <w:color w:val="auto"/>
        </w:rPr>
      </w:pPr>
      <w:r>
        <w:rPr>
          <w:rFonts w:ascii="Arial" w:cs="Arial" w:eastAsia="Arial" w:hAnsi="Arial"/>
          <w:sz w:val="18"/>
          <w:szCs w:val="18"/>
          <w:b w:val="1"/>
          <w:bCs w:val="1"/>
          <w:color w:val="auto"/>
        </w:rPr>
        <w:t>Casual Male Retail Group, Inc. 401(k) Hourly Savings Plan</w:t>
      </w:r>
    </w:p>
    <w:p>
      <w:pPr>
        <w:spacing w:after="0" w:line="90" w:lineRule="exact"/>
        <w:rPr>
          <w:sz w:val="20"/>
          <w:szCs w:val="20"/>
          <w:color w:val="auto"/>
        </w:rPr>
      </w:pPr>
    </w:p>
    <w:p>
      <w:pPr>
        <w:ind w:left="3960"/>
        <w:spacing w:after="0"/>
        <w:rPr>
          <w:sz w:val="20"/>
          <w:szCs w:val="20"/>
          <w:color w:val="auto"/>
        </w:rPr>
      </w:pPr>
      <w:r>
        <w:rPr>
          <w:rFonts w:ascii="Arial" w:cs="Arial" w:eastAsia="Arial" w:hAnsi="Arial"/>
          <w:sz w:val="18"/>
          <w:szCs w:val="18"/>
          <w:b w:val="1"/>
          <w:bCs w:val="1"/>
          <w:color w:val="auto"/>
        </w:rPr>
        <w:t>Statements of Net Assets Available for Benefits</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December 31, 2009 and 2008</w:t>
      </w:r>
    </w:p>
    <w:p>
      <w:pPr>
        <w:spacing w:after="0" w:line="20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818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2080" w:type="dxa"/>
            <w:vAlign w:val="bottom"/>
            <w:gridSpan w:val="4"/>
          </w:tcPr>
          <w:p>
            <w:pPr>
              <w:jc w:val="right"/>
              <w:ind w:right="660"/>
              <w:spacing w:after="0"/>
              <w:rPr>
                <w:sz w:val="20"/>
                <w:szCs w:val="20"/>
                <w:color w:val="auto"/>
              </w:rPr>
            </w:pPr>
            <w:r>
              <w:rPr>
                <w:rFonts w:ascii="Arial" w:cs="Arial" w:eastAsia="Arial" w:hAnsi="Arial"/>
                <w:sz w:val="14"/>
                <w:szCs w:val="14"/>
                <w:b w:val="1"/>
                <w:bCs w:val="1"/>
                <w:color w:val="auto"/>
              </w:rPr>
              <w:t>December 31,</w:t>
            </w:r>
          </w:p>
        </w:tc>
      </w:tr>
      <w:tr>
        <w:trPr>
          <w:trHeight w:val="142"/>
        </w:trPr>
        <w:tc>
          <w:tcPr>
            <w:tcW w:w="20" w:type="dxa"/>
            <w:vAlign w:val="bottom"/>
          </w:tcPr>
          <w:p>
            <w:pPr>
              <w:spacing w:after="0"/>
              <w:rPr>
                <w:sz w:val="12"/>
                <w:szCs w:val="12"/>
                <w:color w:val="auto"/>
              </w:rPr>
            </w:pPr>
          </w:p>
        </w:tc>
        <w:tc>
          <w:tcPr>
            <w:tcW w:w="8180" w:type="dxa"/>
            <w:vAlign w:val="bottom"/>
          </w:tcPr>
          <w:p>
            <w:pPr>
              <w:spacing w:after="0"/>
              <w:rPr>
                <w:sz w:val="12"/>
                <w:szCs w:val="12"/>
                <w:color w:val="auto"/>
              </w:rPr>
            </w:pPr>
          </w:p>
        </w:tc>
        <w:tc>
          <w:tcPr>
            <w:tcW w:w="1160" w:type="dxa"/>
            <w:vAlign w:val="bottom"/>
          </w:tcPr>
          <w:p>
            <w:pPr>
              <w:spacing w:after="0"/>
              <w:rPr>
                <w:sz w:val="12"/>
                <w:szCs w:val="12"/>
                <w:color w:val="auto"/>
              </w:rPr>
            </w:pPr>
          </w:p>
        </w:tc>
        <w:tc>
          <w:tcPr>
            <w:tcW w:w="920" w:type="dxa"/>
            <w:vAlign w:val="bottom"/>
            <w:tcBorders>
              <w:top w:val="single" w:sz="8" w:color="auto"/>
            </w:tcBorders>
          </w:tcPr>
          <w:p>
            <w:pPr>
              <w:jc w:val="right"/>
              <w:ind w:right="260"/>
              <w:spacing w:after="0" w:line="142" w:lineRule="exact"/>
              <w:rPr>
                <w:sz w:val="20"/>
                <w:szCs w:val="20"/>
                <w:color w:val="auto"/>
              </w:rPr>
            </w:pPr>
            <w:r>
              <w:rPr>
                <w:rFonts w:ascii="Arial" w:cs="Arial" w:eastAsia="Arial" w:hAnsi="Arial"/>
                <w:sz w:val="14"/>
                <w:szCs w:val="14"/>
                <w:b w:val="1"/>
                <w:bCs w:val="1"/>
                <w:color w:val="auto"/>
              </w:rPr>
              <w:t>2009</w:t>
            </w:r>
          </w:p>
        </w:tc>
        <w:tc>
          <w:tcPr>
            <w:tcW w:w="1140" w:type="dxa"/>
            <w:vAlign w:val="bottom"/>
            <w:tcBorders>
              <w:top w:val="single" w:sz="8" w:color="auto"/>
            </w:tcBorders>
            <w:gridSpan w:val="2"/>
          </w:tcPr>
          <w:p>
            <w:pPr>
              <w:jc w:val="right"/>
              <w:ind w:right="252"/>
              <w:spacing w:after="0" w:line="142" w:lineRule="exact"/>
              <w:rPr>
                <w:sz w:val="20"/>
                <w:szCs w:val="20"/>
                <w:color w:val="auto"/>
              </w:rPr>
            </w:pPr>
            <w:r>
              <w:rPr>
                <w:rFonts w:ascii="Arial" w:cs="Arial" w:eastAsia="Arial" w:hAnsi="Arial"/>
                <w:sz w:val="14"/>
                <w:szCs w:val="14"/>
                <w:b w:val="1"/>
                <w:bCs w:val="1"/>
                <w:color w:val="auto"/>
              </w:rPr>
              <w:t>2008</w:t>
            </w:r>
          </w:p>
        </w:tc>
        <w:tc>
          <w:tcPr>
            <w:tcW w:w="20" w:type="dxa"/>
            <w:vAlign w:val="bottom"/>
          </w:tcPr>
          <w:p>
            <w:pPr>
              <w:spacing w:after="0"/>
              <w:rPr>
                <w:sz w:val="12"/>
                <w:szCs w:val="12"/>
                <w:color w:val="auto"/>
              </w:rPr>
            </w:pPr>
          </w:p>
        </w:tc>
      </w:tr>
      <w:tr>
        <w:trPr>
          <w:trHeight w:val="210"/>
        </w:trPr>
        <w:tc>
          <w:tcPr>
            <w:tcW w:w="20" w:type="dxa"/>
            <w:vAlign w:val="bottom"/>
          </w:tcPr>
          <w:p>
            <w:pPr>
              <w:spacing w:after="0"/>
              <w:rPr>
                <w:sz w:val="18"/>
                <w:szCs w:val="18"/>
                <w:color w:val="auto"/>
              </w:rPr>
            </w:pPr>
          </w:p>
        </w:tc>
        <w:tc>
          <w:tcPr>
            <w:tcW w:w="81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Assets</w:t>
            </w:r>
          </w:p>
        </w:tc>
        <w:tc>
          <w:tcPr>
            <w:tcW w:w="1160" w:type="dxa"/>
            <w:vAlign w:val="bottom"/>
            <w:shd w:val="clear" w:color="auto" w:fill="CCEEFF"/>
          </w:tcPr>
          <w:p>
            <w:pPr>
              <w:spacing w:after="0"/>
              <w:rPr>
                <w:sz w:val="18"/>
                <w:szCs w:val="18"/>
                <w:color w:val="auto"/>
              </w:rPr>
            </w:pPr>
          </w:p>
        </w:tc>
        <w:tc>
          <w:tcPr>
            <w:tcW w:w="920" w:type="dxa"/>
            <w:vAlign w:val="bottom"/>
            <w:tcBorders>
              <w:top w:val="single" w:sz="8" w:color="auto"/>
            </w:tcBorders>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40" w:type="dxa"/>
            <w:vAlign w:val="bottom"/>
            <w:tcBorders>
              <w:top w:val="single" w:sz="8" w:color="auto"/>
            </w:tcBorders>
            <w:shd w:val="clear" w:color="auto" w:fill="CCEEFF"/>
          </w:tcPr>
          <w:p>
            <w:pPr>
              <w:spacing w:after="0"/>
              <w:rPr>
                <w:sz w:val="18"/>
                <w:szCs w:val="18"/>
                <w:color w:val="auto"/>
              </w:rPr>
            </w:pPr>
          </w:p>
        </w:tc>
        <w:tc>
          <w:tcPr>
            <w:tcW w:w="2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8180" w:type="dxa"/>
            <w:vAlign w:val="bottom"/>
          </w:tcPr>
          <w:p>
            <w:pPr>
              <w:spacing w:after="0"/>
              <w:rPr>
                <w:sz w:val="20"/>
                <w:szCs w:val="20"/>
                <w:color w:val="auto"/>
              </w:rPr>
            </w:pPr>
            <w:r>
              <w:rPr>
                <w:rFonts w:ascii="Arial" w:cs="Arial" w:eastAsia="Arial" w:hAnsi="Arial"/>
                <w:sz w:val="18"/>
                <w:szCs w:val="18"/>
                <w:color w:val="auto"/>
              </w:rPr>
              <w:t>Investments, at fair value (Note 3 and 4)</w:t>
            </w:r>
          </w:p>
        </w:tc>
        <w:tc>
          <w:tcPr>
            <w:tcW w:w="2080" w:type="dxa"/>
            <w:vAlign w:val="bottom"/>
            <w:gridSpan w:val="2"/>
          </w:tcPr>
          <w:p>
            <w:pPr>
              <w:jc w:val="right"/>
              <w:spacing w:after="0"/>
              <w:rPr>
                <w:sz w:val="20"/>
                <w:szCs w:val="20"/>
                <w:color w:val="auto"/>
              </w:rPr>
            </w:pPr>
            <w:r>
              <w:rPr>
                <w:rFonts w:ascii="Arial" w:cs="Arial" w:eastAsia="Arial" w:hAnsi="Arial"/>
                <w:sz w:val="18"/>
                <w:szCs w:val="18"/>
                <w:color w:val="auto"/>
              </w:rPr>
              <w:t>$ 10,772,580</w:t>
            </w:r>
          </w:p>
        </w:tc>
        <w:tc>
          <w:tcPr>
            <w:tcW w:w="1140" w:type="dxa"/>
            <w:vAlign w:val="bottom"/>
            <w:gridSpan w:val="2"/>
          </w:tcPr>
          <w:p>
            <w:pPr>
              <w:jc w:val="right"/>
              <w:spacing w:after="0"/>
              <w:rPr>
                <w:sz w:val="20"/>
                <w:szCs w:val="20"/>
                <w:color w:val="auto"/>
              </w:rPr>
            </w:pPr>
            <w:r>
              <w:rPr>
                <w:rFonts w:ascii="Arial" w:cs="Arial" w:eastAsia="Arial" w:hAnsi="Arial"/>
                <w:sz w:val="18"/>
                <w:szCs w:val="18"/>
                <w:color w:val="auto"/>
              </w:rPr>
              <w:t>$ 10,098,840</w:t>
            </w:r>
          </w:p>
        </w:tc>
        <w:tc>
          <w:tcPr>
            <w:tcW w:w="2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8180" w:type="dxa"/>
            <w:vAlign w:val="bottom"/>
            <w:shd w:val="clear" w:color="auto" w:fill="CCEEFF"/>
          </w:tcPr>
          <w:p>
            <w:pPr>
              <w:spacing w:after="0"/>
              <w:rPr>
                <w:sz w:val="20"/>
                <w:szCs w:val="20"/>
                <w:color w:val="auto"/>
              </w:rPr>
            </w:pPr>
            <w:r>
              <w:rPr>
                <w:rFonts w:ascii="Arial" w:cs="Arial" w:eastAsia="Arial" w:hAnsi="Arial"/>
                <w:sz w:val="18"/>
                <w:szCs w:val="18"/>
                <w:color w:val="auto"/>
              </w:rPr>
              <w:t>Participant loans receivable</w:t>
            </w:r>
          </w:p>
        </w:tc>
        <w:tc>
          <w:tcPr>
            <w:tcW w:w="1160" w:type="dxa"/>
            <w:vAlign w:val="bottom"/>
            <w:shd w:val="clear" w:color="auto" w:fill="CCEEFF"/>
          </w:tcPr>
          <w:p>
            <w:pPr>
              <w:spacing w:after="0"/>
              <w:rPr>
                <w:sz w:val="18"/>
                <w:szCs w:val="18"/>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346,581</w:t>
            </w:r>
          </w:p>
        </w:tc>
        <w:tc>
          <w:tcPr>
            <w:tcW w:w="200" w:type="dxa"/>
            <w:vAlign w:val="bottom"/>
            <w:shd w:val="clear" w:color="auto" w:fill="CCEEFF"/>
          </w:tcPr>
          <w:p>
            <w:pPr>
              <w:spacing w:after="0"/>
              <w:rPr>
                <w:sz w:val="18"/>
                <w:szCs w:val="18"/>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320,006</w:t>
            </w:r>
          </w:p>
        </w:tc>
        <w:tc>
          <w:tcPr>
            <w:tcW w:w="20" w:type="dxa"/>
            <w:vAlign w:val="bottom"/>
          </w:tcPr>
          <w:p>
            <w:pPr>
              <w:spacing w:after="0"/>
              <w:rPr>
                <w:sz w:val="18"/>
                <w:szCs w:val="18"/>
                <w:color w:val="auto"/>
              </w:rPr>
            </w:pPr>
          </w:p>
        </w:tc>
      </w:tr>
      <w:tr>
        <w:trPr>
          <w:trHeight w:val="221"/>
        </w:trPr>
        <w:tc>
          <w:tcPr>
            <w:tcW w:w="8200" w:type="dxa"/>
            <w:vAlign w:val="bottom"/>
            <w:gridSpan w:val="2"/>
          </w:tcPr>
          <w:p>
            <w:pPr>
              <w:spacing w:after="0"/>
              <w:rPr>
                <w:sz w:val="20"/>
                <w:szCs w:val="20"/>
                <w:color w:val="auto"/>
              </w:rPr>
            </w:pPr>
            <w:r>
              <w:rPr>
                <w:rFonts w:ascii="Arial" w:cs="Arial" w:eastAsia="Arial" w:hAnsi="Arial"/>
                <w:sz w:val="18"/>
                <w:szCs w:val="18"/>
                <w:color w:val="auto"/>
              </w:rPr>
              <w:t>Total investments at fair value (Note 5)</w:t>
            </w:r>
          </w:p>
        </w:tc>
        <w:tc>
          <w:tcPr>
            <w:tcW w:w="2080" w:type="dxa"/>
            <w:vAlign w:val="bottom"/>
            <w:gridSpan w:val="2"/>
          </w:tcPr>
          <w:p>
            <w:pPr>
              <w:jc w:val="right"/>
              <w:spacing w:after="0"/>
              <w:rPr>
                <w:sz w:val="20"/>
                <w:szCs w:val="20"/>
                <w:color w:val="auto"/>
              </w:rPr>
            </w:pPr>
            <w:r>
              <w:rPr>
                <w:rFonts w:ascii="Arial" w:cs="Arial" w:eastAsia="Arial" w:hAnsi="Arial"/>
                <w:sz w:val="18"/>
                <w:szCs w:val="18"/>
                <w:color w:val="auto"/>
              </w:rPr>
              <w:t>11,119,161</w:t>
            </w:r>
          </w:p>
        </w:tc>
        <w:tc>
          <w:tcPr>
            <w:tcW w:w="1160" w:type="dxa"/>
            <w:vAlign w:val="bottom"/>
            <w:gridSpan w:val="3"/>
          </w:tcPr>
          <w:p>
            <w:pPr>
              <w:jc w:val="right"/>
              <w:ind w:right="20"/>
              <w:spacing w:after="0"/>
              <w:rPr>
                <w:sz w:val="20"/>
                <w:szCs w:val="20"/>
                <w:color w:val="auto"/>
              </w:rPr>
            </w:pPr>
            <w:r>
              <w:rPr>
                <w:rFonts w:ascii="Arial" w:cs="Arial" w:eastAsia="Arial" w:hAnsi="Arial"/>
                <w:sz w:val="18"/>
                <w:szCs w:val="18"/>
                <w:color w:val="auto"/>
              </w:rPr>
              <w:t>10,418,846</w:t>
            </w:r>
          </w:p>
        </w:tc>
      </w:tr>
      <w:tr>
        <w:trPr>
          <w:trHeight w:val="218"/>
        </w:trPr>
        <w:tc>
          <w:tcPr>
            <w:tcW w:w="20" w:type="dxa"/>
            <w:vAlign w:val="bottom"/>
          </w:tcPr>
          <w:p>
            <w:pPr>
              <w:spacing w:after="0"/>
              <w:rPr>
                <w:sz w:val="18"/>
                <w:szCs w:val="18"/>
                <w:color w:val="auto"/>
              </w:rPr>
            </w:pPr>
          </w:p>
        </w:tc>
        <w:tc>
          <w:tcPr>
            <w:tcW w:w="8180" w:type="dxa"/>
            <w:vAlign w:val="bottom"/>
            <w:shd w:val="clear" w:color="auto" w:fill="CCEEFF"/>
          </w:tcPr>
          <w:p>
            <w:pPr>
              <w:spacing w:after="0"/>
              <w:rPr>
                <w:sz w:val="20"/>
                <w:szCs w:val="20"/>
                <w:color w:val="auto"/>
              </w:rPr>
            </w:pPr>
            <w:r>
              <w:rPr>
                <w:rFonts w:ascii="Arial" w:cs="Arial" w:eastAsia="Arial" w:hAnsi="Arial"/>
                <w:sz w:val="18"/>
                <w:szCs w:val="18"/>
                <w:color w:val="auto"/>
              </w:rPr>
              <w:t>Employee contributions receivable</w:t>
            </w:r>
          </w:p>
        </w:tc>
        <w:tc>
          <w:tcPr>
            <w:tcW w:w="20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18,646</w:t>
            </w:r>
          </w:p>
        </w:tc>
        <w:tc>
          <w:tcPr>
            <w:tcW w:w="20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8"/>
                <w:szCs w:val="18"/>
                <w:color w:val="auto"/>
              </w:rPr>
            </w:pPr>
          </w:p>
        </w:tc>
      </w:tr>
      <w:tr>
        <w:trPr>
          <w:trHeight w:val="223"/>
        </w:trPr>
        <w:tc>
          <w:tcPr>
            <w:tcW w:w="20" w:type="dxa"/>
            <w:vAlign w:val="bottom"/>
          </w:tcPr>
          <w:p>
            <w:pPr>
              <w:spacing w:after="0"/>
              <w:rPr>
                <w:sz w:val="19"/>
                <w:szCs w:val="19"/>
                <w:color w:val="auto"/>
              </w:rPr>
            </w:pPr>
          </w:p>
        </w:tc>
        <w:tc>
          <w:tcPr>
            <w:tcW w:w="8180" w:type="dxa"/>
            <w:vAlign w:val="bottom"/>
          </w:tcPr>
          <w:p>
            <w:pPr>
              <w:spacing w:after="0"/>
              <w:rPr>
                <w:sz w:val="20"/>
                <w:szCs w:val="20"/>
                <w:color w:val="auto"/>
              </w:rPr>
            </w:pPr>
            <w:r>
              <w:rPr>
                <w:rFonts w:ascii="Arial" w:cs="Arial" w:eastAsia="Arial" w:hAnsi="Arial"/>
                <w:sz w:val="18"/>
                <w:szCs w:val="18"/>
                <w:color w:val="auto"/>
              </w:rPr>
              <w:t>Employer contributions receivable</w:t>
            </w:r>
          </w:p>
        </w:tc>
        <w:tc>
          <w:tcPr>
            <w:tcW w:w="1160" w:type="dxa"/>
            <w:vAlign w:val="bottom"/>
          </w:tcPr>
          <w:p>
            <w:pPr>
              <w:spacing w:after="0"/>
              <w:rPr>
                <w:sz w:val="19"/>
                <w:szCs w:val="19"/>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84,639</w:t>
            </w:r>
          </w:p>
        </w:tc>
        <w:tc>
          <w:tcPr>
            <w:tcW w:w="200" w:type="dxa"/>
            <w:vAlign w:val="bottom"/>
          </w:tcPr>
          <w:p>
            <w:pPr>
              <w:spacing w:after="0"/>
              <w:rPr>
                <w:sz w:val="19"/>
                <w:szCs w:val="19"/>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215,120</w:t>
            </w:r>
          </w:p>
        </w:tc>
        <w:tc>
          <w:tcPr>
            <w:tcW w:w="20" w:type="dxa"/>
            <w:vAlign w:val="bottom"/>
          </w:tcPr>
          <w:p>
            <w:pPr>
              <w:spacing w:after="0"/>
              <w:rPr>
                <w:sz w:val="19"/>
                <w:szCs w:val="19"/>
                <w:color w:val="auto"/>
              </w:rPr>
            </w:pPr>
          </w:p>
        </w:tc>
      </w:tr>
      <w:tr>
        <w:trPr>
          <w:trHeight w:val="216"/>
        </w:trPr>
        <w:tc>
          <w:tcPr>
            <w:tcW w:w="20" w:type="dxa"/>
            <w:vAlign w:val="bottom"/>
          </w:tcPr>
          <w:p>
            <w:pPr>
              <w:spacing w:after="0"/>
              <w:rPr>
                <w:sz w:val="18"/>
                <w:szCs w:val="18"/>
                <w:color w:val="auto"/>
              </w:rPr>
            </w:pPr>
          </w:p>
        </w:tc>
        <w:tc>
          <w:tcPr>
            <w:tcW w:w="8180" w:type="dxa"/>
            <w:vAlign w:val="bottom"/>
            <w:shd w:val="clear" w:color="auto" w:fill="CCEEFF"/>
          </w:tcPr>
          <w:p>
            <w:pPr>
              <w:spacing w:after="0"/>
              <w:rPr>
                <w:sz w:val="20"/>
                <w:szCs w:val="20"/>
                <w:color w:val="auto"/>
              </w:rPr>
            </w:pPr>
            <w:r>
              <w:rPr>
                <w:rFonts w:ascii="Arial" w:cs="Arial" w:eastAsia="Arial" w:hAnsi="Arial"/>
                <w:sz w:val="18"/>
                <w:szCs w:val="18"/>
                <w:color w:val="auto"/>
              </w:rPr>
              <w:t>Net assets reflecting all investments at fair value</w:t>
            </w:r>
          </w:p>
        </w:tc>
        <w:tc>
          <w:tcPr>
            <w:tcW w:w="20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11,222,446</w:t>
            </w:r>
          </w:p>
        </w:tc>
        <w:tc>
          <w:tcPr>
            <w:tcW w:w="11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10,633,966</w:t>
            </w:r>
          </w:p>
        </w:tc>
        <w:tc>
          <w:tcPr>
            <w:tcW w:w="20" w:type="dxa"/>
            <w:vAlign w:val="bottom"/>
          </w:tcPr>
          <w:p>
            <w:pPr>
              <w:spacing w:after="0"/>
              <w:rPr>
                <w:sz w:val="18"/>
                <w:szCs w:val="18"/>
                <w:color w:val="auto"/>
              </w:rPr>
            </w:pPr>
          </w:p>
        </w:tc>
      </w:tr>
      <w:tr>
        <w:trPr>
          <w:trHeight w:val="223"/>
        </w:trPr>
        <w:tc>
          <w:tcPr>
            <w:tcW w:w="20" w:type="dxa"/>
            <w:vAlign w:val="bottom"/>
          </w:tcPr>
          <w:p>
            <w:pPr>
              <w:spacing w:after="0"/>
              <w:rPr>
                <w:sz w:val="19"/>
                <w:szCs w:val="19"/>
                <w:color w:val="auto"/>
              </w:rPr>
            </w:pPr>
          </w:p>
        </w:tc>
        <w:tc>
          <w:tcPr>
            <w:tcW w:w="8180" w:type="dxa"/>
            <w:vAlign w:val="bottom"/>
          </w:tcPr>
          <w:p>
            <w:pPr>
              <w:ind w:left="420"/>
              <w:spacing w:after="0"/>
              <w:rPr>
                <w:sz w:val="20"/>
                <w:szCs w:val="20"/>
                <w:color w:val="auto"/>
              </w:rPr>
            </w:pPr>
            <w:r>
              <w:rPr>
                <w:rFonts w:ascii="Arial" w:cs="Arial" w:eastAsia="Arial" w:hAnsi="Arial"/>
                <w:sz w:val="18"/>
                <w:szCs w:val="18"/>
                <w:color w:val="auto"/>
              </w:rPr>
              <w:t>Adjustment from fair value to contract value for fully benefit-responsive investment contracts</w:t>
            </w:r>
          </w:p>
        </w:tc>
        <w:tc>
          <w:tcPr>
            <w:tcW w:w="1160" w:type="dxa"/>
            <w:vAlign w:val="bottom"/>
          </w:tcPr>
          <w:p>
            <w:pPr>
              <w:spacing w:after="0"/>
              <w:rPr>
                <w:sz w:val="19"/>
                <w:szCs w:val="19"/>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5,724</w:t>
            </w:r>
          </w:p>
        </w:tc>
        <w:tc>
          <w:tcPr>
            <w:tcW w:w="200" w:type="dxa"/>
            <w:vAlign w:val="bottom"/>
          </w:tcPr>
          <w:p>
            <w:pPr>
              <w:spacing w:after="0"/>
              <w:rPr>
                <w:sz w:val="19"/>
                <w:szCs w:val="19"/>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140,316</w:t>
            </w:r>
          </w:p>
        </w:tc>
        <w:tc>
          <w:tcPr>
            <w:tcW w:w="20" w:type="dxa"/>
            <w:vAlign w:val="bottom"/>
          </w:tcPr>
          <w:p>
            <w:pPr>
              <w:spacing w:after="0"/>
              <w:rPr>
                <w:sz w:val="19"/>
                <w:szCs w:val="19"/>
                <w:color w:val="auto"/>
              </w:rPr>
            </w:pPr>
          </w:p>
        </w:tc>
      </w:tr>
      <w:tr>
        <w:trPr>
          <w:trHeight w:val="216"/>
        </w:trPr>
        <w:tc>
          <w:tcPr>
            <w:tcW w:w="20" w:type="dxa"/>
            <w:vAlign w:val="bottom"/>
          </w:tcPr>
          <w:p>
            <w:pPr>
              <w:spacing w:after="0"/>
              <w:rPr>
                <w:sz w:val="18"/>
                <w:szCs w:val="18"/>
                <w:color w:val="auto"/>
              </w:rPr>
            </w:pPr>
          </w:p>
        </w:tc>
        <w:tc>
          <w:tcPr>
            <w:tcW w:w="8180" w:type="dxa"/>
            <w:vAlign w:val="bottom"/>
            <w:shd w:val="clear" w:color="auto" w:fill="CCEEFF"/>
          </w:tcPr>
          <w:p>
            <w:pPr>
              <w:spacing w:after="0"/>
              <w:rPr>
                <w:sz w:val="20"/>
                <w:szCs w:val="20"/>
                <w:color w:val="auto"/>
              </w:rPr>
            </w:pPr>
            <w:r>
              <w:rPr>
                <w:rFonts w:ascii="Arial" w:cs="Arial" w:eastAsia="Arial" w:hAnsi="Arial"/>
                <w:sz w:val="18"/>
                <w:szCs w:val="18"/>
                <w:color w:val="auto"/>
              </w:rPr>
              <w:t>Net assets available for benefits</w:t>
            </w:r>
          </w:p>
        </w:tc>
        <w:tc>
          <w:tcPr>
            <w:tcW w:w="20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$ 11,228,170</w:t>
            </w:r>
          </w:p>
        </w:tc>
        <w:tc>
          <w:tcPr>
            <w:tcW w:w="11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$ 10,774,282</w:t>
            </w:r>
          </w:p>
        </w:tc>
        <w:tc>
          <w:tcPr>
            <w:tcW w:w="20" w:type="dxa"/>
            <w:vAlign w:val="bottom"/>
          </w:tcPr>
          <w:p>
            <w:pPr>
              <w:spacing w:after="0"/>
              <w:rPr>
                <w:sz w:val="18"/>
                <w:szCs w:val="18"/>
                <w:color w:val="auto"/>
              </w:rPr>
            </w:pPr>
          </w:p>
        </w:tc>
      </w:tr>
      <w:tr>
        <w:trPr>
          <w:trHeight w:val="20"/>
        </w:trPr>
        <w:tc>
          <w:tcPr>
            <w:tcW w:w="20" w:type="dxa"/>
            <w:vAlign w:val="bottom"/>
          </w:tcPr>
          <w:p>
            <w:pPr>
              <w:spacing w:after="0" w:line="20" w:lineRule="exact"/>
              <w:rPr>
                <w:sz w:val="1"/>
                <w:szCs w:val="1"/>
                <w:color w:val="auto"/>
              </w:rPr>
            </w:pPr>
          </w:p>
        </w:tc>
        <w:tc>
          <w:tcPr>
            <w:tcW w:w="818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bl>
    <w:p>
      <w:pPr>
        <w:spacing w:after="0" w:line="167"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See accompanying notes to financial statements.</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1420"/>
          </w:cols>
          <w:pgMar w:left="240" w:top="459" w:right="239" w:bottom="1440" w:gutter="0" w:footer="0" w:header="0"/>
        </w:sectPr>
      </w:pPr>
    </w:p>
    <w:bookmarkStart w:id="4" w:name="page5"/>
    <w:bookmarkEnd w:id="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tbl>
      <w:tblPr>
        <w:tblLayout w:type="fixed"/>
        <w:tblInd w:w="0" w:type="dxa"/>
        <w:tblCellMar>
          <w:top w:w="0" w:type="dxa"/>
          <w:left w:w="0" w:type="dxa"/>
          <w:bottom w:w="0" w:type="dxa"/>
          <w:right w:w="0" w:type="dxa"/>
        </w:tblCellMar>
      </w:tblPr>
      <w:tr>
        <w:trPr>
          <w:trHeight w:val="228"/>
        </w:trPr>
        <w:tc>
          <w:tcPr>
            <w:tcW w:w="20" w:type="dxa"/>
            <w:vAlign w:val="bottom"/>
          </w:tcPr>
          <w:p>
            <w:pPr>
              <w:spacing w:after="0"/>
              <w:rPr>
                <w:sz w:val="19"/>
                <w:szCs w:val="19"/>
                <w:color w:val="auto"/>
              </w:rPr>
            </w:pPr>
          </w:p>
        </w:tc>
        <w:tc>
          <w:tcPr>
            <w:tcW w:w="9200" w:type="dxa"/>
            <w:vAlign w:val="bottom"/>
          </w:tcPr>
          <w:p>
            <w:pPr>
              <w:jc w:val="center"/>
              <w:ind w:left="2092"/>
              <w:spacing w:after="0"/>
              <w:rPr>
                <w:sz w:val="20"/>
                <w:szCs w:val="20"/>
                <w:color w:val="auto"/>
              </w:rPr>
            </w:pPr>
            <w:r>
              <w:rPr>
                <w:rFonts w:ascii="Arial" w:cs="Arial" w:eastAsia="Arial" w:hAnsi="Arial"/>
                <w:sz w:val="18"/>
                <w:szCs w:val="18"/>
                <w:b w:val="1"/>
                <w:bCs w:val="1"/>
                <w:color w:val="auto"/>
                <w:w w:val="90"/>
              </w:rPr>
              <w:t>Casual Male Retail Group, Inc. 401(k) Hourly Savings Plan</w:t>
            </w:r>
          </w:p>
        </w:tc>
        <w:tc>
          <w:tcPr>
            <w:tcW w:w="12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85"/>
        </w:trPr>
        <w:tc>
          <w:tcPr>
            <w:tcW w:w="20" w:type="dxa"/>
            <w:vAlign w:val="bottom"/>
          </w:tcPr>
          <w:p>
            <w:pPr>
              <w:spacing w:after="0"/>
              <w:rPr>
                <w:sz w:val="24"/>
                <w:szCs w:val="24"/>
                <w:color w:val="auto"/>
              </w:rPr>
            </w:pPr>
          </w:p>
        </w:tc>
        <w:tc>
          <w:tcPr>
            <w:tcW w:w="9200" w:type="dxa"/>
            <w:vAlign w:val="bottom"/>
          </w:tcPr>
          <w:p>
            <w:pPr>
              <w:jc w:val="center"/>
              <w:ind w:left="2092"/>
              <w:spacing w:after="0"/>
              <w:rPr>
                <w:sz w:val="20"/>
                <w:szCs w:val="20"/>
                <w:color w:val="auto"/>
              </w:rPr>
            </w:pPr>
            <w:r>
              <w:rPr>
                <w:rFonts w:ascii="Arial" w:cs="Arial" w:eastAsia="Arial" w:hAnsi="Arial"/>
                <w:sz w:val="18"/>
                <w:szCs w:val="18"/>
                <w:b w:val="1"/>
                <w:bCs w:val="1"/>
                <w:color w:val="auto"/>
                <w:w w:val="86"/>
              </w:rPr>
              <w:t>Statement of Changes in Net Assets Available for Benefits</w:t>
            </w:r>
          </w:p>
        </w:tc>
        <w:tc>
          <w:tcPr>
            <w:tcW w:w="12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8"/>
        </w:trPr>
        <w:tc>
          <w:tcPr>
            <w:tcW w:w="20" w:type="dxa"/>
            <w:vAlign w:val="bottom"/>
          </w:tcPr>
          <w:p>
            <w:pPr>
              <w:spacing w:after="0"/>
              <w:rPr>
                <w:sz w:val="19"/>
                <w:szCs w:val="19"/>
                <w:color w:val="auto"/>
              </w:rPr>
            </w:pPr>
          </w:p>
        </w:tc>
        <w:tc>
          <w:tcPr>
            <w:tcW w:w="9200" w:type="dxa"/>
            <w:vAlign w:val="bottom"/>
          </w:tcPr>
          <w:p>
            <w:pPr>
              <w:jc w:val="center"/>
              <w:ind w:left="2092"/>
              <w:spacing w:after="0"/>
              <w:rPr>
                <w:sz w:val="20"/>
                <w:szCs w:val="20"/>
                <w:color w:val="auto"/>
              </w:rPr>
            </w:pPr>
            <w:r>
              <w:rPr>
                <w:rFonts w:ascii="Arial" w:cs="Arial" w:eastAsia="Arial" w:hAnsi="Arial"/>
                <w:sz w:val="18"/>
                <w:szCs w:val="18"/>
                <w:b w:val="1"/>
                <w:bCs w:val="1"/>
                <w:color w:val="auto"/>
                <w:w w:val="87"/>
              </w:rPr>
              <w:t>For the Year ended December 31, 2009</w:t>
            </w:r>
          </w:p>
        </w:tc>
        <w:tc>
          <w:tcPr>
            <w:tcW w:w="12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5"/>
        </w:trPr>
        <w:tc>
          <w:tcPr>
            <w:tcW w:w="20" w:type="dxa"/>
            <w:vAlign w:val="bottom"/>
            <w:vMerge w:val="restart"/>
          </w:tcPr>
          <w:p>
            <w:pPr>
              <w:spacing w:after="0"/>
              <w:rPr>
                <w:sz w:val="17"/>
                <w:szCs w:val="17"/>
                <w:color w:val="auto"/>
              </w:rPr>
            </w:pPr>
          </w:p>
        </w:tc>
        <w:tc>
          <w:tcPr>
            <w:tcW w:w="9200" w:type="dxa"/>
            <w:vAlign w:val="bottom"/>
          </w:tcPr>
          <w:p>
            <w:pPr>
              <w:spacing w:after="0"/>
              <w:rPr>
                <w:sz w:val="17"/>
                <w:szCs w:val="17"/>
                <w:color w:val="auto"/>
              </w:rPr>
            </w:pPr>
          </w:p>
        </w:tc>
        <w:tc>
          <w:tcPr>
            <w:tcW w:w="12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92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Additions to net assets attributed to:</w:t>
            </w:r>
          </w:p>
        </w:tc>
        <w:tc>
          <w:tcPr>
            <w:tcW w:w="1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200" w:type="dxa"/>
            <w:vAlign w:val="bottom"/>
          </w:tcPr>
          <w:p>
            <w:pPr>
              <w:spacing w:after="0"/>
              <w:rPr>
                <w:sz w:val="20"/>
                <w:szCs w:val="20"/>
                <w:color w:val="auto"/>
              </w:rPr>
            </w:pPr>
            <w:r>
              <w:rPr>
                <w:rFonts w:ascii="Arial" w:cs="Arial" w:eastAsia="Arial" w:hAnsi="Arial"/>
                <w:sz w:val="18"/>
                <w:szCs w:val="18"/>
                <w:color w:val="auto"/>
              </w:rPr>
              <w:t>Contributions:</w:t>
            </w:r>
          </w:p>
        </w:tc>
        <w:tc>
          <w:tcPr>
            <w:tcW w:w="1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200" w:type="dxa"/>
            <w:vAlign w:val="bottom"/>
            <w:shd w:val="clear" w:color="auto" w:fill="CCEEFF"/>
          </w:tcPr>
          <w:p>
            <w:pPr>
              <w:ind w:left="420"/>
              <w:spacing w:after="0"/>
              <w:rPr>
                <w:sz w:val="20"/>
                <w:szCs w:val="20"/>
                <w:color w:val="auto"/>
              </w:rPr>
            </w:pPr>
            <w:r>
              <w:rPr>
                <w:rFonts w:ascii="Arial" w:cs="Arial" w:eastAsia="Arial" w:hAnsi="Arial"/>
                <w:sz w:val="18"/>
                <w:szCs w:val="18"/>
                <w:color w:val="auto"/>
              </w:rPr>
              <w:t>Employee</w:t>
            </w:r>
          </w:p>
        </w:tc>
        <w:tc>
          <w:tcPr>
            <w:tcW w:w="13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432,870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9200" w:type="dxa"/>
            <w:vAlign w:val="bottom"/>
          </w:tcPr>
          <w:p>
            <w:pPr>
              <w:ind w:left="420"/>
              <w:spacing w:after="0"/>
              <w:rPr>
                <w:sz w:val="20"/>
                <w:szCs w:val="20"/>
                <w:color w:val="auto"/>
              </w:rPr>
            </w:pPr>
            <w:r>
              <w:rPr>
                <w:rFonts w:ascii="Arial" w:cs="Arial" w:eastAsia="Arial" w:hAnsi="Arial"/>
                <w:sz w:val="18"/>
                <w:szCs w:val="18"/>
                <w:color w:val="auto"/>
              </w:rPr>
              <w:t>Employer</w:t>
            </w:r>
          </w:p>
        </w:tc>
        <w:tc>
          <w:tcPr>
            <w:tcW w:w="128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84,740</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200" w:type="dxa"/>
            <w:vAlign w:val="bottom"/>
            <w:shd w:val="clear" w:color="auto" w:fill="CCEEFF"/>
          </w:tcPr>
          <w:p>
            <w:pPr>
              <w:spacing w:after="0"/>
              <w:rPr>
                <w:sz w:val="18"/>
                <w:szCs w:val="18"/>
                <w:color w:val="auto"/>
              </w:rPr>
            </w:pPr>
          </w:p>
        </w:tc>
        <w:tc>
          <w:tcPr>
            <w:tcW w:w="1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517,610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200" w:type="dxa"/>
            <w:vAlign w:val="bottom"/>
          </w:tcPr>
          <w:p>
            <w:pPr>
              <w:spacing w:after="0"/>
              <w:rPr>
                <w:sz w:val="20"/>
                <w:szCs w:val="20"/>
                <w:color w:val="auto"/>
              </w:rPr>
            </w:pPr>
            <w:r>
              <w:rPr>
                <w:rFonts w:ascii="Arial" w:cs="Arial" w:eastAsia="Arial" w:hAnsi="Arial"/>
                <w:sz w:val="18"/>
                <w:szCs w:val="18"/>
                <w:color w:val="auto"/>
              </w:rPr>
              <w:t>Investment income:</w:t>
            </w:r>
          </w:p>
        </w:tc>
        <w:tc>
          <w:tcPr>
            <w:tcW w:w="1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200" w:type="dxa"/>
            <w:vAlign w:val="bottom"/>
            <w:shd w:val="clear" w:color="auto" w:fill="CCEEFF"/>
          </w:tcPr>
          <w:p>
            <w:pPr>
              <w:ind w:left="420"/>
              <w:spacing w:after="0"/>
              <w:rPr>
                <w:sz w:val="20"/>
                <w:szCs w:val="20"/>
                <w:color w:val="auto"/>
              </w:rPr>
            </w:pPr>
            <w:r>
              <w:rPr>
                <w:rFonts w:ascii="Arial" w:cs="Arial" w:eastAsia="Arial" w:hAnsi="Arial"/>
                <w:sz w:val="18"/>
                <w:szCs w:val="18"/>
                <w:color w:val="auto"/>
              </w:rPr>
              <w:t>Net appreciation in fair value of investments (Note 3)</w:t>
            </w:r>
          </w:p>
        </w:tc>
        <w:tc>
          <w:tcPr>
            <w:tcW w:w="1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1,468,780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9200" w:type="dxa"/>
            <w:vAlign w:val="bottom"/>
          </w:tcPr>
          <w:p>
            <w:pPr>
              <w:ind w:left="420"/>
              <w:spacing w:after="0"/>
              <w:rPr>
                <w:sz w:val="20"/>
                <w:szCs w:val="20"/>
                <w:color w:val="auto"/>
              </w:rPr>
            </w:pPr>
            <w:r>
              <w:rPr>
                <w:rFonts w:ascii="Arial" w:cs="Arial" w:eastAsia="Arial" w:hAnsi="Arial"/>
                <w:sz w:val="18"/>
                <w:szCs w:val="18"/>
                <w:color w:val="auto"/>
              </w:rPr>
              <w:t>Interest and dividend income</w:t>
            </w:r>
          </w:p>
        </w:tc>
        <w:tc>
          <w:tcPr>
            <w:tcW w:w="128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226,155</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200" w:type="dxa"/>
            <w:vAlign w:val="bottom"/>
            <w:shd w:val="clear" w:color="auto" w:fill="CCEEFF"/>
          </w:tcPr>
          <w:p>
            <w:pPr>
              <w:spacing w:after="0"/>
              <w:rPr>
                <w:sz w:val="18"/>
                <w:szCs w:val="18"/>
                <w:color w:val="auto"/>
              </w:rPr>
            </w:pPr>
          </w:p>
        </w:tc>
        <w:tc>
          <w:tcPr>
            <w:tcW w:w="1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1,694,935</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9200" w:type="dxa"/>
            <w:vAlign w:val="bottom"/>
          </w:tcPr>
          <w:p>
            <w:pPr>
              <w:spacing w:after="0"/>
              <w:rPr>
                <w:sz w:val="20"/>
                <w:szCs w:val="20"/>
                <w:color w:val="auto"/>
              </w:rPr>
            </w:pPr>
            <w:r>
              <w:rPr>
                <w:rFonts w:ascii="Arial" w:cs="Arial" w:eastAsia="Arial" w:hAnsi="Arial"/>
                <w:sz w:val="18"/>
                <w:szCs w:val="18"/>
                <w:color w:val="auto"/>
              </w:rPr>
              <w:t>Transfers into the Plan (Note 1)</w:t>
            </w:r>
          </w:p>
        </w:tc>
        <w:tc>
          <w:tcPr>
            <w:tcW w:w="128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128,869</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200" w:type="dxa"/>
            <w:vAlign w:val="bottom"/>
            <w:shd w:val="clear" w:color="auto" w:fill="CCEEFF"/>
          </w:tcPr>
          <w:p>
            <w:pPr>
              <w:spacing w:after="0"/>
              <w:rPr>
                <w:sz w:val="20"/>
                <w:szCs w:val="20"/>
                <w:color w:val="auto"/>
              </w:rPr>
            </w:pPr>
            <w:r>
              <w:rPr>
                <w:rFonts w:ascii="Arial" w:cs="Arial" w:eastAsia="Arial" w:hAnsi="Arial"/>
                <w:sz w:val="18"/>
                <w:szCs w:val="18"/>
                <w:color w:val="auto"/>
              </w:rPr>
              <w:t>Total additions</w:t>
            </w:r>
          </w:p>
        </w:tc>
        <w:tc>
          <w:tcPr>
            <w:tcW w:w="1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2,341,414</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200" w:type="dxa"/>
            <w:vAlign w:val="bottom"/>
          </w:tcPr>
          <w:p>
            <w:pPr>
              <w:spacing w:after="0"/>
              <w:rPr>
                <w:sz w:val="20"/>
                <w:szCs w:val="20"/>
                <w:color w:val="auto"/>
              </w:rPr>
            </w:pPr>
            <w:r>
              <w:rPr>
                <w:rFonts w:ascii="Arial" w:cs="Arial" w:eastAsia="Arial" w:hAnsi="Arial"/>
                <w:sz w:val="18"/>
                <w:szCs w:val="18"/>
                <w:b w:val="1"/>
                <w:bCs w:val="1"/>
                <w:color w:val="auto"/>
              </w:rPr>
              <w:t>Deductions from net assets attributed to:</w:t>
            </w:r>
          </w:p>
        </w:tc>
        <w:tc>
          <w:tcPr>
            <w:tcW w:w="1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200" w:type="dxa"/>
            <w:vAlign w:val="bottom"/>
            <w:shd w:val="clear" w:color="auto" w:fill="CCEEFF"/>
          </w:tcPr>
          <w:p>
            <w:pPr>
              <w:spacing w:after="0"/>
              <w:rPr>
                <w:sz w:val="20"/>
                <w:szCs w:val="20"/>
                <w:color w:val="auto"/>
              </w:rPr>
            </w:pPr>
            <w:r>
              <w:rPr>
                <w:rFonts w:ascii="Arial" w:cs="Arial" w:eastAsia="Arial" w:hAnsi="Arial"/>
                <w:sz w:val="18"/>
                <w:szCs w:val="18"/>
                <w:color w:val="auto"/>
              </w:rPr>
              <w:t>Benefits paid directly to participants</w:t>
            </w:r>
          </w:p>
        </w:tc>
        <w:tc>
          <w:tcPr>
            <w:tcW w:w="1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1,272,537</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200" w:type="dxa"/>
            <w:vAlign w:val="bottom"/>
          </w:tcPr>
          <w:p>
            <w:pPr>
              <w:spacing w:after="0"/>
              <w:rPr>
                <w:sz w:val="20"/>
                <w:szCs w:val="20"/>
                <w:color w:val="auto"/>
              </w:rPr>
            </w:pPr>
            <w:r>
              <w:rPr>
                <w:rFonts w:ascii="Arial" w:cs="Arial" w:eastAsia="Arial" w:hAnsi="Arial"/>
                <w:sz w:val="18"/>
                <w:szCs w:val="18"/>
                <w:color w:val="auto"/>
              </w:rPr>
              <w:t>Transfers out of the Plan (Note 1)</w:t>
            </w:r>
          </w:p>
        </w:tc>
        <w:tc>
          <w:tcPr>
            <w:tcW w:w="1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590,380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200" w:type="dxa"/>
            <w:vAlign w:val="bottom"/>
            <w:shd w:val="clear" w:color="auto" w:fill="CCEEFF"/>
          </w:tcPr>
          <w:p>
            <w:pPr>
              <w:spacing w:after="0"/>
              <w:rPr>
                <w:sz w:val="20"/>
                <w:szCs w:val="20"/>
                <w:color w:val="auto"/>
              </w:rPr>
            </w:pPr>
            <w:r>
              <w:rPr>
                <w:rFonts w:ascii="Arial" w:cs="Arial" w:eastAsia="Arial" w:hAnsi="Arial"/>
                <w:sz w:val="18"/>
                <w:szCs w:val="18"/>
                <w:color w:val="auto"/>
              </w:rPr>
              <w:t>Administrative fees</w:t>
            </w:r>
          </w:p>
        </w:tc>
        <w:tc>
          <w:tcPr>
            <w:tcW w:w="128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24,609</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9220" w:type="dxa"/>
            <w:vAlign w:val="bottom"/>
            <w:gridSpan w:val="2"/>
          </w:tcPr>
          <w:p>
            <w:pPr>
              <w:spacing w:after="0"/>
              <w:rPr>
                <w:sz w:val="20"/>
                <w:szCs w:val="20"/>
                <w:color w:val="auto"/>
              </w:rPr>
            </w:pPr>
            <w:r>
              <w:rPr>
                <w:rFonts w:ascii="Arial" w:cs="Arial" w:eastAsia="Arial" w:hAnsi="Arial"/>
                <w:sz w:val="18"/>
                <w:szCs w:val="18"/>
                <w:color w:val="auto"/>
              </w:rPr>
              <w:t>Total deductions</w:t>
            </w:r>
          </w:p>
        </w:tc>
        <w:tc>
          <w:tcPr>
            <w:tcW w:w="12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40" w:type="dxa"/>
            <w:vAlign w:val="bottom"/>
            <w:gridSpan w:val="2"/>
          </w:tcPr>
          <w:p>
            <w:pPr>
              <w:jc w:val="right"/>
              <w:ind w:right="20"/>
              <w:spacing w:after="0"/>
              <w:rPr>
                <w:sz w:val="20"/>
                <w:szCs w:val="20"/>
                <w:color w:val="auto"/>
              </w:rPr>
            </w:pPr>
            <w:r>
              <w:rPr>
                <w:rFonts w:ascii="Arial" w:cs="Arial" w:eastAsia="Arial" w:hAnsi="Arial"/>
                <w:sz w:val="18"/>
                <w:szCs w:val="18"/>
                <w:color w:val="auto"/>
                <w:w w:val="99"/>
              </w:rPr>
              <w:t>1,887,526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200" w:type="dxa"/>
            <w:vAlign w:val="bottom"/>
            <w:shd w:val="clear" w:color="auto" w:fill="CCEEFF"/>
          </w:tcPr>
          <w:p>
            <w:pPr>
              <w:spacing w:after="0"/>
              <w:rPr>
                <w:sz w:val="20"/>
                <w:szCs w:val="20"/>
                <w:color w:val="auto"/>
              </w:rPr>
            </w:pPr>
            <w:r>
              <w:rPr>
                <w:rFonts w:ascii="Arial" w:cs="Arial" w:eastAsia="Arial" w:hAnsi="Arial"/>
                <w:sz w:val="18"/>
                <w:szCs w:val="18"/>
                <w:color w:val="auto"/>
              </w:rPr>
              <w:t>Net increase</w:t>
            </w:r>
          </w:p>
        </w:tc>
        <w:tc>
          <w:tcPr>
            <w:tcW w:w="128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8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453,888</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9200" w:type="dxa"/>
            <w:vAlign w:val="bottom"/>
          </w:tcPr>
          <w:p>
            <w:pPr>
              <w:spacing w:after="0"/>
              <w:rPr>
                <w:sz w:val="20"/>
                <w:szCs w:val="20"/>
                <w:color w:val="auto"/>
              </w:rPr>
            </w:pPr>
            <w:r>
              <w:rPr>
                <w:rFonts w:ascii="Arial" w:cs="Arial" w:eastAsia="Arial" w:hAnsi="Arial"/>
                <w:sz w:val="18"/>
                <w:szCs w:val="18"/>
                <w:color w:val="auto"/>
              </w:rPr>
              <w:t>Net assets available for benefits at beginning of year</w:t>
            </w:r>
          </w:p>
        </w:tc>
        <w:tc>
          <w:tcPr>
            <w:tcW w:w="128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88"/>
              </w:rPr>
              <w:t>10,774,282</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200" w:type="dxa"/>
            <w:vAlign w:val="bottom"/>
            <w:shd w:val="clear" w:color="auto" w:fill="CCEEFF"/>
          </w:tcPr>
          <w:p>
            <w:pPr>
              <w:spacing w:after="0"/>
              <w:rPr>
                <w:sz w:val="20"/>
                <w:szCs w:val="20"/>
                <w:color w:val="auto"/>
              </w:rPr>
            </w:pPr>
            <w:r>
              <w:rPr>
                <w:rFonts w:ascii="Arial" w:cs="Arial" w:eastAsia="Arial" w:hAnsi="Arial"/>
                <w:sz w:val="18"/>
                <w:szCs w:val="18"/>
                <w:color w:val="auto"/>
              </w:rPr>
              <w:t>Net assets available for benefits at end of year</w:t>
            </w:r>
          </w:p>
        </w:tc>
        <w:tc>
          <w:tcPr>
            <w:tcW w:w="13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8"/>
              </w:rPr>
              <w:t>11,228,170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920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67"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See accompanying notes to financial statements.</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1420"/>
          </w:cols>
          <w:pgMar w:left="240" w:top="459" w:right="239" w:bottom="1440" w:gutter="0" w:footer="0" w:header="0"/>
        </w:sectPr>
      </w:pPr>
    </w:p>
    <w:bookmarkStart w:id="5" w:name="page6"/>
    <w:bookmarkEnd w:id="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Casual Male Retail Group, Inc. 401(k) Hourly Savings Plan</w:t>
      </w:r>
    </w:p>
    <w:p>
      <w:pPr>
        <w:spacing w:after="0" w:line="90"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Financial Statements</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Note 1 - </w:t>
      </w:r>
      <w:r>
        <w:rPr>
          <w:rFonts w:ascii="Arial" w:cs="Arial" w:eastAsia="Arial" w:hAnsi="Arial"/>
          <w:sz w:val="18"/>
          <w:szCs w:val="18"/>
          <w:b w:val="1"/>
          <w:bCs w:val="1"/>
          <w:u w:val="single" w:color="auto"/>
          <w:color w:val="auto"/>
        </w:rPr>
        <w:t>Description of the Plan</w:t>
      </w:r>
    </w:p>
    <w:p>
      <w:pPr>
        <w:spacing w:after="0" w:line="96" w:lineRule="exact"/>
        <w:rPr>
          <w:sz w:val="20"/>
          <w:szCs w:val="20"/>
          <w:color w:val="auto"/>
        </w:rPr>
      </w:pPr>
    </w:p>
    <w:p>
      <w:pPr>
        <w:spacing w:after="0" w:line="268" w:lineRule="auto"/>
        <w:rPr>
          <w:sz w:val="20"/>
          <w:szCs w:val="20"/>
          <w:color w:val="auto"/>
        </w:rPr>
      </w:pPr>
      <w:r>
        <w:rPr>
          <w:rFonts w:ascii="Arial" w:cs="Arial" w:eastAsia="Arial" w:hAnsi="Arial"/>
          <w:sz w:val="18"/>
          <w:szCs w:val="18"/>
          <w:color w:val="auto"/>
        </w:rPr>
        <w:t>The following description of Casual Male Retail Group, Inc. 401(k) Hourly Savings Plan (the “Plan”) provides only general information. Participants should refer to the Plan document for a more complete description of the Plan’s provisions.</w:t>
      </w:r>
    </w:p>
    <w:p>
      <w:pPr>
        <w:spacing w:after="0" w:line="213"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u w:val="single" w:color="auto"/>
          <w:color w:val="auto"/>
        </w:rPr>
        <w:t>General</w:t>
      </w:r>
    </w:p>
    <w:p>
      <w:pPr>
        <w:spacing w:after="0" w:line="90" w:lineRule="exact"/>
        <w:rPr>
          <w:sz w:val="20"/>
          <w:szCs w:val="20"/>
          <w:color w:val="auto"/>
        </w:rPr>
      </w:pPr>
    </w:p>
    <w:p>
      <w:pPr>
        <w:ind w:right="60"/>
        <w:spacing w:after="0" w:line="268" w:lineRule="auto"/>
        <w:rPr>
          <w:sz w:val="20"/>
          <w:szCs w:val="20"/>
          <w:color w:val="auto"/>
        </w:rPr>
      </w:pPr>
      <w:r>
        <w:rPr>
          <w:rFonts w:ascii="Arial" w:cs="Arial" w:eastAsia="Arial" w:hAnsi="Arial"/>
          <w:sz w:val="18"/>
          <w:szCs w:val="18"/>
          <w:color w:val="auto"/>
        </w:rPr>
        <w:t>The Plan is a defined contribution plan covering eligible employees of the Casual Male Retail Group, Inc. (the “Company”). The Plan is subject to the provisions of the Employee Retirement Income Security Act of 1974 (ERISA).</w:t>
      </w:r>
    </w:p>
    <w:p>
      <w:pPr>
        <w:spacing w:after="0" w:line="213"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u w:val="single" w:color="auto"/>
          <w:color w:val="auto"/>
        </w:rPr>
        <w:t>Eligibility</w:t>
      </w:r>
    </w:p>
    <w:p>
      <w:pPr>
        <w:spacing w:after="0" w:line="90" w:lineRule="exact"/>
        <w:rPr>
          <w:sz w:val="20"/>
          <w:szCs w:val="20"/>
          <w:color w:val="auto"/>
        </w:rPr>
      </w:pPr>
    </w:p>
    <w:p>
      <w:pPr>
        <w:ind w:right="140"/>
        <w:spacing w:after="0" w:line="332" w:lineRule="auto"/>
        <w:rPr>
          <w:sz w:val="20"/>
          <w:szCs w:val="20"/>
          <w:color w:val="auto"/>
        </w:rPr>
      </w:pPr>
      <w:r>
        <w:rPr>
          <w:rFonts w:ascii="Arial" w:cs="Arial" w:eastAsia="Arial" w:hAnsi="Arial"/>
          <w:sz w:val="16"/>
          <w:szCs w:val="16"/>
          <w:color w:val="auto"/>
        </w:rPr>
        <w:t>All hourly employees of the Company who have completed one year of employment, worked 1,000 hours in one year, and at least 21 years of age are eligible to participate in the Plan. After completing age and service requirements, the employee can enter the Plan on the first day of any subsequent month.</w:t>
      </w:r>
    </w:p>
    <w:p>
      <w:pPr>
        <w:spacing w:after="0" w:line="85" w:lineRule="exact"/>
        <w:rPr>
          <w:sz w:val="20"/>
          <w:szCs w:val="20"/>
          <w:color w:val="auto"/>
        </w:rPr>
      </w:pPr>
    </w:p>
    <w:p>
      <w:pPr>
        <w:ind w:right="240"/>
        <w:spacing w:after="0" w:line="335" w:lineRule="auto"/>
        <w:rPr>
          <w:sz w:val="20"/>
          <w:szCs w:val="20"/>
          <w:color w:val="auto"/>
        </w:rPr>
      </w:pPr>
      <w:r>
        <w:rPr>
          <w:rFonts w:ascii="Arial" w:cs="Arial" w:eastAsia="Arial" w:hAnsi="Arial"/>
          <w:sz w:val="15"/>
          <w:szCs w:val="15"/>
          <w:color w:val="auto"/>
        </w:rPr>
        <w:t>As participants change positions at the Company, they may change from an hourly to salary status or vice versa. Assets transferred to the Casual Male Retail Group, Inc. 401(k) Salaried Savings Plan during the year ended December 31, 2009 were $590,380. Assets transferred from the Casual Male Retail Group Inc. 401(k) Salaried Savings Plan to the Casual Male Retail Group, Inc. 401 (k) Hourly Savings Plan during the year ended December 31, 2009 were $128,869.</w:t>
      </w:r>
    </w:p>
    <w:p>
      <w:pPr>
        <w:spacing w:after="0" w:line="169"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u w:val="single" w:color="auto"/>
          <w:color w:val="auto"/>
        </w:rPr>
        <w:t>Contributions</w:t>
      </w:r>
    </w:p>
    <w:p>
      <w:pPr>
        <w:spacing w:after="0" w:line="90" w:lineRule="exact"/>
        <w:rPr>
          <w:sz w:val="20"/>
          <w:szCs w:val="20"/>
          <w:color w:val="auto"/>
        </w:rPr>
      </w:pPr>
    </w:p>
    <w:p>
      <w:pPr>
        <w:ind w:right="260"/>
        <w:spacing w:after="0" w:line="332" w:lineRule="auto"/>
        <w:rPr>
          <w:sz w:val="20"/>
          <w:szCs w:val="20"/>
          <w:color w:val="auto"/>
        </w:rPr>
      </w:pPr>
      <w:r>
        <w:rPr>
          <w:rFonts w:ascii="Arial" w:cs="Arial" w:eastAsia="Arial" w:hAnsi="Arial"/>
          <w:sz w:val="16"/>
          <w:szCs w:val="16"/>
          <w:color w:val="auto"/>
        </w:rPr>
        <w:t>Each year, participants may contribute from 1% to 80% of pretax annual compensation as defined in the Plan, subject to the provisions of ERISA. Participants may also contribute amounts representing distributions from other qualified defined benefit or defined contribution plans.</w:t>
      </w:r>
    </w:p>
    <w:p>
      <w:pPr>
        <w:spacing w:after="0" w:line="85" w:lineRule="exact"/>
        <w:rPr>
          <w:sz w:val="20"/>
          <w:szCs w:val="20"/>
          <w:color w:val="auto"/>
        </w:rPr>
      </w:pPr>
    </w:p>
    <w:p>
      <w:pPr>
        <w:ind w:right="80"/>
        <w:spacing w:after="0" w:line="294" w:lineRule="auto"/>
        <w:rPr>
          <w:sz w:val="20"/>
          <w:szCs w:val="20"/>
          <w:color w:val="auto"/>
        </w:rPr>
      </w:pPr>
      <w:r>
        <w:rPr>
          <w:rFonts w:ascii="Arial" w:cs="Arial" w:eastAsia="Arial" w:hAnsi="Arial"/>
          <w:sz w:val="16"/>
          <w:szCs w:val="16"/>
          <w:color w:val="auto"/>
        </w:rPr>
        <w:t>Effective January 1, 2008, the Plan approved and adopted the Safe Harbor Matching provisions permitted under the Pension Protection Act of 2006. Effective May 31, 2009, the Company cancelled the Safe Harbor Matching contribution. While there is no immediate intent to match the participant’s deferrals beyond the pay period ending May 31, 2009, the Company retains the right to make a discretionary matching contribution. For the period January 1, through May 31, 2009, the Company contributed a match equal to the sum of ( i ) 100% of the participant’s elective deferral for the first 1% of compensation plus ( ii ) 50% of the participant’s elective deferral for the next 5% of compensation.</w:t>
      </w:r>
    </w:p>
    <w:p>
      <w:pPr>
        <w:spacing w:after="0" w:line="10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11400"/>
          </w:cols>
          <w:pgMar w:left="240" w:top="459" w:right="259" w:bottom="1440" w:gutter="0" w:footer="0" w:header="0"/>
        </w:sectPr>
      </w:pPr>
    </w:p>
    <w:bookmarkStart w:id="6" w:name="page7"/>
    <w:bookmarkEnd w:id="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Casual Male Retail Group, Inc. 401(k) Hourly Savings Plan</w:t>
      </w:r>
    </w:p>
    <w:p>
      <w:pPr>
        <w:spacing w:after="0" w:line="90"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Financial Statements—(Continued)</w:t>
      </w:r>
    </w:p>
    <w:p>
      <w:pPr>
        <w:spacing w:after="0" w:line="15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Note 1 - </w:t>
      </w:r>
      <w:r>
        <w:rPr>
          <w:rFonts w:ascii="Arial" w:cs="Arial" w:eastAsia="Arial" w:hAnsi="Arial"/>
          <w:sz w:val="18"/>
          <w:szCs w:val="18"/>
          <w:b w:val="1"/>
          <w:bCs w:val="1"/>
          <w:u w:val="single" w:color="auto"/>
          <w:color w:val="auto"/>
        </w:rPr>
        <w:t>Description of the Plan (continued</w:t>
      </w:r>
      <w:r>
        <w:rPr>
          <w:rFonts w:ascii="Arial" w:cs="Arial" w:eastAsia="Arial" w:hAnsi="Arial"/>
          <w:sz w:val="18"/>
          <w:szCs w:val="18"/>
          <w:b w:val="1"/>
          <w:bCs w:val="1"/>
          <w:color w:val="auto"/>
        </w:rPr>
        <w:t>)</w:t>
      </w:r>
    </w:p>
    <w:p>
      <w:pPr>
        <w:spacing w:after="0" w:line="164"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u w:val="single" w:color="auto"/>
          <w:color w:val="auto"/>
        </w:rPr>
        <w:t>Automatic Enrollment</w:t>
      </w:r>
    </w:p>
    <w:p>
      <w:pPr>
        <w:spacing w:after="0" w:line="90" w:lineRule="exact"/>
        <w:rPr>
          <w:sz w:val="20"/>
          <w:szCs w:val="20"/>
          <w:color w:val="auto"/>
        </w:rPr>
      </w:pPr>
    </w:p>
    <w:p>
      <w:pPr>
        <w:ind w:right="180"/>
        <w:spacing w:after="0" w:line="256" w:lineRule="auto"/>
        <w:rPr>
          <w:sz w:val="20"/>
          <w:szCs w:val="20"/>
          <w:color w:val="auto"/>
        </w:rPr>
      </w:pPr>
      <w:r>
        <w:rPr>
          <w:rFonts w:ascii="Arial" w:cs="Arial" w:eastAsia="Arial" w:hAnsi="Arial"/>
          <w:sz w:val="18"/>
          <w:szCs w:val="18"/>
          <w:color w:val="auto"/>
        </w:rPr>
        <w:t>Each employee who has satisfied the eligibility requirement as of January 1, 2009 shall be automatically enrolled and shall have an amount equal to 3% of their compensation automatically deducted unless the employee affirmatively elects a different elective deferral contribution percent (including a zero percent election). Unless an eligible employee affirmatively elects not to contribute or changes its deferral rate, the pre-tax deferral will increase annually by 1% not to exceed 10%.</w:t>
      </w:r>
    </w:p>
    <w:p>
      <w:pPr>
        <w:spacing w:after="0" w:line="224"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u w:val="single" w:color="auto"/>
          <w:color w:val="auto"/>
        </w:rPr>
        <w:t>Participants’ Accounts</w:t>
      </w:r>
    </w:p>
    <w:p>
      <w:pPr>
        <w:spacing w:after="0" w:line="90" w:lineRule="exact"/>
        <w:rPr>
          <w:sz w:val="20"/>
          <w:szCs w:val="20"/>
          <w:color w:val="auto"/>
        </w:rPr>
      </w:pPr>
    </w:p>
    <w:p>
      <w:pPr>
        <w:spacing w:after="0" w:line="332" w:lineRule="auto"/>
        <w:rPr>
          <w:sz w:val="20"/>
          <w:szCs w:val="20"/>
          <w:color w:val="auto"/>
        </w:rPr>
      </w:pPr>
      <w:r>
        <w:rPr>
          <w:rFonts w:ascii="Arial" w:cs="Arial" w:eastAsia="Arial" w:hAnsi="Arial"/>
          <w:sz w:val="16"/>
          <w:szCs w:val="16"/>
          <w:color w:val="auto"/>
        </w:rPr>
        <w:t>Each participant’s account is credited with the participant’s contributions, the Company’s matching and discretionary contribution, plan earnings and an allocation of plan expenses. The benefit to which a participant is entitled is the benefit that can be provided from the participant’s account.</w:t>
      </w:r>
    </w:p>
    <w:p>
      <w:pPr>
        <w:spacing w:after="0" w:line="166"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u w:val="single" w:color="auto"/>
          <w:color w:val="auto"/>
        </w:rPr>
        <w:t>Forfeitures</w:t>
      </w:r>
    </w:p>
    <w:p>
      <w:pPr>
        <w:spacing w:after="0" w:line="90" w:lineRule="exact"/>
        <w:rPr>
          <w:sz w:val="20"/>
          <w:szCs w:val="20"/>
          <w:color w:val="auto"/>
        </w:rPr>
      </w:pPr>
    </w:p>
    <w:p>
      <w:pPr>
        <w:ind w:right="120"/>
        <w:spacing w:after="0" w:line="268" w:lineRule="auto"/>
        <w:rPr>
          <w:sz w:val="20"/>
          <w:szCs w:val="20"/>
          <w:color w:val="auto"/>
        </w:rPr>
      </w:pPr>
      <w:r>
        <w:rPr>
          <w:rFonts w:ascii="Arial" w:cs="Arial" w:eastAsia="Arial" w:hAnsi="Arial"/>
          <w:sz w:val="18"/>
          <w:szCs w:val="18"/>
          <w:color w:val="auto"/>
        </w:rPr>
        <w:t>Amounts forfeited under the Plan are used to reduce future employer contributions and administrative expenses. At December 31, 2009 and 2008, forfeited non-vested accounts totaled $1,039 and $1,770, respectively.</w:t>
      </w:r>
    </w:p>
    <w:p>
      <w:pPr>
        <w:spacing w:after="0" w:line="213"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u w:val="single" w:color="auto"/>
          <w:color w:val="auto"/>
        </w:rPr>
        <w:t>Vesting</w:t>
      </w:r>
    </w:p>
    <w:p>
      <w:pPr>
        <w:spacing w:after="0" w:line="90" w:lineRule="exact"/>
        <w:rPr>
          <w:sz w:val="20"/>
          <w:szCs w:val="20"/>
          <w:color w:val="auto"/>
        </w:rPr>
      </w:pPr>
    </w:p>
    <w:p>
      <w:pPr>
        <w:ind w:right="120"/>
        <w:spacing w:after="0" w:line="332" w:lineRule="auto"/>
        <w:rPr>
          <w:sz w:val="20"/>
          <w:szCs w:val="20"/>
          <w:color w:val="auto"/>
        </w:rPr>
      </w:pPr>
      <w:r>
        <w:rPr>
          <w:rFonts w:ascii="Arial" w:cs="Arial" w:eastAsia="Arial" w:hAnsi="Arial"/>
          <w:sz w:val="16"/>
          <w:szCs w:val="16"/>
          <w:color w:val="auto"/>
        </w:rPr>
        <w:t>Participants are immediately vested in their contributions plus actual earnings thereon. Vesting in the Company contribution portion of their accounts plus actual earnings thereon is based on years of continuous service. A participant is 100% vested after two years of credited service.</w:t>
      </w:r>
    </w:p>
    <w:p>
      <w:pPr>
        <w:spacing w:after="0" w:line="166"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u w:val="single" w:color="auto"/>
          <w:color w:val="auto"/>
        </w:rPr>
        <w:t>Investment Options</w:t>
      </w:r>
    </w:p>
    <w:p>
      <w:pPr>
        <w:spacing w:after="0" w:line="90" w:lineRule="exact"/>
        <w:rPr>
          <w:sz w:val="20"/>
          <w:szCs w:val="20"/>
          <w:color w:val="auto"/>
        </w:rPr>
      </w:pPr>
    </w:p>
    <w:p>
      <w:pPr>
        <w:spacing w:after="0"/>
        <w:rPr>
          <w:sz w:val="20"/>
          <w:szCs w:val="20"/>
          <w:color w:val="auto"/>
        </w:rPr>
      </w:pPr>
      <w:r>
        <w:rPr>
          <w:rFonts w:ascii="Arial" w:cs="Arial" w:eastAsia="Arial" w:hAnsi="Arial"/>
          <w:sz w:val="16"/>
          <w:szCs w:val="16"/>
          <w:color w:val="auto"/>
        </w:rPr>
        <w:t>Upon enrollment in the Plan, a participant may direct their elective contribution and Company contributions into various investment options offered by the Plan.</w:t>
      </w:r>
    </w:p>
    <w:p>
      <w:pPr>
        <w:spacing w:after="0" w:line="194" w:lineRule="exact"/>
        <w:rPr>
          <w:sz w:val="20"/>
          <w:szCs w:val="20"/>
          <w:color w:val="auto"/>
        </w:rPr>
      </w:pPr>
    </w:p>
    <w:p>
      <w:pPr>
        <w:spacing w:after="0"/>
        <w:rPr>
          <w:sz w:val="20"/>
          <w:szCs w:val="20"/>
          <w:color w:val="auto"/>
        </w:rPr>
      </w:pPr>
      <w:r>
        <w:rPr>
          <w:rFonts w:ascii="Arial" w:cs="Arial" w:eastAsia="Arial" w:hAnsi="Arial"/>
          <w:sz w:val="18"/>
          <w:szCs w:val="18"/>
          <w:color w:val="auto"/>
        </w:rPr>
        <w:t>Participants may change their investment options at any time.</w:t>
      </w:r>
    </w:p>
    <w:p>
      <w:pPr>
        <w:spacing w:after="0" w:line="15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w:t>
      </w:r>
    </w:p>
    <w:p>
      <w:pPr>
        <w:sectPr>
          <w:pgSz w:w="11900" w:h="16838" w:orient="portrait"/>
          <w:cols w:equalWidth="0" w:num="1">
            <w:col w:w="11400"/>
          </w:cols>
          <w:pgMar w:left="240" w:top="459" w:right="259" w:bottom="1440" w:gutter="0" w:footer="0" w:header="0"/>
        </w:sectPr>
      </w:pPr>
    </w:p>
    <w:bookmarkStart w:id="7" w:name="page8"/>
    <w:bookmarkEnd w:id="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Casual Male Retail Group, Inc. 401(k) Hourly Savings Plan</w:t>
      </w:r>
    </w:p>
    <w:p>
      <w:pPr>
        <w:spacing w:after="0" w:line="9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Financial Statements—(Continued)</w:t>
      </w:r>
    </w:p>
    <w:p>
      <w:pPr>
        <w:spacing w:after="0" w:line="15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Note 1 - </w:t>
      </w:r>
      <w:r>
        <w:rPr>
          <w:rFonts w:ascii="Arial" w:cs="Arial" w:eastAsia="Arial" w:hAnsi="Arial"/>
          <w:sz w:val="18"/>
          <w:szCs w:val="18"/>
          <w:b w:val="1"/>
          <w:bCs w:val="1"/>
          <w:u w:val="single" w:color="auto"/>
          <w:color w:val="auto"/>
        </w:rPr>
        <w:t>Description of the Plan (continued)</w:t>
      </w:r>
    </w:p>
    <w:p>
      <w:pPr>
        <w:spacing w:after="0" w:line="164"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u w:val="single" w:color="auto"/>
          <w:color w:val="auto"/>
        </w:rPr>
        <w:t>Participant Loans</w:t>
      </w:r>
    </w:p>
    <w:p>
      <w:pPr>
        <w:spacing w:after="0" w:line="90" w:lineRule="exact"/>
        <w:rPr>
          <w:sz w:val="20"/>
          <w:szCs w:val="20"/>
          <w:color w:val="auto"/>
        </w:rPr>
      </w:pPr>
    </w:p>
    <w:p>
      <w:pPr>
        <w:ind w:right="80"/>
        <w:spacing w:after="0" w:line="318" w:lineRule="auto"/>
        <w:rPr>
          <w:sz w:val="20"/>
          <w:szCs w:val="20"/>
          <w:color w:val="auto"/>
        </w:rPr>
      </w:pPr>
      <w:r>
        <w:rPr>
          <w:rFonts w:ascii="Arial" w:cs="Arial" w:eastAsia="Arial" w:hAnsi="Arial"/>
          <w:sz w:val="15"/>
          <w:szCs w:val="15"/>
          <w:color w:val="auto"/>
        </w:rPr>
        <w:t>Participants may borrow the lesser of $50,000 reduced by the individual’s highest outstanding loan balance during the preceding twelve months or 50% of the individual’s vested balance with a minimum of $1,000 per loan. Loan transactions are treated as a transfer to / (from) the investment fund from / (to) the Participant Loans fund. Loans are secured by the balance in the participant’s account. Loan terms range from one to five years unless the loan is used to purchase a primary residence, in which case the loan may be repaid over a ten-year period. Other restrictions, as specified in the Plan agreement, may apply to a participant’s loan transaction. Interest rates range from 4.75% to 9.25% at December 31, 2009. Principal and interest is paid ratably through payroll deductions.</w:t>
      </w:r>
    </w:p>
    <w:p>
      <w:pPr>
        <w:spacing w:after="0" w:line="181"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u w:val="single" w:color="auto"/>
          <w:color w:val="auto"/>
        </w:rPr>
        <w:t>Plan Expenses</w:t>
      </w:r>
    </w:p>
    <w:p>
      <w:pPr>
        <w:spacing w:after="0" w:line="90" w:lineRule="exact"/>
        <w:rPr>
          <w:sz w:val="20"/>
          <w:szCs w:val="20"/>
          <w:color w:val="auto"/>
        </w:rPr>
      </w:pPr>
    </w:p>
    <w:p>
      <w:pPr>
        <w:ind w:right="200"/>
        <w:spacing w:after="0" w:line="268" w:lineRule="auto"/>
        <w:rPr>
          <w:sz w:val="20"/>
          <w:szCs w:val="20"/>
          <w:color w:val="auto"/>
        </w:rPr>
      </w:pPr>
      <w:r>
        <w:rPr>
          <w:rFonts w:ascii="Arial" w:cs="Arial" w:eastAsia="Arial" w:hAnsi="Arial"/>
          <w:sz w:val="18"/>
          <w:szCs w:val="18"/>
          <w:color w:val="auto"/>
        </w:rPr>
        <w:t>In accordance with the Plan, all administrative expenses may be paid out of the Plan unless paid by the Company. During 2009, there were no expenses paid by the Company.</w:t>
      </w:r>
    </w:p>
    <w:p>
      <w:pPr>
        <w:spacing w:after="0" w:line="213"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u w:val="single" w:color="auto"/>
          <w:color w:val="auto"/>
        </w:rPr>
        <w:t>Payment of Benefits</w:t>
      </w:r>
    </w:p>
    <w:p>
      <w:pPr>
        <w:spacing w:after="0" w:line="90" w:lineRule="exact"/>
        <w:rPr>
          <w:sz w:val="20"/>
          <w:szCs w:val="20"/>
          <w:color w:val="auto"/>
        </w:rPr>
      </w:pPr>
    </w:p>
    <w:p>
      <w:pPr>
        <w:ind w:right="80"/>
        <w:spacing w:after="0" w:line="256" w:lineRule="auto"/>
        <w:rPr>
          <w:sz w:val="20"/>
          <w:szCs w:val="20"/>
          <w:color w:val="auto"/>
        </w:rPr>
      </w:pPr>
      <w:r>
        <w:rPr>
          <w:rFonts w:ascii="Arial" w:cs="Arial" w:eastAsia="Arial" w:hAnsi="Arial"/>
          <w:sz w:val="18"/>
          <w:szCs w:val="18"/>
          <w:color w:val="auto"/>
        </w:rPr>
        <w:t>Distribution can be made if requested due to disability, retirement, or termination of employment. On termination of service for any reason, a participant shall receive a lump-sum amount equal to the value of the participant’s vested interest in his or her account, if the vested interest is $5,000 or less. If the participant’s vested interest is over $5,000, the participant may elect to receive payment in a lump-sum amount or installments paid over a certain number of years selected by the participant.</w:t>
      </w:r>
    </w:p>
    <w:p>
      <w:pPr>
        <w:spacing w:after="0" w:line="143" w:lineRule="exact"/>
        <w:rPr>
          <w:sz w:val="20"/>
          <w:szCs w:val="20"/>
          <w:color w:val="auto"/>
        </w:rPr>
      </w:pPr>
    </w:p>
    <w:p>
      <w:pPr>
        <w:ind w:right="820"/>
        <w:spacing w:after="0" w:line="268" w:lineRule="auto"/>
        <w:rPr>
          <w:sz w:val="20"/>
          <w:szCs w:val="20"/>
          <w:color w:val="auto"/>
        </w:rPr>
      </w:pPr>
      <w:r>
        <w:rPr>
          <w:rFonts w:ascii="Arial" w:cs="Arial" w:eastAsia="Arial" w:hAnsi="Arial"/>
          <w:sz w:val="18"/>
          <w:szCs w:val="18"/>
          <w:color w:val="auto"/>
        </w:rPr>
        <w:t>Beneficiaries may request a distribution of vested Account balance in the event of death. The Account balance will continue to increase or decrease, as appropriate, based on the investment returns until it is distributed.</w:t>
      </w:r>
    </w:p>
    <w:p>
      <w:pPr>
        <w:spacing w:after="0" w:line="132" w:lineRule="exact"/>
        <w:rPr>
          <w:sz w:val="20"/>
          <w:szCs w:val="20"/>
          <w:color w:val="auto"/>
        </w:rPr>
      </w:pPr>
    </w:p>
    <w:p>
      <w:pPr>
        <w:spacing w:after="0" w:line="255" w:lineRule="auto"/>
        <w:rPr>
          <w:sz w:val="20"/>
          <w:szCs w:val="20"/>
          <w:color w:val="auto"/>
        </w:rPr>
      </w:pPr>
      <w:r>
        <w:rPr>
          <w:rFonts w:ascii="Arial" w:cs="Arial" w:eastAsia="Arial" w:hAnsi="Arial"/>
          <w:sz w:val="18"/>
          <w:szCs w:val="18"/>
          <w:color w:val="auto"/>
        </w:rPr>
        <w:t>Distribution can be deferred to a later date, however, it cannot be postponed if the vested Account balance is $5,000 or less; in which case the Plan Administrator will direct the Trustee that any amount exceeding $1,000 be distributed to an Individual Retirement Account or Annuity (“IRA”). If the vested Account balance is $1,000 or less, the Plan Administrator will direct the Trustee to distribute it as a Casual Male Retail Group, Inc. 401(k) Hourly Savings Plan lump sum distribution without the participant’s consent. Prior to such distribution, participants still have the right to request that the amount be distributed directly to them in the form of a lump sum payment or to request that it be</w:t>
      </w:r>
    </w:p>
    <w:p>
      <w:pPr>
        <w:spacing w:after="0" w:line="12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w:t>
      </w:r>
    </w:p>
    <w:p>
      <w:pPr>
        <w:sectPr>
          <w:pgSz w:w="11900" w:h="16838" w:orient="portrait"/>
          <w:cols w:equalWidth="0" w:num="1">
            <w:col w:w="11420"/>
          </w:cols>
          <w:pgMar w:left="240" w:top="459" w:right="239" w:bottom="1440" w:gutter="0" w:footer="0" w:header="0"/>
        </w:sectPr>
      </w:pPr>
    </w:p>
    <w:bookmarkStart w:id="8" w:name="page9"/>
    <w:bookmarkEnd w:id="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Casual Male Retail Group, Inc. 401(k) Hourly Savings Plan</w:t>
      </w:r>
    </w:p>
    <w:p>
      <w:pPr>
        <w:spacing w:after="0" w:line="90"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Notes to Financial Statements—(Continued)</w:t>
      </w:r>
    </w:p>
    <w:p>
      <w:pPr>
        <w:spacing w:after="0" w:line="15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Note 1 - </w:t>
      </w:r>
      <w:r>
        <w:rPr>
          <w:rFonts w:ascii="Arial" w:cs="Arial" w:eastAsia="Arial" w:hAnsi="Arial"/>
          <w:sz w:val="18"/>
          <w:szCs w:val="18"/>
          <w:b w:val="1"/>
          <w:bCs w:val="1"/>
          <w:u w:val="single" w:color="auto"/>
          <w:color w:val="auto"/>
        </w:rPr>
        <w:t>Description of the Plan (continued)</w:t>
      </w:r>
    </w:p>
    <w:p>
      <w:pPr>
        <w:spacing w:after="0" w:line="164" w:lineRule="exact"/>
        <w:rPr>
          <w:sz w:val="20"/>
          <w:szCs w:val="20"/>
          <w:color w:val="auto"/>
        </w:rPr>
      </w:pPr>
    </w:p>
    <w:p>
      <w:pPr>
        <w:spacing w:after="0"/>
        <w:rPr>
          <w:sz w:val="20"/>
          <w:szCs w:val="20"/>
          <w:color w:val="auto"/>
        </w:rPr>
      </w:pPr>
      <w:r>
        <w:rPr>
          <w:rFonts w:ascii="Arial" w:cs="Arial" w:eastAsia="Arial" w:hAnsi="Arial"/>
          <w:sz w:val="18"/>
          <w:szCs w:val="18"/>
          <w:color w:val="auto"/>
        </w:rPr>
        <w:t>rolled-over to a different IRA provider or another retirement plan eligible to receive rollover contributions.</w:t>
      </w:r>
    </w:p>
    <w:p>
      <w:pPr>
        <w:spacing w:after="0" w:line="90" w:lineRule="exact"/>
        <w:rPr>
          <w:sz w:val="20"/>
          <w:szCs w:val="20"/>
          <w:color w:val="auto"/>
        </w:rPr>
      </w:pPr>
    </w:p>
    <w:p>
      <w:pPr>
        <w:spacing w:after="0" w:line="306" w:lineRule="auto"/>
        <w:rPr>
          <w:sz w:val="20"/>
          <w:szCs w:val="20"/>
          <w:color w:val="auto"/>
        </w:rPr>
      </w:pPr>
      <w:r>
        <w:rPr>
          <w:rFonts w:ascii="Arial" w:cs="Arial" w:eastAsia="Arial" w:hAnsi="Arial"/>
          <w:sz w:val="16"/>
          <w:szCs w:val="16"/>
          <w:color w:val="auto"/>
        </w:rPr>
        <w:t>If the participant fails to request a different treatment of an automatic distribution under the Plan’s Cash-Out Provision, the distribution will be paid over to an IRA provider chosen by the Plan Administrator and invested in a product designed to preserve the principal of that distribution while still providing a reasonable rate of return and preserving liquidity. The fees assessed against this newly established IRA by its provider will be paid by the participant.</w:t>
      </w:r>
    </w:p>
    <w:p>
      <w:pPr>
        <w:spacing w:after="0" w:line="188"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u w:val="single" w:color="auto"/>
          <w:color w:val="auto"/>
        </w:rPr>
        <w:t>Plan Termination</w:t>
      </w:r>
    </w:p>
    <w:p>
      <w:pPr>
        <w:spacing w:after="0" w:line="90" w:lineRule="exact"/>
        <w:rPr>
          <w:sz w:val="20"/>
          <w:szCs w:val="20"/>
          <w:color w:val="auto"/>
        </w:rPr>
      </w:pPr>
    </w:p>
    <w:p>
      <w:pPr>
        <w:ind w:right="20"/>
        <w:spacing w:after="0" w:line="332" w:lineRule="auto"/>
        <w:rPr>
          <w:sz w:val="20"/>
          <w:szCs w:val="20"/>
          <w:color w:val="auto"/>
        </w:rPr>
      </w:pPr>
      <w:r>
        <w:rPr>
          <w:rFonts w:ascii="Arial" w:cs="Arial" w:eastAsia="Arial" w:hAnsi="Arial"/>
          <w:sz w:val="16"/>
          <w:szCs w:val="16"/>
          <w:color w:val="auto"/>
        </w:rPr>
        <w:t>Although it has not expressed any intent to do so, the Company has the right under the Plan to discontinue its contributions at any time and to terminate the Plan subject to the provisions of ERISA. In the event of a plan termination, participants will become 100% vested in their accounts.</w:t>
      </w:r>
    </w:p>
    <w:p>
      <w:pPr>
        <w:spacing w:after="0" w:line="16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Note 2 - </w:t>
      </w:r>
      <w:r>
        <w:rPr>
          <w:rFonts w:ascii="Arial" w:cs="Arial" w:eastAsia="Arial" w:hAnsi="Arial"/>
          <w:sz w:val="18"/>
          <w:szCs w:val="18"/>
          <w:b w:val="1"/>
          <w:bCs w:val="1"/>
          <w:u w:val="single" w:color="auto"/>
          <w:color w:val="auto"/>
        </w:rPr>
        <w:t>Summary of Significant Accounting Policies</w:t>
      </w:r>
    </w:p>
    <w:p>
      <w:pPr>
        <w:spacing w:after="0" w:line="177"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u w:val="single" w:color="auto"/>
          <w:color w:val="auto"/>
        </w:rPr>
        <w:t>Basis of Accounting</w:t>
      </w:r>
    </w:p>
    <w:p>
      <w:pPr>
        <w:spacing w:after="0" w:line="90" w:lineRule="exact"/>
        <w:rPr>
          <w:sz w:val="20"/>
          <w:szCs w:val="20"/>
          <w:color w:val="auto"/>
        </w:rPr>
      </w:pPr>
    </w:p>
    <w:p>
      <w:pPr>
        <w:spacing w:after="0"/>
        <w:rPr>
          <w:sz w:val="20"/>
          <w:szCs w:val="20"/>
          <w:color w:val="auto"/>
        </w:rPr>
      </w:pPr>
      <w:r>
        <w:rPr>
          <w:rFonts w:ascii="Arial" w:cs="Arial" w:eastAsia="Arial" w:hAnsi="Arial"/>
          <w:sz w:val="18"/>
          <w:szCs w:val="18"/>
          <w:color w:val="auto"/>
        </w:rPr>
        <w:t>The financial statements have been prepared on the accrual basis of accounting</w:t>
      </w:r>
    </w:p>
    <w:p>
      <w:pPr>
        <w:spacing w:after="0" w:line="171" w:lineRule="exact"/>
        <w:rPr>
          <w:sz w:val="20"/>
          <w:szCs w:val="20"/>
          <w:color w:val="auto"/>
        </w:rPr>
      </w:pPr>
    </w:p>
    <w:p>
      <w:pPr>
        <w:ind w:right="80"/>
        <w:spacing w:after="0" w:line="294" w:lineRule="auto"/>
        <w:rPr>
          <w:sz w:val="20"/>
          <w:szCs w:val="20"/>
          <w:color w:val="auto"/>
        </w:rPr>
      </w:pPr>
      <w:r>
        <w:rPr>
          <w:rFonts w:ascii="Arial" w:cs="Arial" w:eastAsia="Arial" w:hAnsi="Arial"/>
          <w:sz w:val="16"/>
          <w:szCs w:val="16"/>
          <w:color w:val="auto"/>
        </w:rPr>
        <w:t>The Fidelity Advisor Stable Value Fund invests in fully benefit-responsive investment contracts which are reported at fair value (see Note 5); however, contract value is the relevant measurement attribute for that portion of the net assets available for benefits attributable to fully benefit-responsive investment contracts because contract value is the amount participants would receive if they were to initiate permitted transactions under the terms of the Plan. The Statement of Net Assets Available for Benefits presents the fair value of the investment contracts as well as the adjustment of the fully benefit-responsive investment contracts from fair value to contract value. The Statement of Changes in Net Assets Available for Benefits is prepared on a contract value basis.</w:t>
      </w:r>
    </w:p>
    <w:p>
      <w:pPr>
        <w:spacing w:after="0" w:line="102"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7</w:t>
      </w:r>
    </w:p>
    <w:p>
      <w:pPr>
        <w:sectPr>
          <w:pgSz w:w="11900" w:h="16838" w:orient="portrait"/>
          <w:cols w:equalWidth="0" w:num="1">
            <w:col w:w="11300"/>
          </w:cols>
          <w:pgMar w:left="240" w:top="459" w:right="359" w:bottom="1440" w:gutter="0" w:footer="0" w:header="0"/>
        </w:sectPr>
      </w:pPr>
    </w:p>
    <w:bookmarkStart w:id="9" w:name="page10"/>
    <w:bookmarkEnd w:id="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199"/>
        <w:spacing w:after="0"/>
        <w:rPr>
          <w:sz w:val="20"/>
          <w:szCs w:val="20"/>
          <w:color w:val="auto"/>
        </w:rPr>
      </w:pPr>
      <w:r>
        <w:rPr>
          <w:rFonts w:ascii="Arial" w:cs="Arial" w:eastAsia="Arial" w:hAnsi="Arial"/>
          <w:sz w:val="18"/>
          <w:szCs w:val="18"/>
          <w:b w:val="1"/>
          <w:bCs w:val="1"/>
          <w:color w:val="auto"/>
        </w:rPr>
        <w:t>Casual Male Retail Group, Inc. 401(k) Hourly Savings Plan</w:t>
      </w:r>
    </w:p>
    <w:p>
      <w:pPr>
        <w:spacing w:after="0" w:line="90" w:lineRule="exact"/>
        <w:rPr>
          <w:sz w:val="20"/>
          <w:szCs w:val="20"/>
          <w:color w:val="auto"/>
        </w:rPr>
      </w:pPr>
    </w:p>
    <w:p>
      <w:pPr>
        <w:jc w:val="center"/>
        <w:ind w:right="-199"/>
        <w:spacing w:after="0"/>
        <w:rPr>
          <w:sz w:val="20"/>
          <w:szCs w:val="20"/>
          <w:color w:val="auto"/>
        </w:rPr>
      </w:pPr>
      <w:r>
        <w:rPr>
          <w:rFonts w:ascii="Arial" w:cs="Arial" w:eastAsia="Arial" w:hAnsi="Arial"/>
          <w:sz w:val="18"/>
          <w:szCs w:val="18"/>
          <w:b w:val="1"/>
          <w:bCs w:val="1"/>
          <w:color w:val="auto"/>
        </w:rPr>
        <w:t>Notes to Financial Statements—(Continued)</w:t>
      </w:r>
    </w:p>
    <w:p>
      <w:pPr>
        <w:spacing w:after="0" w:line="15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Note 2 - </w:t>
      </w:r>
      <w:r>
        <w:rPr>
          <w:rFonts w:ascii="Arial" w:cs="Arial" w:eastAsia="Arial" w:hAnsi="Arial"/>
          <w:sz w:val="18"/>
          <w:szCs w:val="18"/>
          <w:b w:val="1"/>
          <w:bCs w:val="1"/>
          <w:u w:val="single" w:color="auto"/>
          <w:color w:val="auto"/>
        </w:rPr>
        <w:t>Summary of Significant Accounting Policies (continued)</w:t>
      </w:r>
    </w:p>
    <w:p>
      <w:pPr>
        <w:spacing w:after="0" w:line="164"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u w:val="single" w:color="auto"/>
          <w:color w:val="auto"/>
        </w:rPr>
        <w:t>Investment Valuation and Income Recognition</w:t>
      </w:r>
    </w:p>
    <w:p>
      <w:pPr>
        <w:spacing w:after="0" w:line="90" w:lineRule="exact"/>
        <w:rPr>
          <w:sz w:val="20"/>
          <w:szCs w:val="20"/>
          <w:color w:val="auto"/>
        </w:rPr>
      </w:pPr>
    </w:p>
    <w:p>
      <w:pPr>
        <w:ind w:right="80"/>
        <w:spacing w:after="0" w:line="332" w:lineRule="auto"/>
        <w:rPr>
          <w:sz w:val="20"/>
          <w:szCs w:val="20"/>
          <w:color w:val="auto"/>
        </w:rPr>
      </w:pPr>
      <w:r>
        <w:rPr>
          <w:rFonts w:ascii="Arial" w:cs="Arial" w:eastAsia="Arial" w:hAnsi="Arial"/>
          <w:sz w:val="16"/>
          <w:szCs w:val="16"/>
          <w:color w:val="auto"/>
        </w:rPr>
        <w:t>Investments are stated at fair value. Fair value is the price that would be received to sell an asset or paid to transfer a liability in an orderly transaction between market participants at the measurement date (an exit price). See Note 5 for further discussion of fair value measurement.</w:t>
      </w:r>
    </w:p>
    <w:p>
      <w:pPr>
        <w:spacing w:after="0" w:line="85" w:lineRule="exact"/>
        <w:rPr>
          <w:sz w:val="20"/>
          <w:szCs w:val="20"/>
          <w:color w:val="auto"/>
        </w:rPr>
      </w:pPr>
    </w:p>
    <w:p>
      <w:pPr>
        <w:ind w:right="40"/>
        <w:spacing w:after="0" w:line="332" w:lineRule="auto"/>
        <w:rPr>
          <w:sz w:val="20"/>
          <w:szCs w:val="20"/>
          <w:color w:val="auto"/>
        </w:rPr>
      </w:pPr>
      <w:r>
        <w:rPr>
          <w:rFonts w:ascii="Arial" w:cs="Arial" w:eastAsia="Arial" w:hAnsi="Arial"/>
          <w:sz w:val="16"/>
          <w:szCs w:val="16"/>
          <w:color w:val="auto"/>
        </w:rPr>
        <w:t>Purchases and sales of securities are recorded on a trade-date basis. Interest income is recorded on the accrual basis. Dividends are recorded on the ex-dividend date. Net appreciation includes the plan’s gains and losses on investments bought and sold as well as held during the year.</w:t>
      </w:r>
    </w:p>
    <w:p>
      <w:pPr>
        <w:spacing w:after="0" w:line="166"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u w:val="single" w:color="auto"/>
          <w:color w:val="auto"/>
        </w:rPr>
        <w:t>Use of Estimates</w:t>
      </w:r>
    </w:p>
    <w:p>
      <w:pPr>
        <w:spacing w:after="0" w:line="90" w:lineRule="exact"/>
        <w:rPr>
          <w:sz w:val="20"/>
          <w:szCs w:val="20"/>
          <w:color w:val="auto"/>
        </w:rPr>
      </w:pPr>
    </w:p>
    <w:p>
      <w:pPr>
        <w:ind w:right="80"/>
        <w:spacing w:after="0" w:line="259" w:lineRule="auto"/>
        <w:rPr>
          <w:sz w:val="20"/>
          <w:szCs w:val="20"/>
          <w:color w:val="auto"/>
        </w:rPr>
      </w:pPr>
      <w:r>
        <w:rPr>
          <w:rFonts w:ascii="Arial" w:cs="Arial" w:eastAsia="Arial" w:hAnsi="Arial"/>
          <w:sz w:val="18"/>
          <w:szCs w:val="18"/>
          <w:color w:val="auto"/>
        </w:rPr>
        <w:t>The preparation of financial statements in conformity with accounting principles generally accepted in the United States of America requires management to make estimates and assumptions that affect the reported amounts of assets and liabilities and changes therein and disclosure of contingent assets and liabilities. Actual results could differ from those estimates.</w:t>
      </w:r>
    </w:p>
    <w:p>
      <w:pPr>
        <w:spacing w:after="0" w:line="221"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u w:val="single" w:color="auto"/>
          <w:color w:val="auto"/>
        </w:rPr>
        <w:t>Payment of Benefits</w:t>
      </w:r>
    </w:p>
    <w:p>
      <w:pPr>
        <w:spacing w:after="0" w:line="90" w:lineRule="exact"/>
        <w:rPr>
          <w:sz w:val="20"/>
          <w:szCs w:val="20"/>
          <w:color w:val="auto"/>
        </w:rPr>
      </w:pPr>
    </w:p>
    <w:p>
      <w:pPr>
        <w:spacing w:after="0"/>
        <w:rPr>
          <w:sz w:val="20"/>
          <w:szCs w:val="20"/>
          <w:color w:val="auto"/>
        </w:rPr>
      </w:pPr>
      <w:r>
        <w:rPr>
          <w:rFonts w:ascii="Arial" w:cs="Arial" w:eastAsia="Arial" w:hAnsi="Arial"/>
          <w:sz w:val="18"/>
          <w:szCs w:val="18"/>
          <w:color w:val="auto"/>
        </w:rPr>
        <w:t>Benefits are recorded when paid.</w:t>
      </w:r>
    </w:p>
    <w:p>
      <w:pPr>
        <w:spacing w:after="0" w:line="252"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u w:val="single" w:color="auto"/>
          <w:color w:val="auto"/>
        </w:rPr>
        <w:t>Recent Accounting Pronouncement</w:t>
      </w:r>
    </w:p>
    <w:p>
      <w:pPr>
        <w:spacing w:after="0" w:line="90" w:lineRule="exact"/>
        <w:rPr>
          <w:sz w:val="20"/>
          <w:szCs w:val="20"/>
          <w:color w:val="auto"/>
        </w:rPr>
      </w:pPr>
    </w:p>
    <w:p>
      <w:pPr>
        <w:spacing w:after="0" w:line="312" w:lineRule="auto"/>
        <w:rPr>
          <w:sz w:val="20"/>
          <w:szCs w:val="20"/>
          <w:color w:val="auto"/>
        </w:rPr>
      </w:pPr>
      <w:r>
        <w:rPr>
          <w:rFonts w:ascii="Arial" w:cs="Arial" w:eastAsia="Arial" w:hAnsi="Arial"/>
          <w:sz w:val="15"/>
          <w:szCs w:val="15"/>
          <w:color w:val="auto"/>
        </w:rPr>
        <w:t xml:space="preserve">In January 2010, Financial Accounting Standards Board (“FASB”) issued Accounting Standards Update (“ASU”) 2010-06, </w:t>
      </w:r>
      <w:r>
        <w:rPr>
          <w:rFonts w:ascii="Arial" w:cs="Arial" w:eastAsia="Arial" w:hAnsi="Arial"/>
          <w:sz w:val="15"/>
          <w:szCs w:val="15"/>
          <w:i w:val="1"/>
          <w:iCs w:val="1"/>
          <w:color w:val="auto"/>
        </w:rPr>
        <w:t>Improving Disclosures about Fair</w:t>
      </w:r>
      <w:r>
        <w:rPr>
          <w:rFonts w:ascii="Arial" w:cs="Arial" w:eastAsia="Arial" w:hAnsi="Arial"/>
          <w:sz w:val="15"/>
          <w:szCs w:val="15"/>
          <w:color w:val="auto"/>
        </w:rPr>
        <w:t xml:space="preserve"> </w:t>
      </w:r>
      <w:r>
        <w:rPr>
          <w:rFonts w:ascii="Arial" w:cs="Arial" w:eastAsia="Arial" w:hAnsi="Arial"/>
          <w:sz w:val="15"/>
          <w:szCs w:val="15"/>
          <w:i w:val="1"/>
          <w:iCs w:val="1"/>
          <w:color w:val="auto"/>
        </w:rPr>
        <w:t>Measurements</w:t>
      </w:r>
      <w:r>
        <w:rPr>
          <w:rFonts w:ascii="Arial" w:cs="Arial" w:eastAsia="Arial" w:hAnsi="Arial"/>
          <w:sz w:val="15"/>
          <w:szCs w:val="15"/>
          <w:color w:val="auto"/>
        </w:rPr>
        <w:t>, which provides amendments to subtopic 820-10 that require separate disclosure of significant transfers in and out of Level 1 and Level 2 fair</w:t>
      </w:r>
      <w:r>
        <w:rPr>
          <w:rFonts w:ascii="Arial" w:cs="Arial" w:eastAsia="Arial" w:hAnsi="Arial"/>
          <w:sz w:val="15"/>
          <w:szCs w:val="15"/>
          <w:i w:val="1"/>
          <w:iCs w:val="1"/>
          <w:color w:val="auto"/>
        </w:rPr>
        <w:t xml:space="preserve"> </w:t>
      </w:r>
      <w:r>
        <w:rPr>
          <w:rFonts w:ascii="Arial" w:cs="Arial" w:eastAsia="Arial" w:hAnsi="Arial"/>
          <w:sz w:val="15"/>
          <w:szCs w:val="15"/>
          <w:color w:val="auto"/>
        </w:rPr>
        <w:t>value measurements and the presentation of separate information regarding purchases, sales, issuances and settlements for Level 3 fair value measurements. Additionally, ASU 2010-06 provides amendments to subtopic 820-10 that clarify existing disclosures about the level of disaggregation and inputs and valuation techniques. ASU 2010-06 is effective for financial statements issued for interim and annual periods ending after December 15, 2009, except for the disclosures about purchases, sales, issuances and settlements in the rollforward of activity in Level 3 fair value measurements, which are effective for interim and annual periods ending after December 15, 2010. The Plan is currently evaluating the impact of ASU 2010-06 on its financial statements.</w:t>
      </w:r>
    </w:p>
    <w:p>
      <w:pPr>
        <w:spacing w:after="0" w:line="92"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auto"/>
        </w:rPr>
        <w:t>8</w:t>
      </w:r>
    </w:p>
    <w:p>
      <w:pPr>
        <w:sectPr>
          <w:pgSz w:w="11900" w:h="16838" w:orient="portrait"/>
          <w:cols w:equalWidth="0" w:num="1">
            <w:col w:w="11240"/>
          </w:cols>
          <w:pgMar w:left="240" w:top="459" w:right="419" w:bottom="1440" w:gutter="0" w:footer="0" w:header="0"/>
        </w:sectPr>
      </w:pPr>
    </w:p>
    <w:bookmarkStart w:id="10" w:name="page11"/>
    <w:bookmarkEnd w:id="1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319"/>
        <w:spacing w:after="0"/>
        <w:rPr>
          <w:sz w:val="20"/>
          <w:szCs w:val="20"/>
          <w:color w:val="auto"/>
        </w:rPr>
      </w:pPr>
      <w:r>
        <w:rPr>
          <w:rFonts w:ascii="Arial" w:cs="Arial" w:eastAsia="Arial" w:hAnsi="Arial"/>
          <w:sz w:val="18"/>
          <w:szCs w:val="18"/>
          <w:b w:val="1"/>
          <w:bCs w:val="1"/>
          <w:color w:val="auto"/>
        </w:rPr>
        <w:t>Casual Male Retail Group, Inc. 401(k) Hourly Savings Plan</w:t>
      </w:r>
    </w:p>
    <w:p>
      <w:pPr>
        <w:spacing w:after="0" w:line="90" w:lineRule="exact"/>
        <w:rPr>
          <w:sz w:val="20"/>
          <w:szCs w:val="20"/>
          <w:color w:val="auto"/>
        </w:rPr>
      </w:pPr>
    </w:p>
    <w:p>
      <w:pPr>
        <w:jc w:val="center"/>
        <w:ind w:right="-319"/>
        <w:spacing w:after="0"/>
        <w:rPr>
          <w:sz w:val="20"/>
          <w:szCs w:val="20"/>
          <w:color w:val="auto"/>
        </w:rPr>
      </w:pPr>
      <w:r>
        <w:rPr>
          <w:rFonts w:ascii="Arial" w:cs="Arial" w:eastAsia="Arial" w:hAnsi="Arial"/>
          <w:sz w:val="18"/>
          <w:szCs w:val="18"/>
          <w:b w:val="1"/>
          <w:bCs w:val="1"/>
          <w:color w:val="auto"/>
        </w:rPr>
        <w:t>Notes to Financial Statements—(Continued)</w:t>
      </w:r>
    </w:p>
    <w:p>
      <w:pPr>
        <w:spacing w:after="0" w:line="15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Note 3- </w:t>
      </w:r>
      <w:r>
        <w:rPr>
          <w:rFonts w:ascii="Arial" w:cs="Arial" w:eastAsia="Arial" w:hAnsi="Arial"/>
          <w:sz w:val="18"/>
          <w:szCs w:val="18"/>
          <w:b w:val="1"/>
          <w:bCs w:val="1"/>
          <w:u w:val="single" w:color="auto"/>
          <w:color w:val="auto"/>
        </w:rPr>
        <w:t>Investments</w:t>
      </w:r>
    </w:p>
    <w:p>
      <w:pPr>
        <w:spacing w:after="0" w:line="96" w:lineRule="exact"/>
        <w:rPr>
          <w:sz w:val="20"/>
          <w:szCs w:val="20"/>
          <w:color w:val="auto"/>
        </w:rPr>
      </w:pPr>
    </w:p>
    <w:p>
      <w:pPr>
        <w:spacing w:after="0"/>
        <w:rPr>
          <w:sz w:val="20"/>
          <w:szCs w:val="20"/>
          <w:color w:val="auto"/>
        </w:rPr>
      </w:pPr>
      <w:r>
        <w:rPr>
          <w:rFonts w:ascii="Arial" w:cs="Arial" w:eastAsia="Arial" w:hAnsi="Arial"/>
          <w:sz w:val="16"/>
          <w:szCs w:val="16"/>
          <w:color w:val="auto"/>
        </w:rPr>
        <w:t>During 2009, the Plan’s investments (including investments purchased, sold as well as held during the year) appreciated in fair value as follows:</w:t>
      </w:r>
    </w:p>
    <w:p>
      <w:pPr>
        <w:spacing w:after="0" w:line="21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60" w:type="dxa"/>
            <w:vAlign w:val="bottom"/>
          </w:tcPr>
          <w:p>
            <w:pPr>
              <w:spacing w:after="0"/>
              <w:rPr>
                <w:sz w:val="14"/>
                <w:szCs w:val="14"/>
                <w:color w:val="auto"/>
              </w:rPr>
            </w:pPr>
          </w:p>
        </w:tc>
        <w:tc>
          <w:tcPr>
            <w:tcW w:w="1380" w:type="dxa"/>
            <w:vAlign w:val="bottom"/>
          </w:tcPr>
          <w:p>
            <w:pPr>
              <w:spacing w:after="0"/>
              <w:rPr>
                <w:sz w:val="14"/>
                <w:szCs w:val="14"/>
                <w:color w:val="auto"/>
              </w:rPr>
            </w:pPr>
          </w:p>
        </w:tc>
        <w:tc>
          <w:tcPr>
            <w:tcW w:w="53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900" w:type="dxa"/>
            <w:vAlign w:val="bottom"/>
            <w:gridSpan w:val="8"/>
          </w:tcPr>
          <w:p>
            <w:pPr>
              <w:jc w:val="center"/>
              <w:ind w:right="800"/>
              <w:spacing w:after="0"/>
              <w:rPr>
                <w:sz w:val="20"/>
                <w:szCs w:val="20"/>
                <w:color w:val="auto"/>
              </w:rPr>
            </w:pPr>
            <w:r>
              <w:rPr>
                <w:rFonts w:ascii="Arial" w:cs="Arial" w:eastAsia="Arial" w:hAnsi="Arial"/>
                <w:sz w:val="14"/>
                <w:szCs w:val="14"/>
                <w:b w:val="1"/>
                <w:bCs w:val="1"/>
                <w:color w:val="auto"/>
                <w:w w:val="87"/>
              </w:rPr>
              <w:t>Net Appreciation</w:t>
            </w:r>
          </w:p>
        </w:tc>
        <w:tc>
          <w:tcPr>
            <w:tcW w:w="3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460" w:type="dxa"/>
            <w:vAlign w:val="bottom"/>
          </w:tcPr>
          <w:p>
            <w:pPr>
              <w:spacing w:after="0"/>
              <w:rPr>
                <w:sz w:val="12"/>
                <w:szCs w:val="12"/>
                <w:color w:val="auto"/>
              </w:rPr>
            </w:pPr>
          </w:p>
        </w:tc>
        <w:tc>
          <w:tcPr>
            <w:tcW w:w="1380" w:type="dxa"/>
            <w:vAlign w:val="bottom"/>
          </w:tcPr>
          <w:p>
            <w:pPr>
              <w:spacing w:after="0"/>
              <w:rPr>
                <w:sz w:val="12"/>
                <w:szCs w:val="12"/>
                <w:color w:val="auto"/>
              </w:rPr>
            </w:pPr>
          </w:p>
        </w:tc>
        <w:tc>
          <w:tcPr>
            <w:tcW w:w="53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820" w:type="dxa"/>
            <w:vAlign w:val="bottom"/>
            <w:gridSpan w:val="7"/>
          </w:tcPr>
          <w:p>
            <w:pPr>
              <w:jc w:val="center"/>
              <w:ind w:right="880"/>
              <w:spacing w:after="0" w:line="149" w:lineRule="exact"/>
              <w:rPr>
                <w:sz w:val="20"/>
                <w:szCs w:val="20"/>
                <w:color w:val="auto"/>
              </w:rPr>
            </w:pPr>
            <w:r>
              <w:rPr>
                <w:rFonts w:ascii="Arial" w:cs="Arial" w:eastAsia="Arial" w:hAnsi="Arial"/>
                <w:sz w:val="14"/>
                <w:szCs w:val="14"/>
                <w:b w:val="1"/>
                <w:bCs w:val="1"/>
                <w:color w:val="auto"/>
                <w:w w:val="89"/>
              </w:rPr>
              <w:t>in Fair Value of</w:t>
            </w:r>
          </w:p>
        </w:tc>
        <w:tc>
          <w:tcPr>
            <w:tcW w:w="3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1"/>
        </w:trPr>
        <w:tc>
          <w:tcPr>
            <w:tcW w:w="460" w:type="dxa"/>
            <w:vAlign w:val="bottom"/>
          </w:tcPr>
          <w:p>
            <w:pPr>
              <w:spacing w:after="0"/>
              <w:rPr>
                <w:sz w:val="14"/>
                <w:szCs w:val="14"/>
                <w:color w:val="auto"/>
              </w:rPr>
            </w:pPr>
          </w:p>
        </w:tc>
        <w:tc>
          <w:tcPr>
            <w:tcW w:w="1380" w:type="dxa"/>
            <w:vAlign w:val="bottom"/>
          </w:tcPr>
          <w:p>
            <w:pPr>
              <w:spacing w:after="0"/>
              <w:rPr>
                <w:sz w:val="14"/>
                <w:szCs w:val="14"/>
                <w:color w:val="auto"/>
              </w:rPr>
            </w:pPr>
          </w:p>
        </w:tc>
        <w:tc>
          <w:tcPr>
            <w:tcW w:w="53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900" w:type="dxa"/>
            <w:vAlign w:val="bottom"/>
            <w:tcBorders>
              <w:bottom w:val="single" w:sz="8" w:color="auto"/>
            </w:tcBorders>
            <w:gridSpan w:val="4"/>
          </w:tcPr>
          <w:p>
            <w:pPr>
              <w:jc w:val="center"/>
              <w:ind w:right="52"/>
              <w:spacing w:after="0"/>
              <w:rPr>
                <w:sz w:val="20"/>
                <w:szCs w:val="20"/>
                <w:color w:val="auto"/>
              </w:rPr>
            </w:pPr>
            <w:r>
              <w:rPr>
                <w:rFonts w:ascii="Arial" w:cs="Arial" w:eastAsia="Arial" w:hAnsi="Arial"/>
                <w:sz w:val="14"/>
                <w:szCs w:val="14"/>
                <w:b w:val="1"/>
                <w:bCs w:val="1"/>
                <w:color w:val="auto"/>
                <w:w w:val="85"/>
              </w:rPr>
              <w:t>Investments</w:t>
            </w:r>
          </w:p>
        </w:tc>
        <w:tc>
          <w:tcPr>
            <w:tcW w:w="840" w:type="dxa"/>
            <w:vAlign w:val="bottom"/>
            <w:gridSpan w:val="2"/>
          </w:tcPr>
          <w:p>
            <w:pPr>
              <w:spacing w:after="0"/>
              <w:rPr>
                <w:sz w:val="14"/>
                <w:szCs w:val="14"/>
                <w:color w:val="auto"/>
              </w:rPr>
            </w:pPr>
          </w:p>
        </w:tc>
        <w:tc>
          <w:tcPr>
            <w:tcW w:w="3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46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5360" w:type="dxa"/>
            <w:vAlign w:val="bottom"/>
            <w:shd w:val="clear" w:color="auto" w:fill="CCEEFF"/>
          </w:tcPr>
          <w:p>
            <w:pPr>
              <w:spacing w:after="0"/>
              <w:rPr>
                <w:sz w:val="20"/>
                <w:szCs w:val="20"/>
                <w:color w:val="auto"/>
              </w:rPr>
            </w:pPr>
            <w:r>
              <w:rPr>
                <w:rFonts w:ascii="Arial" w:cs="Arial" w:eastAsia="Arial" w:hAnsi="Arial"/>
                <w:sz w:val="18"/>
                <w:szCs w:val="18"/>
                <w:color w:val="auto"/>
              </w:rPr>
              <w:t>Mutual funds</w:t>
            </w:r>
          </w:p>
        </w:tc>
        <w:tc>
          <w:tcPr>
            <w:tcW w:w="24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00" w:type="dxa"/>
            <w:vAlign w:val="bottom"/>
            <w:gridSpan w:val="4"/>
            <w:shd w:val="clear" w:color="auto" w:fill="CCEEFF"/>
          </w:tcPr>
          <w:p>
            <w:pPr>
              <w:jc w:val="right"/>
              <w:spacing w:after="0"/>
              <w:rPr>
                <w:sz w:val="20"/>
                <w:szCs w:val="20"/>
                <w:color w:val="auto"/>
              </w:rPr>
            </w:pPr>
            <w:r>
              <w:rPr>
                <w:rFonts w:ascii="Arial" w:cs="Arial" w:eastAsia="Arial" w:hAnsi="Arial"/>
                <w:sz w:val="18"/>
                <w:szCs w:val="18"/>
                <w:color w:val="auto"/>
              </w:rPr>
              <w:t>1,325,636</w:t>
            </w:r>
          </w:p>
        </w:tc>
        <w:tc>
          <w:tcPr>
            <w:tcW w:w="5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460" w:type="dxa"/>
            <w:vAlign w:val="bottom"/>
          </w:tcPr>
          <w:p>
            <w:pPr>
              <w:spacing w:after="0"/>
              <w:rPr>
                <w:sz w:val="19"/>
                <w:szCs w:val="19"/>
                <w:color w:val="auto"/>
              </w:rPr>
            </w:pPr>
          </w:p>
        </w:tc>
        <w:tc>
          <w:tcPr>
            <w:tcW w:w="1380" w:type="dxa"/>
            <w:vAlign w:val="bottom"/>
          </w:tcPr>
          <w:p>
            <w:pPr>
              <w:spacing w:after="0"/>
              <w:rPr>
                <w:sz w:val="19"/>
                <w:szCs w:val="19"/>
                <w:color w:val="auto"/>
              </w:rPr>
            </w:pPr>
          </w:p>
        </w:tc>
        <w:tc>
          <w:tcPr>
            <w:tcW w:w="5360" w:type="dxa"/>
            <w:vAlign w:val="bottom"/>
          </w:tcPr>
          <w:p>
            <w:pPr>
              <w:spacing w:after="0"/>
              <w:rPr>
                <w:sz w:val="20"/>
                <w:szCs w:val="20"/>
                <w:color w:val="auto"/>
              </w:rPr>
            </w:pPr>
            <w:r>
              <w:rPr>
                <w:rFonts w:ascii="Arial" w:cs="Arial" w:eastAsia="Arial" w:hAnsi="Arial"/>
                <w:sz w:val="18"/>
                <w:szCs w:val="18"/>
                <w:color w:val="auto"/>
              </w:rPr>
              <w:t>Common Stock</w:t>
            </w:r>
          </w:p>
        </w:tc>
        <w:tc>
          <w:tcPr>
            <w:tcW w:w="24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60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color w:val="auto"/>
                <w:w w:val="89"/>
              </w:rPr>
              <w:t>143,144</w:t>
            </w:r>
          </w:p>
        </w:tc>
        <w:tc>
          <w:tcPr>
            <w:tcW w:w="5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46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53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00" w:type="dxa"/>
            <w:vAlign w:val="bottom"/>
            <w:gridSpan w:val="4"/>
            <w:shd w:val="clear" w:color="auto" w:fill="CCEEFF"/>
          </w:tcPr>
          <w:p>
            <w:pPr>
              <w:jc w:val="right"/>
              <w:spacing w:after="0"/>
              <w:rPr>
                <w:sz w:val="20"/>
                <w:szCs w:val="20"/>
                <w:color w:val="auto"/>
              </w:rPr>
            </w:pPr>
            <w:r>
              <w:rPr>
                <w:rFonts w:ascii="Arial" w:cs="Arial" w:eastAsia="Arial" w:hAnsi="Arial"/>
                <w:sz w:val="18"/>
                <w:szCs w:val="18"/>
                <w:color w:val="auto"/>
              </w:rPr>
              <w:t>1,468,780</w:t>
            </w:r>
          </w:p>
        </w:tc>
        <w:tc>
          <w:tcPr>
            <w:tcW w:w="5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7200" w:type="dxa"/>
            <w:vAlign w:val="bottom"/>
            <w:gridSpan w:val="3"/>
            <w:vMerge w:val="restart"/>
          </w:tcPr>
          <w:p>
            <w:pPr>
              <w:spacing w:after="0"/>
              <w:rPr>
                <w:sz w:val="20"/>
                <w:szCs w:val="20"/>
                <w:color w:val="auto"/>
              </w:rPr>
            </w:pPr>
            <w:r>
              <w:rPr>
                <w:rFonts w:ascii="Arial" w:cs="Arial" w:eastAsia="Arial" w:hAnsi="Arial"/>
                <w:sz w:val="18"/>
                <w:szCs w:val="18"/>
                <w:color w:val="auto"/>
                <w:w w:val="90"/>
              </w:rPr>
              <w:t>Investments that represent 5% or more of the Plan’s net assets available for benefits are as follows:</w:t>
            </w:r>
          </w:p>
        </w:tc>
        <w:tc>
          <w:tcPr>
            <w:tcW w:w="24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70"/>
        </w:trPr>
        <w:tc>
          <w:tcPr>
            <w:tcW w:w="7200" w:type="dxa"/>
            <w:vAlign w:val="bottom"/>
            <w:gridSpan w:val="3"/>
            <w:vMerge w:val="continue"/>
          </w:tcPr>
          <w:p>
            <w:pPr>
              <w:spacing w:after="0"/>
              <w:rPr>
                <w:sz w:val="24"/>
                <w:szCs w:val="24"/>
                <w:color w:val="auto"/>
              </w:rPr>
            </w:pPr>
          </w:p>
        </w:tc>
        <w:tc>
          <w:tcPr>
            <w:tcW w:w="24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53"/>
        </w:trPr>
        <w:tc>
          <w:tcPr>
            <w:tcW w:w="46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53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00" w:type="dxa"/>
            <w:vAlign w:val="bottom"/>
            <w:tcBorders>
              <w:bottom w:val="single" w:sz="8" w:color="auto"/>
            </w:tcBorders>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1740" w:type="dxa"/>
            <w:vAlign w:val="bottom"/>
            <w:tcBorders>
              <w:bottom w:val="single" w:sz="8" w:color="auto"/>
            </w:tcBorders>
            <w:gridSpan w:val="6"/>
          </w:tcPr>
          <w:p>
            <w:pPr>
              <w:jc w:val="center"/>
              <w:ind w:right="920"/>
              <w:spacing w:after="0"/>
              <w:rPr>
                <w:sz w:val="20"/>
                <w:szCs w:val="20"/>
                <w:color w:val="auto"/>
              </w:rPr>
            </w:pPr>
            <w:r>
              <w:rPr>
                <w:rFonts w:ascii="Arial" w:cs="Arial" w:eastAsia="Arial" w:hAnsi="Arial"/>
                <w:sz w:val="14"/>
                <w:szCs w:val="14"/>
                <w:b w:val="1"/>
                <w:bCs w:val="1"/>
                <w:color w:val="auto"/>
                <w:w w:val="85"/>
              </w:rPr>
              <w:t>December 31,</w:t>
            </w:r>
          </w:p>
        </w:tc>
        <w:tc>
          <w:tcPr>
            <w:tcW w:w="320" w:type="dxa"/>
            <w:vAlign w:val="bottom"/>
            <w:tcBorders>
              <w:bottom w:val="single" w:sz="8" w:color="auto"/>
            </w:tcBorders>
          </w:tcPr>
          <w:p>
            <w:pPr>
              <w:spacing w:after="0"/>
              <w:rPr>
                <w:sz w:val="24"/>
                <w:szCs w:val="24"/>
                <w:color w:val="auto"/>
              </w:rPr>
            </w:pPr>
          </w:p>
        </w:tc>
        <w:tc>
          <w:tcPr>
            <w:tcW w:w="2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42"/>
        </w:trPr>
        <w:tc>
          <w:tcPr>
            <w:tcW w:w="460" w:type="dxa"/>
            <w:vAlign w:val="bottom"/>
          </w:tcPr>
          <w:p>
            <w:pPr>
              <w:spacing w:after="0"/>
              <w:rPr>
                <w:sz w:val="12"/>
                <w:szCs w:val="12"/>
                <w:color w:val="auto"/>
              </w:rPr>
            </w:pPr>
          </w:p>
        </w:tc>
        <w:tc>
          <w:tcPr>
            <w:tcW w:w="1380" w:type="dxa"/>
            <w:vAlign w:val="bottom"/>
          </w:tcPr>
          <w:p>
            <w:pPr>
              <w:spacing w:after="0"/>
              <w:rPr>
                <w:sz w:val="12"/>
                <w:szCs w:val="12"/>
                <w:color w:val="auto"/>
              </w:rPr>
            </w:pPr>
          </w:p>
        </w:tc>
        <w:tc>
          <w:tcPr>
            <w:tcW w:w="53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100" w:type="dxa"/>
            <w:vAlign w:val="bottom"/>
            <w:tcBorders>
              <w:bottom w:val="single" w:sz="8" w:color="auto"/>
            </w:tcBorders>
            <w:gridSpan w:val="2"/>
          </w:tcPr>
          <w:p>
            <w:pPr>
              <w:jc w:val="right"/>
              <w:ind w:right="260"/>
              <w:spacing w:after="0" w:line="142" w:lineRule="exact"/>
              <w:rPr>
                <w:sz w:val="20"/>
                <w:szCs w:val="20"/>
                <w:color w:val="auto"/>
              </w:rPr>
            </w:pPr>
            <w:r>
              <w:rPr>
                <w:rFonts w:ascii="Arial" w:cs="Arial" w:eastAsia="Arial" w:hAnsi="Arial"/>
                <w:sz w:val="14"/>
                <w:szCs w:val="14"/>
                <w:b w:val="1"/>
                <w:bCs w:val="1"/>
                <w:color w:val="auto"/>
              </w:rPr>
              <w:t>2009</w:t>
            </w:r>
          </w:p>
        </w:tc>
        <w:tc>
          <w:tcPr>
            <w:tcW w:w="80" w:type="dxa"/>
            <w:vAlign w:val="bottom"/>
            <w:tcBorders>
              <w:bottom w:val="single" w:sz="8" w:color="auto"/>
            </w:tcBorders>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160" w:type="dxa"/>
            <w:vAlign w:val="bottom"/>
            <w:tcBorders>
              <w:bottom w:val="single" w:sz="8" w:color="auto"/>
            </w:tcBorders>
          </w:tcPr>
          <w:p>
            <w:pPr>
              <w:spacing w:after="0"/>
              <w:rPr>
                <w:sz w:val="12"/>
                <w:szCs w:val="12"/>
                <w:color w:val="auto"/>
              </w:rPr>
            </w:pPr>
          </w:p>
        </w:tc>
        <w:tc>
          <w:tcPr>
            <w:tcW w:w="14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1080" w:type="dxa"/>
            <w:vAlign w:val="bottom"/>
            <w:tcBorders>
              <w:bottom w:val="single" w:sz="8" w:color="auto"/>
            </w:tcBorders>
            <w:gridSpan w:val="3"/>
          </w:tcPr>
          <w:p>
            <w:pPr>
              <w:jc w:val="right"/>
              <w:ind w:right="240"/>
              <w:spacing w:after="0" w:line="142" w:lineRule="exact"/>
              <w:rPr>
                <w:sz w:val="20"/>
                <w:szCs w:val="20"/>
                <w:color w:val="auto"/>
              </w:rPr>
            </w:pPr>
            <w:r>
              <w:rPr>
                <w:rFonts w:ascii="Arial" w:cs="Arial" w:eastAsia="Arial" w:hAnsi="Arial"/>
                <w:sz w:val="14"/>
                <w:szCs w:val="14"/>
                <w:b w:val="1"/>
                <w:bCs w:val="1"/>
                <w:color w:val="auto"/>
              </w:rPr>
              <w:t>2008</w:t>
            </w:r>
          </w:p>
        </w:tc>
        <w:tc>
          <w:tcPr>
            <w:tcW w:w="320" w:type="dxa"/>
            <w:vAlign w:val="bottom"/>
            <w:tcBorders>
              <w:bottom w:val="single" w:sz="8" w:color="auto"/>
            </w:tcBorders>
          </w:tcPr>
          <w:p>
            <w:pPr>
              <w:spacing w:after="0"/>
              <w:rPr>
                <w:sz w:val="12"/>
                <w:szCs w:val="12"/>
                <w:color w:val="auto"/>
              </w:rPr>
            </w:pPr>
          </w:p>
        </w:tc>
        <w:tc>
          <w:tcPr>
            <w:tcW w:w="2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460" w:type="dxa"/>
            <w:vAlign w:val="bottom"/>
          </w:tcPr>
          <w:p>
            <w:pPr>
              <w:spacing w:after="0"/>
              <w:rPr>
                <w:sz w:val="18"/>
                <w:szCs w:val="18"/>
                <w:color w:val="auto"/>
              </w:rPr>
            </w:pPr>
          </w:p>
        </w:tc>
        <w:tc>
          <w:tcPr>
            <w:tcW w:w="67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Fidelity Advisor Stable Value Fund *</w:t>
            </w:r>
          </w:p>
        </w:tc>
        <w:tc>
          <w:tcPr>
            <w:tcW w:w="10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$4,380,364</w:t>
            </w:r>
          </w:p>
        </w:tc>
        <w:tc>
          <w:tcPr>
            <w:tcW w:w="300" w:type="dxa"/>
            <w:vAlign w:val="bottom"/>
            <w:shd w:val="clear" w:color="auto" w:fill="CCEEFF"/>
          </w:tcPr>
          <w:p>
            <w:pPr>
              <w:spacing w:after="0"/>
              <w:rPr>
                <w:sz w:val="18"/>
                <w:szCs w:val="18"/>
                <w:color w:val="auto"/>
              </w:rPr>
            </w:pPr>
          </w:p>
        </w:tc>
        <w:tc>
          <w:tcPr>
            <w:tcW w:w="460" w:type="dxa"/>
            <w:vAlign w:val="bottom"/>
            <w:gridSpan w:val="4"/>
            <w:shd w:val="clear" w:color="auto" w:fill="CCEEFF"/>
          </w:tcPr>
          <w:p>
            <w:pPr>
              <w:jc w:val="right"/>
              <w:spacing w:after="0"/>
              <w:rPr>
                <w:sz w:val="20"/>
                <w:szCs w:val="20"/>
                <w:color w:val="auto"/>
              </w:rPr>
            </w:pPr>
            <w:r>
              <w:rPr>
                <w:rFonts w:ascii="Arial" w:cs="Arial" w:eastAsia="Arial" w:hAnsi="Arial"/>
                <w:sz w:val="18"/>
                <w:szCs w:val="18"/>
                <w:color w:val="auto"/>
                <w:w w:val="86"/>
              </w:rPr>
              <w:t>39.0%</w:t>
            </w:r>
          </w:p>
        </w:tc>
        <w:tc>
          <w:tcPr>
            <w:tcW w:w="116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$5,256,939</w:t>
            </w:r>
          </w:p>
        </w:tc>
        <w:tc>
          <w:tcPr>
            <w:tcW w:w="280" w:type="dxa"/>
            <w:vAlign w:val="bottom"/>
            <w:shd w:val="clear" w:color="auto" w:fill="CCEEFF"/>
          </w:tcPr>
          <w:p>
            <w:pPr>
              <w:spacing w:after="0"/>
              <w:rPr>
                <w:sz w:val="18"/>
                <w:szCs w:val="18"/>
                <w:color w:val="auto"/>
              </w:rPr>
            </w:pPr>
          </w:p>
        </w:tc>
        <w:tc>
          <w:tcPr>
            <w:tcW w:w="5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w w:val="86"/>
              </w:rPr>
              <w:t>48.8%</w:t>
            </w:r>
          </w:p>
        </w:tc>
        <w:tc>
          <w:tcPr>
            <w:tcW w:w="0" w:type="dxa"/>
            <w:vAlign w:val="bottom"/>
          </w:tcPr>
          <w:p>
            <w:pPr>
              <w:spacing w:after="0"/>
              <w:rPr>
                <w:sz w:val="1"/>
                <w:szCs w:val="1"/>
                <w:color w:val="auto"/>
              </w:rPr>
            </w:pPr>
          </w:p>
        </w:tc>
      </w:tr>
      <w:tr>
        <w:trPr>
          <w:trHeight w:val="216"/>
        </w:trPr>
        <w:tc>
          <w:tcPr>
            <w:tcW w:w="460" w:type="dxa"/>
            <w:vAlign w:val="bottom"/>
          </w:tcPr>
          <w:p>
            <w:pPr>
              <w:spacing w:after="0"/>
              <w:rPr>
                <w:sz w:val="18"/>
                <w:szCs w:val="18"/>
                <w:color w:val="auto"/>
              </w:rPr>
            </w:pPr>
          </w:p>
        </w:tc>
        <w:tc>
          <w:tcPr>
            <w:tcW w:w="6740" w:type="dxa"/>
            <w:vAlign w:val="bottom"/>
            <w:gridSpan w:val="2"/>
          </w:tcPr>
          <w:p>
            <w:pPr>
              <w:spacing w:after="0"/>
              <w:rPr>
                <w:sz w:val="20"/>
                <w:szCs w:val="20"/>
                <w:color w:val="auto"/>
              </w:rPr>
            </w:pPr>
            <w:r>
              <w:rPr>
                <w:rFonts w:ascii="Arial" w:cs="Arial" w:eastAsia="Arial" w:hAnsi="Arial"/>
                <w:sz w:val="18"/>
                <w:szCs w:val="18"/>
                <w:color w:val="auto"/>
              </w:rPr>
              <w:t>Fidelity Advisor Freedom 2005</w:t>
            </w:r>
          </w:p>
        </w:tc>
        <w:tc>
          <w:tcPr>
            <w:tcW w:w="1040" w:type="dxa"/>
            <w:vAlign w:val="bottom"/>
            <w:gridSpan w:val="2"/>
          </w:tcPr>
          <w:p>
            <w:pPr>
              <w:jc w:val="right"/>
              <w:spacing w:after="0"/>
              <w:rPr>
                <w:sz w:val="20"/>
                <w:szCs w:val="20"/>
                <w:color w:val="auto"/>
              </w:rPr>
            </w:pPr>
            <w:r>
              <w:rPr>
                <w:rFonts w:ascii="Arial" w:cs="Arial" w:eastAsia="Arial" w:hAnsi="Arial"/>
                <w:sz w:val="18"/>
                <w:szCs w:val="18"/>
                <w:color w:val="auto"/>
              </w:rPr>
              <w:t>957,083</w:t>
            </w:r>
          </w:p>
        </w:tc>
        <w:tc>
          <w:tcPr>
            <w:tcW w:w="300" w:type="dxa"/>
            <w:vAlign w:val="bottom"/>
          </w:tcPr>
          <w:p>
            <w:pPr>
              <w:spacing w:after="0"/>
              <w:rPr>
                <w:sz w:val="18"/>
                <w:szCs w:val="18"/>
                <w:color w:val="auto"/>
              </w:rPr>
            </w:pPr>
          </w:p>
        </w:tc>
        <w:tc>
          <w:tcPr>
            <w:tcW w:w="460" w:type="dxa"/>
            <w:vAlign w:val="bottom"/>
            <w:gridSpan w:val="4"/>
          </w:tcPr>
          <w:p>
            <w:pPr>
              <w:jc w:val="right"/>
              <w:spacing w:after="0"/>
              <w:rPr>
                <w:sz w:val="20"/>
                <w:szCs w:val="20"/>
                <w:color w:val="auto"/>
              </w:rPr>
            </w:pPr>
            <w:r>
              <w:rPr>
                <w:rFonts w:ascii="Arial" w:cs="Arial" w:eastAsia="Arial" w:hAnsi="Arial"/>
                <w:sz w:val="18"/>
                <w:szCs w:val="18"/>
                <w:color w:val="auto"/>
              </w:rPr>
              <w:t>8.5%</w:t>
            </w:r>
          </w:p>
        </w:tc>
        <w:tc>
          <w:tcPr>
            <w:tcW w:w="1160" w:type="dxa"/>
            <w:vAlign w:val="bottom"/>
            <w:gridSpan w:val="3"/>
          </w:tcPr>
          <w:p>
            <w:pPr>
              <w:jc w:val="right"/>
              <w:spacing w:after="0"/>
              <w:rPr>
                <w:sz w:val="20"/>
                <w:szCs w:val="20"/>
                <w:color w:val="auto"/>
              </w:rPr>
            </w:pPr>
            <w:r>
              <w:rPr>
                <w:rFonts w:ascii="Arial" w:cs="Arial" w:eastAsia="Arial" w:hAnsi="Arial"/>
                <w:sz w:val="18"/>
                <w:szCs w:val="18"/>
                <w:color w:val="auto"/>
              </w:rPr>
              <w:t>820,916</w:t>
            </w:r>
          </w:p>
        </w:tc>
        <w:tc>
          <w:tcPr>
            <w:tcW w:w="280" w:type="dxa"/>
            <w:vAlign w:val="bottom"/>
          </w:tcPr>
          <w:p>
            <w:pPr>
              <w:spacing w:after="0"/>
              <w:rPr>
                <w:sz w:val="18"/>
                <w:szCs w:val="18"/>
                <w:color w:val="auto"/>
              </w:rPr>
            </w:pPr>
          </w:p>
        </w:tc>
        <w:tc>
          <w:tcPr>
            <w:tcW w:w="520" w:type="dxa"/>
            <w:vAlign w:val="bottom"/>
            <w:gridSpan w:val="2"/>
          </w:tcPr>
          <w:p>
            <w:pPr>
              <w:jc w:val="right"/>
              <w:ind w:right="60"/>
              <w:spacing w:after="0"/>
              <w:rPr>
                <w:sz w:val="20"/>
                <w:szCs w:val="20"/>
                <w:color w:val="auto"/>
              </w:rPr>
            </w:pPr>
            <w:r>
              <w:rPr>
                <w:rFonts w:ascii="Arial" w:cs="Arial" w:eastAsia="Arial" w:hAnsi="Arial"/>
                <w:sz w:val="18"/>
                <w:szCs w:val="18"/>
                <w:color w:val="auto"/>
              </w:rPr>
              <w:t>7.6%</w:t>
            </w:r>
          </w:p>
        </w:tc>
        <w:tc>
          <w:tcPr>
            <w:tcW w:w="0" w:type="dxa"/>
            <w:vAlign w:val="bottom"/>
          </w:tcPr>
          <w:p>
            <w:pPr>
              <w:spacing w:after="0"/>
              <w:rPr>
                <w:sz w:val="1"/>
                <w:szCs w:val="1"/>
                <w:color w:val="auto"/>
              </w:rPr>
            </w:pPr>
          </w:p>
        </w:tc>
      </w:tr>
      <w:tr>
        <w:trPr>
          <w:trHeight w:val="216"/>
        </w:trPr>
        <w:tc>
          <w:tcPr>
            <w:tcW w:w="460" w:type="dxa"/>
            <w:vAlign w:val="bottom"/>
          </w:tcPr>
          <w:p>
            <w:pPr>
              <w:spacing w:after="0"/>
              <w:rPr>
                <w:sz w:val="18"/>
                <w:szCs w:val="18"/>
                <w:color w:val="auto"/>
              </w:rPr>
            </w:pPr>
          </w:p>
        </w:tc>
        <w:tc>
          <w:tcPr>
            <w:tcW w:w="67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Fidelity Advisor Freedom 2010</w:t>
            </w:r>
          </w:p>
        </w:tc>
        <w:tc>
          <w:tcPr>
            <w:tcW w:w="10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792,838</w:t>
            </w:r>
          </w:p>
        </w:tc>
        <w:tc>
          <w:tcPr>
            <w:tcW w:w="300" w:type="dxa"/>
            <w:vAlign w:val="bottom"/>
            <w:shd w:val="clear" w:color="auto" w:fill="CCEEFF"/>
          </w:tcPr>
          <w:p>
            <w:pPr>
              <w:spacing w:after="0"/>
              <w:rPr>
                <w:sz w:val="18"/>
                <w:szCs w:val="18"/>
                <w:color w:val="auto"/>
              </w:rPr>
            </w:pPr>
          </w:p>
        </w:tc>
        <w:tc>
          <w:tcPr>
            <w:tcW w:w="460" w:type="dxa"/>
            <w:vAlign w:val="bottom"/>
            <w:gridSpan w:val="4"/>
            <w:shd w:val="clear" w:color="auto" w:fill="CCEEFF"/>
          </w:tcPr>
          <w:p>
            <w:pPr>
              <w:jc w:val="right"/>
              <w:spacing w:after="0"/>
              <w:rPr>
                <w:sz w:val="20"/>
                <w:szCs w:val="20"/>
                <w:color w:val="auto"/>
              </w:rPr>
            </w:pPr>
            <w:r>
              <w:rPr>
                <w:rFonts w:ascii="Arial" w:cs="Arial" w:eastAsia="Arial" w:hAnsi="Arial"/>
                <w:sz w:val="18"/>
                <w:szCs w:val="18"/>
                <w:color w:val="auto"/>
              </w:rPr>
              <w:t>7.1%</w:t>
            </w:r>
          </w:p>
        </w:tc>
        <w:tc>
          <w:tcPr>
            <w:tcW w:w="116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702,398</w:t>
            </w:r>
          </w:p>
        </w:tc>
        <w:tc>
          <w:tcPr>
            <w:tcW w:w="280" w:type="dxa"/>
            <w:vAlign w:val="bottom"/>
            <w:shd w:val="clear" w:color="auto" w:fill="CCEEFF"/>
          </w:tcPr>
          <w:p>
            <w:pPr>
              <w:spacing w:after="0"/>
              <w:rPr>
                <w:sz w:val="18"/>
                <w:szCs w:val="18"/>
                <w:color w:val="auto"/>
              </w:rPr>
            </w:pPr>
          </w:p>
        </w:tc>
        <w:tc>
          <w:tcPr>
            <w:tcW w:w="5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6.5%</w:t>
            </w:r>
          </w:p>
        </w:tc>
        <w:tc>
          <w:tcPr>
            <w:tcW w:w="0" w:type="dxa"/>
            <w:vAlign w:val="bottom"/>
          </w:tcPr>
          <w:p>
            <w:pPr>
              <w:spacing w:after="0"/>
              <w:rPr>
                <w:sz w:val="1"/>
                <w:szCs w:val="1"/>
                <w:color w:val="auto"/>
              </w:rPr>
            </w:pPr>
          </w:p>
        </w:tc>
      </w:tr>
      <w:tr>
        <w:trPr>
          <w:trHeight w:val="216"/>
        </w:trPr>
        <w:tc>
          <w:tcPr>
            <w:tcW w:w="460" w:type="dxa"/>
            <w:vAlign w:val="bottom"/>
          </w:tcPr>
          <w:p>
            <w:pPr>
              <w:spacing w:after="0"/>
              <w:rPr>
                <w:sz w:val="18"/>
                <w:szCs w:val="18"/>
                <w:color w:val="auto"/>
              </w:rPr>
            </w:pPr>
          </w:p>
        </w:tc>
        <w:tc>
          <w:tcPr>
            <w:tcW w:w="6740" w:type="dxa"/>
            <w:vAlign w:val="bottom"/>
            <w:gridSpan w:val="2"/>
          </w:tcPr>
          <w:p>
            <w:pPr>
              <w:spacing w:after="0"/>
              <w:rPr>
                <w:sz w:val="20"/>
                <w:szCs w:val="20"/>
                <w:color w:val="auto"/>
              </w:rPr>
            </w:pPr>
            <w:r>
              <w:rPr>
                <w:rFonts w:ascii="Arial" w:cs="Arial" w:eastAsia="Arial" w:hAnsi="Arial"/>
                <w:sz w:val="18"/>
                <w:szCs w:val="18"/>
                <w:color w:val="auto"/>
              </w:rPr>
              <w:t>JP Morgan Equity Index</w:t>
            </w:r>
          </w:p>
        </w:tc>
        <w:tc>
          <w:tcPr>
            <w:tcW w:w="1040" w:type="dxa"/>
            <w:vAlign w:val="bottom"/>
            <w:gridSpan w:val="2"/>
          </w:tcPr>
          <w:p>
            <w:pPr>
              <w:jc w:val="right"/>
              <w:spacing w:after="0"/>
              <w:rPr>
                <w:sz w:val="20"/>
                <w:szCs w:val="20"/>
                <w:color w:val="auto"/>
              </w:rPr>
            </w:pPr>
            <w:r>
              <w:rPr>
                <w:rFonts w:ascii="Arial" w:cs="Arial" w:eastAsia="Arial" w:hAnsi="Arial"/>
                <w:sz w:val="18"/>
                <w:szCs w:val="18"/>
                <w:color w:val="auto"/>
              </w:rPr>
              <w:t>955,472</w:t>
            </w:r>
          </w:p>
        </w:tc>
        <w:tc>
          <w:tcPr>
            <w:tcW w:w="300" w:type="dxa"/>
            <w:vAlign w:val="bottom"/>
          </w:tcPr>
          <w:p>
            <w:pPr>
              <w:spacing w:after="0"/>
              <w:rPr>
                <w:sz w:val="18"/>
                <w:szCs w:val="18"/>
                <w:color w:val="auto"/>
              </w:rPr>
            </w:pPr>
          </w:p>
        </w:tc>
        <w:tc>
          <w:tcPr>
            <w:tcW w:w="460" w:type="dxa"/>
            <w:vAlign w:val="bottom"/>
            <w:gridSpan w:val="4"/>
          </w:tcPr>
          <w:p>
            <w:pPr>
              <w:jc w:val="right"/>
              <w:spacing w:after="0"/>
              <w:rPr>
                <w:sz w:val="20"/>
                <w:szCs w:val="20"/>
                <w:color w:val="auto"/>
              </w:rPr>
            </w:pPr>
            <w:r>
              <w:rPr>
                <w:rFonts w:ascii="Arial" w:cs="Arial" w:eastAsia="Arial" w:hAnsi="Arial"/>
                <w:sz w:val="18"/>
                <w:szCs w:val="18"/>
                <w:color w:val="auto"/>
              </w:rPr>
              <w:t>8.5%</w:t>
            </w:r>
          </w:p>
        </w:tc>
        <w:tc>
          <w:tcPr>
            <w:tcW w:w="1160" w:type="dxa"/>
            <w:vAlign w:val="bottom"/>
            <w:gridSpan w:val="3"/>
          </w:tcPr>
          <w:p>
            <w:pPr>
              <w:jc w:val="right"/>
              <w:spacing w:after="0"/>
              <w:rPr>
                <w:sz w:val="20"/>
                <w:szCs w:val="20"/>
                <w:color w:val="auto"/>
              </w:rPr>
            </w:pPr>
            <w:r>
              <w:rPr>
                <w:rFonts w:ascii="Arial" w:cs="Arial" w:eastAsia="Arial" w:hAnsi="Arial"/>
                <w:sz w:val="18"/>
                <w:szCs w:val="18"/>
                <w:color w:val="auto"/>
              </w:rPr>
              <w:t>798,835</w:t>
            </w:r>
          </w:p>
        </w:tc>
        <w:tc>
          <w:tcPr>
            <w:tcW w:w="280" w:type="dxa"/>
            <w:vAlign w:val="bottom"/>
          </w:tcPr>
          <w:p>
            <w:pPr>
              <w:spacing w:after="0"/>
              <w:rPr>
                <w:sz w:val="18"/>
                <w:szCs w:val="18"/>
                <w:color w:val="auto"/>
              </w:rPr>
            </w:pPr>
          </w:p>
        </w:tc>
        <w:tc>
          <w:tcPr>
            <w:tcW w:w="520" w:type="dxa"/>
            <w:vAlign w:val="bottom"/>
            <w:gridSpan w:val="2"/>
          </w:tcPr>
          <w:p>
            <w:pPr>
              <w:jc w:val="right"/>
              <w:ind w:right="60"/>
              <w:spacing w:after="0"/>
              <w:rPr>
                <w:sz w:val="20"/>
                <w:szCs w:val="20"/>
                <w:color w:val="auto"/>
              </w:rPr>
            </w:pPr>
            <w:r>
              <w:rPr>
                <w:rFonts w:ascii="Arial" w:cs="Arial" w:eastAsia="Arial" w:hAnsi="Arial"/>
                <w:sz w:val="18"/>
                <w:szCs w:val="18"/>
                <w:color w:val="auto"/>
              </w:rPr>
              <w:t>7.4%</w:t>
            </w:r>
          </w:p>
        </w:tc>
        <w:tc>
          <w:tcPr>
            <w:tcW w:w="0" w:type="dxa"/>
            <w:vAlign w:val="bottom"/>
          </w:tcPr>
          <w:p>
            <w:pPr>
              <w:spacing w:after="0"/>
              <w:rPr>
                <w:sz w:val="1"/>
                <w:szCs w:val="1"/>
                <w:color w:val="auto"/>
              </w:rPr>
            </w:pPr>
          </w:p>
        </w:tc>
      </w:tr>
      <w:tr>
        <w:trPr>
          <w:trHeight w:val="216"/>
        </w:trPr>
        <w:tc>
          <w:tcPr>
            <w:tcW w:w="460" w:type="dxa"/>
            <w:vAlign w:val="bottom"/>
          </w:tcPr>
          <w:p>
            <w:pPr>
              <w:spacing w:after="0"/>
              <w:rPr>
                <w:sz w:val="18"/>
                <w:szCs w:val="18"/>
                <w:color w:val="auto"/>
              </w:rPr>
            </w:pPr>
          </w:p>
        </w:tc>
        <w:tc>
          <w:tcPr>
            <w:tcW w:w="67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T. Rowe Price Growth Stock</w:t>
            </w:r>
          </w:p>
        </w:tc>
        <w:tc>
          <w:tcPr>
            <w:tcW w:w="24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615,158</w:t>
            </w:r>
          </w:p>
        </w:tc>
        <w:tc>
          <w:tcPr>
            <w:tcW w:w="300" w:type="dxa"/>
            <w:vAlign w:val="bottom"/>
            <w:shd w:val="clear" w:color="auto" w:fill="CCEEFF"/>
          </w:tcPr>
          <w:p>
            <w:pPr>
              <w:spacing w:after="0"/>
              <w:rPr>
                <w:sz w:val="18"/>
                <w:szCs w:val="18"/>
                <w:color w:val="auto"/>
              </w:rPr>
            </w:pPr>
          </w:p>
        </w:tc>
        <w:tc>
          <w:tcPr>
            <w:tcW w:w="460" w:type="dxa"/>
            <w:vAlign w:val="bottom"/>
            <w:gridSpan w:val="4"/>
            <w:shd w:val="clear" w:color="auto" w:fill="CCEEFF"/>
          </w:tcPr>
          <w:p>
            <w:pPr>
              <w:jc w:val="right"/>
              <w:spacing w:after="0"/>
              <w:rPr>
                <w:sz w:val="20"/>
                <w:szCs w:val="20"/>
                <w:color w:val="auto"/>
              </w:rPr>
            </w:pPr>
            <w:r>
              <w:rPr>
                <w:rFonts w:ascii="Arial" w:cs="Arial" w:eastAsia="Arial" w:hAnsi="Arial"/>
                <w:sz w:val="18"/>
                <w:szCs w:val="18"/>
                <w:color w:val="auto"/>
              </w:rPr>
              <w:t>5.5%</w:t>
            </w:r>
          </w:p>
        </w:tc>
        <w:tc>
          <w:tcPr>
            <w:tcW w:w="3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w:t>
            </w:r>
          </w:p>
        </w:tc>
        <w:tc>
          <w:tcPr>
            <w:tcW w:w="52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
        </w:trPr>
        <w:tc>
          <w:tcPr>
            <w:tcW w:w="460" w:type="dxa"/>
            <w:vAlign w:val="bottom"/>
          </w:tcPr>
          <w:p>
            <w:pPr>
              <w:spacing w:after="0" w:line="20" w:lineRule="exact"/>
              <w:rPr>
                <w:sz w:val="1"/>
                <w:szCs w:val="1"/>
                <w:color w:val="auto"/>
              </w:rPr>
            </w:pPr>
          </w:p>
        </w:tc>
        <w:tc>
          <w:tcPr>
            <w:tcW w:w="1380" w:type="dxa"/>
            <w:vAlign w:val="bottom"/>
          </w:tcPr>
          <w:p>
            <w:pPr>
              <w:spacing w:after="0" w:line="20" w:lineRule="exact"/>
              <w:rPr>
                <w:sz w:val="1"/>
                <w:szCs w:val="1"/>
                <w:color w:val="auto"/>
              </w:rPr>
            </w:pPr>
          </w:p>
        </w:tc>
        <w:tc>
          <w:tcPr>
            <w:tcW w:w="53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320" w:type="dxa"/>
            <w:vAlign w:val="bottom"/>
            <w:gridSpan w:val="3"/>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800" w:type="dxa"/>
            <w:vAlign w:val="bottom"/>
            <w:gridSpan w:val="2"/>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1"/>
        </w:trPr>
        <w:tc>
          <w:tcPr>
            <w:tcW w:w="460" w:type="dxa"/>
            <w:vAlign w:val="bottom"/>
          </w:tcPr>
          <w:p>
            <w:pPr>
              <w:spacing w:after="0"/>
              <w:rPr>
                <w:sz w:val="19"/>
                <w:szCs w:val="19"/>
                <w:color w:val="auto"/>
              </w:rPr>
            </w:pPr>
          </w:p>
        </w:tc>
        <w:tc>
          <w:tcPr>
            <w:tcW w:w="1380" w:type="dxa"/>
            <w:vAlign w:val="bottom"/>
          </w:tcPr>
          <w:p>
            <w:pPr>
              <w:spacing w:after="0"/>
              <w:rPr>
                <w:sz w:val="19"/>
                <w:szCs w:val="19"/>
                <w:color w:val="auto"/>
              </w:rPr>
            </w:pPr>
          </w:p>
        </w:tc>
        <w:tc>
          <w:tcPr>
            <w:tcW w:w="53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8"/>
                <w:szCs w:val="18"/>
                <w:u w:val="single" w:color="auto"/>
                <w:color w:val="auto"/>
                <w:w w:val="86"/>
              </w:rPr>
              <w:t>$</w:t>
            </w:r>
            <w:r>
              <w:rPr>
                <w:rFonts w:ascii="Arial" w:cs="Arial" w:eastAsia="Arial" w:hAnsi="Arial"/>
                <w:sz w:val="18"/>
                <w:szCs w:val="18"/>
                <w:color w:val="auto"/>
                <w:w w:val="86"/>
              </w:rPr>
              <w:t>7,700,915</w:t>
            </w:r>
          </w:p>
        </w:tc>
        <w:tc>
          <w:tcPr>
            <w:tcW w:w="300" w:type="dxa"/>
            <w:vAlign w:val="bottom"/>
          </w:tcPr>
          <w:p>
            <w:pPr>
              <w:spacing w:after="0"/>
              <w:rPr>
                <w:sz w:val="19"/>
                <w:szCs w:val="19"/>
                <w:color w:val="auto"/>
              </w:rPr>
            </w:pPr>
          </w:p>
        </w:tc>
        <w:tc>
          <w:tcPr>
            <w:tcW w:w="460" w:type="dxa"/>
            <w:vAlign w:val="bottom"/>
            <w:gridSpan w:val="4"/>
          </w:tcPr>
          <w:p>
            <w:pPr>
              <w:jc w:val="right"/>
              <w:spacing w:after="0"/>
              <w:rPr>
                <w:sz w:val="20"/>
                <w:szCs w:val="20"/>
                <w:color w:val="auto"/>
              </w:rPr>
            </w:pPr>
            <w:r>
              <w:rPr>
                <w:rFonts w:ascii="Arial" w:cs="Arial" w:eastAsia="Arial" w:hAnsi="Arial"/>
                <w:sz w:val="18"/>
                <w:szCs w:val="18"/>
                <w:color w:val="auto"/>
                <w:w w:val="86"/>
              </w:rPr>
              <w:t>68.6%</w:t>
            </w:r>
          </w:p>
        </w:tc>
        <w:tc>
          <w:tcPr>
            <w:tcW w:w="1160" w:type="dxa"/>
            <w:vAlign w:val="bottom"/>
            <w:gridSpan w:val="3"/>
          </w:tcPr>
          <w:p>
            <w:pPr>
              <w:jc w:val="right"/>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7,579,088</w:t>
            </w:r>
          </w:p>
        </w:tc>
        <w:tc>
          <w:tcPr>
            <w:tcW w:w="280" w:type="dxa"/>
            <w:vAlign w:val="bottom"/>
          </w:tcPr>
          <w:p>
            <w:pPr>
              <w:spacing w:after="0"/>
              <w:rPr>
                <w:sz w:val="19"/>
                <w:szCs w:val="19"/>
                <w:color w:val="auto"/>
              </w:rPr>
            </w:pPr>
          </w:p>
        </w:tc>
        <w:tc>
          <w:tcPr>
            <w:tcW w:w="520" w:type="dxa"/>
            <w:vAlign w:val="bottom"/>
            <w:gridSpan w:val="2"/>
          </w:tcPr>
          <w:p>
            <w:pPr>
              <w:jc w:val="right"/>
              <w:ind w:right="60"/>
              <w:spacing w:after="0"/>
              <w:rPr>
                <w:sz w:val="20"/>
                <w:szCs w:val="20"/>
                <w:color w:val="auto"/>
              </w:rPr>
            </w:pPr>
            <w:r>
              <w:rPr>
                <w:rFonts w:ascii="Arial" w:cs="Arial" w:eastAsia="Arial" w:hAnsi="Arial"/>
                <w:sz w:val="18"/>
                <w:szCs w:val="18"/>
                <w:color w:val="auto"/>
                <w:w w:val="86"/>
              </w:rPr>
              <w:t>70.3%</w:t>
            </w:r>
          </w:p>
        </w:tc>
        <w:tc>
          <w:tcPr>
            <w:tcW w:w="0" w:type="dxa"/>
            <w:vAlign w:val="bottom"/>
          </w:tcPr>
          <w:p>
            <w:pPr>
              <w:spacing w:after="0"/>
              <w:rPr>
                <w:sz w:val="1"/>
                <w:szCs w:val="1"/>
                <w:color w:val="auto"/>
              </w:rPr>
            </w:pPr>
          </w:p>
        </w:tc>
      </w:tr>
      <w:tr>
        <w:trPr>
          <w:trHeight w:val="20"/>
        </w:trPr>
        <w:tc>
          <w:tcPr>
            <w:tcW w:w="7200" w:type="dxa"/>
            <w:vAlign w:val="bottom"/>
            <w:gridSpan w:val="3"/>
            <w:vMerge w:val="restart"/>
          </w:tcPr>
          <w:p>
            <w:pPr>
              <w:spacing w:after="0"/>
              <w:rPr>
                <w:sz w:val="20"/>
                <w:szCs w:val="20"/>
                <w:color w:val="auto"/>
              </w:rPr>
            </w:pPr>
            <w:r>
              <w:rPr>
                <w:rFonts w:ascii="Arial" w:cs="Arial" w:eastAsia="Arial" w:hAnsi="Arial"/>
                <w:sz w:val="18"/>
                <w:szCs w:val="18"/>
                <w:b w:val="1"/>
                <w:bCs w:val="1"/>
                <w:color w:val="auto"/>
              </w:rPr>
              <w:t xml:space="preserve">*  </w:t>
            </w:r>
            <w:r>
              <w:rPr>
                <w:rFonts w:ascii="Arial" w:cs="Arial" w:eastAsia="Arial" w:hAnsi="Arial"/>
                <w:sz w:val="18"/>
                <w:szCs w:val="18"/>
                <w:color w:val="auto"/>
              </w:rPr>
              <w:t>The amount represents contract value for this investment.</w:t>
            </w:r>
          </w:p>
        </w:tc>
        <w:tc>
          <w:tcPr>
            <w:tcW w:w="240" w:type="dxa"/>
            <w:vAlign w:val="bottom"/>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7200" w:type="dxa"/>
            <w:vAlign w:val="bottom"/>
            <w:gridSpan w:val="3"/>
            <w:vMerge w:val="continue"/>
          </w:tcPr>
          <w:p>
            <w:pPr>
              <w:spacing w:after="0"/>
              <w:rPr>
                <w:sz w:val="18"/>
                <w:szCs w:val="18"/>
                <w:color w:val="auto"/>
              </w:rPr>
            </w:pPr>
          </w:p>
        </w:tc>
        <w:tc>
          <w:tcPr>
            <w:tcW w:w="24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bl>
    <w:p>
      <w:pPr>
        <w:spacing w:after="0" w:line="23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Note 4- </w:t>
      </w:r>
      <w:r>
        <w:rPr>
          <w:rFonts w:ascii="Arial" w:cs="Arial" w:eastAsia="Arial" w:hAnsi="Arial"/>
          <w:sz w:val="18"/>
          <w:szCs w:val="18"/>
          <w:b w:val="1"/>
          <w:bCs w:val="1"/>
          <w:u w:val="single" w:color="auto"/>
          <w:color w:val="auto"/>
        </w:rPr>
        <w:t>Non Participant Directed Investments</w:t>
      </w:r>
    </w:p>
    <w:p>
      <w:pPr>
        <w:spacing w:after="0" w:line="96" w:lineRule="exact"/>
        <w:rPr>
          <w:sz w:val="20"/>
          <w:szCs w:val="20"/>
          <w:color w:val="auto"/>
        </w:rPr>
      </w:pPr>
    </w:p>
    <w:p>
      <w:pPr>
        <w:spacing w:after="0"/>
        <w:rPr>
          <w:sz w:val="20"/>
          <w:szCs w:val="20"/>
          <w:color w:val="auto"/>
        </w:rPr>
      </w:pPr>
      <w:r>
        <w:rPr>
          <w:rFonts w:ascii="Arial" w:cs="Arial" w:eastAsia="Arial" w:hAnsi="Arial"/>
          <w:sz w:val="15"/>
          <w:szCs w:val="15"/>
          <w:color w:val="auto"/>
        </w:rPr>
        <w:t>Information about the net assets and the significant components of the changes in net assets relating to the non participant directed investments are as follows:</w:t>
      </w:r>
    </w:p>
    <w:p>
      <w:pPr>
        <w:spacing w:after="0" w:line="242" w:lineRule="exact"/>
        <w:rPr>
          <w:sz w:val="20"/>
          <w:szCs w:val="20"/>
          <w:color w:val="auto"/>
        </w:rPr>
      </w:pPr>
    </w:p>
    <w:tbl>
      <w:tblPr>
        <w:tblLayout w:type="fixed"/>
        <w:tblInd w:w="1380" w:type="dxa"/>
        <w:tblCellMar>
          <w:top w:w="0" w:type="dxa"/>
          <w:left w:w="0" w:type="dxa"/>
          <w:bottom w:w="0" w:type="dxa"/>
          <w:right w:w="0" w:type="dxa"/>
        </w:tblCellMar>
      </w:tblPr>
      <w:tr>
        <w:trPr>
          <w:trHeight w:val="161"/>
        </w:trPr>
        <w:tc>
          <w:tcPr>
            <w:tcW w:w="460" w:type="dxa"/>
            <w:vAlign w:val="bottom"/>
          </w:tcPr>
          <w:p>
            <w:pPr>
              <w:spacing w:after="0"/>
              <w:rPr>
                <w:sz w:val="14"/>
                <w:szCs w:val="14"/>
                <w:color w:val="auto"/>
              </w:rPr>
            </w:pPr>
          </w:p>
        </w:tc>
        <w:tc>
          <w:tcPr>
            <w:tcW w:w="3420" w:type="dxa"/>
            <w:vAlign w:val="bottom"/>
          </w:tcPr>
          <w:p>
            <w:pPr>
              <w:spacing w:after="0"/>
              <w:rPr>
                <w:sz w:val="14"/>
                <w:szCs w:val="14"/>
                <w:color w:val="auto"/>
              </w:rPr>
            </w:pPr>
          </w:p>
        </w:tc>
        <w:tc>
          <w:tcPr>
            <w:tcW w:w="31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80" w:type="dxa"/>
            <w:vAlign w:val="bottom"/>
            <w:gridSpan w:val="3"/>
          </w:tcPr>
          <w:p>
            <w:pPr>
              <w:jc w:val="center"/>
              <w:ind w:left="77"/>
              <w:spacing w:after="0"/>
              <w:rPr>
                <w:sz w:val="20"/>
                <w:szCs w:val="20"/>
                <w:color w:val="auto"/>
              </w:rPr>
            </w:pPr>
            <w:r>
              <w:rPr>
                <w:rFonts w:ascii="Arial" w:cs="Arial" w:eastAsia="Arial" w:hAnsi="Arial"/>
                <w:sz w:val="14"/>
                <w:szCs w:val="14"/>
                <w:b w:val="1"/>
                <w:bCs w:val="1"/>
                <w:color w:val="auto"/>
                <w:w w:val="89"/>
              </w:rPr>
              <w:t>2009</w:t>
            </w:r>
          </w:p>
        </w:tc>
        <w:tc>
          <w:tcPr>
            <w:tcW w:w="2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520" w:type="dxa"/>
            <w:vAlign w:val="bottom"/>
            <w:gridSpan w:val="2"/>
          </w:tcPr>
          <w:p>
            <w:pPr>
              <w:jc w:val="right"/>
              <w:ind w:right="32"/>
              <w:spacing w:after="0"/>
              <w:rPr>
                <w:sz w:val="20"/>
                <w:szCs w:val="20"/>
                <w:color w:val="auto"/>
              </w:rPr>
            </w:pPr>
            <w:r>
              <w:rPr>
                <w:rFonts w:ascii="Arial" w:cs="Arial" w:eastAsia="Arial" w:hAnsi="Arial"/>
                <w:sz w:val="14"/>
                <w:szCs w:val="14"/>
                <w:b w:val="1"/>
                <w:bCs w:val="1"/>
                <w:color w:val="auto"/>
              </w:rPr>
              <w:t>2008</w:t>
            </w:r>
          </w:p>
        </w:tc>
        <w:tc>
          <w:tcPr>
            <w:tcW w:w="0" w:type="dxa"/>
            <w:vAlign w:val="bottom"/>
          </w:tcPr>
          <w:p>
            <w:pPr>
              <w:spacing w:after="0"/>
              <w:rPr>
                <w:sz w:val="1"/>
                <w:szCs w:val="1"/>
                <w:color w:val="auto"/>
              </w:rPr>
            </w:pPr>
          </w:p>
        </w:tc>
      </w:tr>
      <w:tr>
        <w:trPr>
          <w:trHeight w:val="210"/>
        </w:trPr>
        <w:tc>
          <w:tcPr>
            <w:tcW w:w="38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Net Assets:</w:t>
            </w:r>
          </w:p>
        </w:tc>
        <w:tc>
          <w:tcPr>
            <w:tcW w:w="3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480" w:type="dxa"/>
            <w:vAlign w:val="bottom"/>
            <w:tcBorders>
              <w:top w:val="single" w:sz="8" w:color="auto"/>
            </w:tcBorders>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60" w:type="dxa"/>
            <w:vAlign w:val="bottom"/>
            <w:tcBorders>
              <w:right w:val="single" w:sz="8" w:color="CCEEFF"/>
            </w:tcBorders>
            <w:shd w:val="clear" w:color="auto" w:fill="CCEEFF"/>
          </w:tcPr>
          <w:p>
            <w:pPr>
              <w:spacing w:after="0"/>
              <w:rPr>
                <w:sz w:val="18"/>
                <w:szCs w:val="18"/>
                <w:color w:val="auto"/>
              </w:rPr>
            </w:pPr>
          </w:p>
        </w:tc>
        <w:tc>
          <w:tcPr>
            <w:tcW w:w="460" w:type="dxa"/>
            <w:vAlign w:val="bottom"/>
            <w:tcBorders>
              <w:top w:val="single" w:sz="8" w:color="auto"/>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880" w:type="dxa"/>
            <w:vAlign w:val="bottom"/>
            <w:gridSpan w:val="2"/>
          </w:tcPr>
          <w:p>
            <w:pPr>
              <w:ind w:left="440"/>
              <w:spacing w:after="0"/>
              <w:rPr>
                <w:sz w:val="20"/>
                <w:szCs w:val="20"/>
                <w:color w:val="auto"/>
              </w:rPr>
            </w:pPr>
            <w:r>
              <w:rPr>
                <w:rFonts w:ascii="Arial" w:cs="Arial" w:eastAsia="Arial" w:hAnsi="Arial"/>
                <w:sz w:val="18"/>
                <w:szCs w:val="18"/>
                <w:color w:val="auto"/>
              </w:rPr>
              <w:t>Fidelity Advisor Stable Value Fund</w:t>
            </w:r>
          </w:p>
        </w:tc>
        <w:tc>
          <w:tcPr>
            <w:tcW w:w="3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80" w:type="dxa"/>
            <w:vAlign w:val="bottom"/>
            <w:gridSpan w:val="3"/>
          </w:tcPr>
          <w:p>
            <w:pPr>
              <w:jc w:val="center"/>
              <w:ind w:left="97"/>
              <w:spacing w:after="0"/>
              <w:rPr>
                <w:sz w:val="20"/>
                <w:szCs w:val="20"/>
                <w:color w:val="auto"/>
              </w:rPr>
            </w:pPr>
            <w:r>
              <w:rPr>
                <w:rFonts w:ascii="Arial" w:cs="Arial" w:eastAsia="Arial" w:hAnsi="Arial"/>
                <w:sz w:val="18"/>
                <w:szCs w:val="18"/>
                <w:color w:val="auto"/>
                <w:w w:val="90"/>
              </w:rPr>
              <w:t>$1,039</w:t>
            </w:r>
          </w:p>
        </w:tc>
        <w:tc>
          <w:tcPr>
            <w:tcW w:w="2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520" w:type="dxa"/>
            <w:vAlign w:val="bottom"/>
            <w:gridSpan w:val="2"/>
          </w:tcPr>
          <w:p>
            <w:pPr>
              <w:jc w:val="right"/>
              <w:spacing w:after="0"/>
              <w:rPr>
                <w:sz w:val="20"/>
                <w:szCs w:val="20"/>
                <w:color w:val="auto"/>
              </w:rPr>
            </w:pPr>
            <w:r>
              <w:rPr>
                <w:rFonts w:ascii="Arial" w:cs="Arial" w:eastAsia="Arial" w:hAnsi="Arial"/>
                <w:sz w:val="18"/>
                <w:szCs w:val="18"/>
                <w:color w:val="auto"/>
                <w:w w:val="87"/>
              </w:rPr>
              <w:t>$1,466</w:t>
            </w:r>
          </w:p>
        </w:tc>
        <w:tc>
          <w:tcPr>
            <w:tcW w:w="0" w:type="dxa"/>
            <w:vAlign w:val="bottom"/>
          </w:tcPr>
          <w:p>
            <w:pPr>
              <w:spacing w:after="0"/>
              <w:rPr>
                <w:sz w:val="1"/>
                <w:szCs w:val="1"/>
                <w:color w:val="auto"/>
              </w:rPr>
            </w:pPr>
          </w:p>
        </w:tc>
      </w:tr>
      <w:tr>
        <w:trPr>
          <w:trHeight w:val="216"/>
        </w:trPr>
        <w:tc>
          <w:tcPr>
            <w:tcW w:w="3880" w:type="dxa"/>
            <w:vAlign w:val="bottom"/>
            <w:gridSpan w:val="2"/>
            <w:shd w:val="clear" w:color="auto" w:fill="CCEEFF"/>
          </w:tcPr>
          <w:p>
            <w:pPr>
              <w:ind w:left="440"/>
              <w:spacing w:after="0"/>
              <w:rPr>
                <w:sz w:val="20"/>
                <w:szCs w:val="20"/>
                <w:color w:val="auto"/>
              </w:rPr>
            </w:pPr>
            <w:r>
              <w:rPr>
                <w:rFonts w:ascii="Arial" w:cs="Arial" w:eastAsia="Arial" w:hAnsi="Arial"/>
                <w:sz w:val="18"/>
                <w:szCs w:val="18"/>
                <w:color w:val="auto"/>
              </w:rPr>
              <w:t>Fidelity Advisor Freedom 2010</w:t>
            </w:r>
          </w:p>
        </w:tc>
        <w:tc>
          <w:tcPr>
            <w:tcW w:w="3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480" w:type="dxa"/>
            <w:vAlign w:val="bottom"/>
            <w:tcBorders>
              <w:bottom w:val="single" w:sz="8" w:color="auto"/>
            </w:tcBorders>
            <w:shd w:val="clear" w:color="auto" w:fill="CCEEFF"/>
          </w:tcPr>
          <w:p>
            <w:pPr>
              <w:ind w:left="200"/>
              <w:spacing w:after="0"/>
              <w:rPr>
                <w:sz w:val="20"/>
                <w:szCs w:val="20"/>
                <w:color w:val="auto"/>
              </w:rPr>
            </w:pPr>
            <w:r>
              <w:rPr>
                <w:rFonts w:ascii="Arial" w:cs="Arial" w:eastAsia="Arial" w:hAnsi="Arial"/>
                <w:sz w:val="18"/>
                <w:szCs w:val="18"/>
                <w:color w:val="auto"/>
              </w:rPr>
              <w:t>—</w:t>
            </w:r>
          </w:p>
        </w:tc>
        <w:tc>
          <w:tcPr>
            <w:tcW w:w="320" w:type="dxa"/>
            <w:vAlign w:val="bottom"/>
            <w:gridSpan w:val="2"/>
            <w:shd w:val="clear" w:color="auto" w:fill="CCEEFF"/>
          </w:tcPr>
          <w:p>
            <w:pPr>
              <w:spacing w:after="0"/>
              <w:rPr>
                <w:sz w:val="18"/>
                <w:szCs w:val="18"/>
                <w:color w:val="auto"/>
              </w:rPr>
            </w:pPr>
          </w:p>
        </w:tc>
        <w:tc>
          <w:tcPr>
            <w:tcW w:w="60" w:type="dxa"/>
            <w:vAlign w:val="bottom"/>
            <w:tcBorders>
              <w:right w:val="single" w:sz="8" w:color="CCEEFF"/>
            </w:tcBorders>
            <w:shd w:val="clear" w:color="auto" w:fill="CCEEFF"/>
          </w:tcPr>
          <w:p>
            <w:pPr>
              <w:spacing w:after="0"/>
              <w:rPr>
                <w:sz w:val="18"/>
                <w:szCs w:val="18"/>
                <w:color w:val="auto"/>
              </w:rPr>
            </w:pPr>
          </w:p>
        </w:tc>
        <w:tc>
          <w:tcPr>
            <w:tcW w:w="4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304</w:t>
            </w:r>
          </w:p>
        </w:tc>
        <w:tc>
          <w:tcPr>
            <w:tcW w:w="0" w:type="dxa"/>
            <w:vAlign w:val="bottom"/>
          </w:tcPr>
          <w:p>
            <w:pPr>
              <w:spacing w:after="0"/>
              <w:rPr>
                <w:sz w:val="1"/>
                <w:szCs w:val="1"/>
                <w:color w:val="auto"/>
              </w:rPr>
            </w:pPr>
          </w:p>
        </w:tc>
      </w:tr>
      <w:tr>
        <w:trPr>
          <w:trHeight w:val="222"/>
        </w:trPr>
        <w:tc>
          <w:tcPr>
            <w:tcW w:w="460" w:type="dxa"/>
            <w:vAlign w:val="bottom"/>
          </w:tcPr>
          <w:p>
            <w:pPr>
              <w:spacing w:after="0"/>
              <w:rPr>
                <w:sz w:val="19"/>
                <w:szCs w:val="19"/>
                <w:color w:val="auto"/>
              </w:rPr>
            </w:pPr>
          </w:p>
        </w:tc>
        <w:tc>
          <w:tcPr>
            <w:tcW w:w="3420" w:type="dxa"/>
            <w:vAlign w:val="bottom"/>
          </w:tcPr>
          <w:p>
            <w:pPr>
              <w:spacing w:after="0"/>
              <w:rPr>
                <w:sz w:val="19"/>
                <w:szCs w:val="19"/>
                <w:color w:val="auto"/>
              </w:rPr>
            </w:pPr>
          </w:p>
        </w:tc>
        <w:tc>
          <w:tcPr>
            <w:tcW w:w="31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80" w:type="dxa"/>
            <w:vAlign w:val="bottom"/>
            <w:gridSpan w:val="3"/>
          </w:tcPr>
          <w:p>
            <w:pPr>
              <w:jc w:val="center"/>
              <w:ind w:left="97"/>
              <w:spacing w:after="0"/>
              <w:rPr>
                <w:sz w:val="20"/>
                <w:szCs w:val="20"/>
                <w:color w:val="auto"/>
              </w:rPr>
            </w:pPr>
            <w:r>
              <w:rPr>
                <w:rFonts w:ascii="Arial" w:cs="Arial" w:eastAsia="Arial" w:hAnsi="Arial"/>
                <w:sz w:val="18"/>
                <w:szCs w:val="18"/>
                <w:u w:val="single" w:color="auto"/>
                <w:color w:val="auto"/>
                <w:w w:val="90"/>
              </w:rPr>
              <w:t>$</w:t>
            </w:r>
            <w:r>
              <w:rPr>
                <w:rFonts w:ascii="Arial" w:cs="Arial" w:eastAsia="Arial" w:hAnsi="Arial"/>
                <w:sz w:val="18"/>
                <w:szCs w:val="18"/>
                <w:color w:val="auto"/>
                <w:w w:val="90"/>
              </w:rPr>
              <w:t>1,039</w:t>
            </w:r>
          </w:p>
        </w:tc>
        <w:tc>
          <w:tcPr>
            <w:tcW w:w="2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520" w:type="dxa"/>
            <w:vAlign w:val="bottom"/>
            <w:gridSpan w:val="2"/>
          </w:tcPr>
          <w:p>
            <w:pPr>
              <w:jc w:val="right"/>
              <w:spacing w:after="0"/>
              <w:rPr>
                <w:sz w:val="20"/>
                <w:szCs w:val="20"/>
                <w:color w:val="auto"/>
              </w:rPr>
            </w:pPr>
            <w:r>
              <w:rPr>
                <w:rFonts w:ascii="Arial" w:cs="Arial" w:eastAsia="Arial" w:hAnsi="Arial"/>
                <w:sz w:val="18"/>
                <w:szCs w:val="18"/>
                <w:u w:val="single" w:color="auto"/>
                <w:color w:val="auto"/>
                <w:w w:val="87"/>
              </w:rPr>
              <w:t>$</w:t>
            </w:r>
            <w:r>
              <w:rPr>
                <w:rFonts w:ascii="Arial" w:cs="Arial" w:eastAsia="Arial" w:hAnsi="Arial"/>
                <w:sz w:val="18"/>
                <w:szCs w:val="18"/>
                <w:color w:val="auto"/>
                <w:w w:val="87"/>
              </w:rPr>
              <w:t>1,770</w:t>
            </w:r>
          </w:p>
        </w:tc>
        <w:tc>
          <w:tcPr>
            <w:tcW w:w="0" w:type="dxa"/>
            <w:vAlign w:val="bottom"/>
          </w:tcPr>
          <w:p>
            <w:pPr>
              <w:spacing w:after="0"/>
              <w:rPr>
                <w:sz w:val="1"/>
                <w:szCs w:val="1"/>
                <w:color w:val="auto"/>
              </w:rPr>
            </w:pPr>
          </w:p>
        </w:tc>
      </w:tr>
      <w:tr>
        <w:trPr>
          <w:trHeight w:val="20"/>
        </w:trPr>
        <w:tc>
          <w:tcPr>
            <w:tcW w:w="460" w:type="dxa"/>
            <w:vAlign w:val="bottom"/>
          </w:tcPr>
          <w:p>
            <w:pPr>
              <w:spacing w:after="0" w:line="20" w:lineRule="exact"/>
              <w:rPr>
                <w:sz w:val="1"/>
                <w:szCs w:val="1"/>
                <w:color w:val="auto"/>
              </w:rPr>
            </w:pPr>
          </w:p>
        </w:tc>
        <w:tc>
          <w:tcPr>
            <w:tcW w:w="3420" w:type="dxa"/>
            <w:vAlign w:val="bottom"/>
          </w:tcPr>
          <w:p>
            <w:pPr>
              <w:spacing w:after="0" w:line="20" w:lineRule="exact"/>
              <w:rPr>
                <w:sz w:val="1"/>
                <w:szCs w:val="1"/>
                <w:color w:val="auto"/>
              </w:rPr>
            </w:pPr>
          </w:p>
        </w:tc>
        <w:tc>
          <w:tcPr>
            <w:tcW w:w="31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33"/>
        </w:trPr>
        <w:tc>
          <w:tcPr>
            <w:tcW w:w="460" w:type="dxa"/>
            <w:vAlign w:val="bottom"/>
          </w:tcPr>
          <w:p>
            <w:pPr>
              <w:spacing w:after="0"/>
              <w:rPr>
                <w:sz w:val="24"/>
                <w:szCs w:val="24"/>
                <w:color w:val="auto"/>
              </w:rPr>
            </w:pPr>
          </w:p>
        </w:tc>
        <w:tc>
          <w:tcPr>
            <w:tcW w:w="3420" w:type="dxa"/>
            <w:vAlign w:val="bottom"/>
          </w:tcPr>
          <w:p>
            <w:pPr>
              <w:spacing w:after="0"/>
              <w:rPr>
                <w:sz w:val="24"/>
                <w:szCs w:val="24"/>
                <w:color w:val="auto"/>
              </w:rPr>
            </w:pPr>
          </w:p>
        </w:tc>
        <w:tc>
          <w:tcPr>
            <w:tcW w:w="31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0" w:type="dxa"/>
            <w:vAlign w:val="bottom"/>
            <w:gridSpan w:val="5"/>
          </w:tcPr>
          <w:p>
            <w:pPr>
              <w:jc w:val="right"/>
              <w:ind w:right="260"/>
              <w:spacing w:after="0"/>
              <w:rPr>
                <w:sz w:val="20"/>
                <w:szCs w:val="20"/>
                <w:color w:val="auto"/>
              </w:rPr>
            </w:pPr>
            <w:r>
              <w:rPr>
                <w:rFonts w:ascii="Arial" w:cs="Arial" w:eastAsia="Arial" w:hAnsi="Arial"/>
                <w:sz w:val="14"/>
                <w:szCs w:val="14"/>
                <w:b w:val="1"/>
                <w:bCs w:val="1"/>
                <w:color w:val="auto"/>
                <w:w w:val="93"/>
              </w:rPr>
              <w:t>Year Ended</w:t>
            </w:r>
          </w:p>
        </w:tc>
        <w:tc>
          <w:tcPr>
            <w:tcW w:w="6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61"/>
        </w:trPr>
        <w:tc>
          <w:tcPr>
            <w:tcW w:w="460" w:type="dxa"/>
            <w:vAlign w:val="bottom"/>
          </w:tcPr>
          <w:p>
            <w:pPr>
              <w:spacing w:after="0"/>
              <w:rPr>
                <w:sz w:val="14"/>
                <w:szCs w:val="14"/>
                <w:color w:val="auto"/>
              </w:rPr>
            </w:pPr>
          </w:p>
        </w:tc>
        <w:tc>
          <w:tcPr>
            <w:tcW w:w="3420" w:type="dxa"/>
            <w:vAlign w:val="bottom"/>
          </w:tcPr>
          <w:p>
            <w:pPr>
              <w:spacing w:after="0"/>
              <w:rPr>
                <w:sz w:val="14"/>
                <w:szCs w:val="14"/>
                <w:color w:val="auto"/>
              </w:rPr>
            </w:pPr>
          </w:p>
        </w:tc>
        <w:tc>
          <w:tcPr>
            <w:tcW w:w="4280" w:type="dxa"/>
            <w:vAlign w:val="bottom"/>
            <w:gridSpan w:val="7"/>
          </w:tcPr>
          <w:p>
            <w:pPr>
              <w:ind w:left="3140"/>
              <w:spacing w:after="0"/>
              <w:rPr>
                <w:sz w:val="20"/>
                <w:szCs w:val="20"/>
                <w:color w:val="auto"/>
              </w:rPr>
            </w:pPr>
            <w:r>
              <w:rPr>
                <w:rFonts w:ascii="Arial" w:cs="Arial" w:eastAsia="Arial" w:hAnsi="Arial"/>
                <w:sz w:val="14"/>
                <w:szCs w:val="14"/>
                <w:b w:val="1"/>
                <w:bCs w:val="1"/>
                <w:color w:val="auto"/>
                <w:w w:val="88"/>
              </w:rPr>
              <w:t>December 31, 2009</w:t>
            </w:r>
          </w:p>
        </w:tc>
        <w:tc>
          <w:tcPr>
            <w:tcW w:w="6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460" w:type="dxa"/>
            <w:vAlign w:val="bottom"/>
          </w:tcPr>
          <w:p>
            <w:pPr>
              <w:spacing w:after="0"/>
              <w:rPr>
                <w:sz w:val="18"/>
                <w:szCs w:val="18"/>
                <w:color w:val="auto"/>
              </w:rPr>
            </w:pPr>
          </w:p>
        </w:tc>
        <w:tc>
          <w:tcPr>
            <w:tcW w:w="3420" w:type="dxa"/>
            <w:vAlign w:val="bottom"/>
            <w:shd w:val="clear" w:color="auto" w:fill="CCEEFF"/>
          </w:tcPr>
          <w:p>
            <w:pPr>
              <w:spacing w:after="0"/>
              <w:rPr>
                <w:sz w:val="20"/>
                <w:szCs w:val="20"/>
                <w:color w:val="auto"/>
              </w:rPr>
            </w:pPr>
            <w:r>
              <w:rPr>
                <w:rFonts w:ascii="Arial" w:cs="Arial" w:eastAsia="Arial" w:hAnsi="Arial"/>
                <w:sz w:val="18"/>
                <w:szCs w:val="18"/>
                <w:color w:val="auto"/>
              </w:rPr>
              <w:t>Change in net Assets:</w:t>
            </w:r>
          </w:p>
        </w:tc>
        <w:tc>
          <w:tcPr>
            <w:tcW w:w="3140" w:type="dxa"/>
            <w:vAlign w:val="bottom"/>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18"/>
                <w:szCs w:val="18"/>
                <w:color w:val="auto"/>
              </w:rPr>
            </w:pPr>
          </w:p>
        </w:tc>
        <w:tc>
          <w:tcPr>
            <w:tcW w:w="20" w:type="dxa"/>
            <w:vAlign w:val="bottom"/>
            <w:tcBorders>
              <w:top w:val="single" w:sz="8" w:color="auto"/>
            </w:tcBorders>
            <w:shd w:val="clear" w:color="auto" w:fill="CCEEFF"/>
          </w:tcPr>
          <w:p>
            <w:pPr>
              <w:spacing w:after="0"/>
              <w:rPr>
                <w:sz w:val="18"/>
                <w:szCs w:val="18"/>
                <w:color w:val="auto"/>
              </w:rPr>
            </w:pPr>
          </w:p>
        </w:tc>
        <w:tc>
          <w:tcPr>
            <w:tcW w:w="480" w:type="dxa"/>
            <w:vAlign w:val="bottom"/>
            <w:tcBorders>
              <w:top w:val="single" w:sz="8" w:color="auto"/>
            </w:tcBorders>
            <w:shd w:val="clear" w:color="auto" w:fill="CCEEFF"/>
          </w:tcPr>
          <w:p>
            <w:pPr>
              <w:spacing w:after="0"/>
              <w:rPr>
                <w:sz w:val="18"/>
                <w:szCs w:val="18"/>
                <w:color w:val="auto"/>
              </w:rPr>
            </w:pPr>
          </w:p>
        </w:tc>
        <w:tc>
          <w:tcPr>
            <w:tcW w:w="260" w:type="dxa"/>
            <w:vAlign w:val="bottom"/>
            <w:tcBorders>
              <w:top w:val="single" w:sz="8" w:color="auto"/>
            </w:tcBorders>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60" w:type="dxa"/>
            <w:vAlign w:val="bottom"/>
            <w:tcBorders>
              <w:right w:val="single" w:sz="8" w:color="CCEEFF"/>
            </w:tcBorders>
            <w:shd w:val="clear" w:color="auto" w:fill="CCEEFF"/>
          </w:tcPr>
          <w:p>
            <w:pPr>
              <w:spacing w:after="0"/>
              <w:rPr>
                <w:sz w:val="18"/>
                <w:szCs w:val="18"/>
                <w:color w:val="auto"/>
              </w:rPr>
            </w:pPr>
          </w:p>
        </w:tc>
        <w:tc>
          <w:tcPr>
            <w:tcW w:w="4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60" w:type="dxa"/>
            <w:vAlign w:val="bottom"/>
          </w:tcPr>
          <w:p>
            <w:pPr>
              <w:spacing w:after="0"/>
              <w:rPr>
                <w:sz w:val="18"/>
                <w:szCs w:val="18"/>
                <w:color w:val="auto"/>
              </w:rPr>
            </w:pPr>
          </w:p>
        </w:tc>
        <w:tc>
          <w:tcPr>
            <w:tcW w:w="3420" w:type="dxa"/>
            <w:vAlign w:val="bottom"/>
          </w:tcPr>
          <w:p>
            <w:pPr>
              <w:ind w:left="440"/>
              <w:spacing w:after="0"/>
              <w:rPr>
                <w:sz w:val="20"/>
                <w:szCs w:val="20"/>
                <w:color w:val="auto"/>
              </w:rPr>
            </w:pPr>
            <w:r>
              <w:rPr>
                <w:rFonts w:ascii="Arial" w:cs="Arial" w:eastAsia="Arial" w:hAnsi="Arial"/>
                <w:sz w:val="18"/>
                <w:szCs w:val="18"/>
                <w:color w:val="auto"/>
              </w:rPr>
              <w:t>Interest and dividend income</w:t>
            </w:r>
          </w:p>
        </w:tc>
        <w:tc>
          <w:tcPr>
            <w:tcW w:w="3280" w:type="dxa"/>
            <w:vAlign w:val="bottom"/>
            <w:gridSpan w:val="2"/>
          </w:tcPr>
          <w:p>
            <w:pPr>
              <w:ind w:left="3120"/>
              <w:spacing w:after="0"/>
              <w:rPr>
                <w:sz w:val="20"/>
                <w:szCs w:val="20"/>
                <w:color w:val="auto"/>
              </w:rPr>
            </w:pPr>
            <w:r>
              <w:rPr>
                <w:rFonts w:ascii="Arial" w:cs="Arial" w:eastAsia="Arial" w:hAnsi="Arial"/>
                <w:sz w:val="18"/>
                <w:szCs w:val="18"/>
                <w:color w:val="auto"/>
              </w:rPr>
              <w:t>$</w:t>
            </w:r>
          </w:p>
        </w:tc>
        <w:tc>
          <w:tcPr>
            <w:tcW w:w="940" w:type="dxa"/>
            <w:vAlign w:val="bottom"/>
            <w:gridSpan w:val="4"/>
          </w:tcPr>
          <w:p>
            <w:pPr>
              <w:jc w:val="right"/>
              <w:spacing w:after="0"/>
              <w:rPr>
                <w:sz w:val="20"/>
                <w:szCs w:val="20"/>
                <w:color w:val="auto"/>
              </w:rPr>
            </w:pPr>
            <w:r>
              <w:rPr>
                <w:rFonts w:ascii="Arial" w:cs="Arial" w:eastAsia="Arial" w:hAnsi="Arial"/>
                <w:sz w:val="18"/>
                <w:szCs w:val="18"/>
                <w:color w:val="auto"/>
              </w:rPr>
              <w:t>13</w:t>
            </w:r>
          </w:p>
        </w:tc>
        <w:tc>
          <w:tcPr>
            <w:tcW w:w="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60" w:type="dxa"/>
            <w:vAlign w:val="bottom"/>
          </w:tcPr>
          <w:p>
            <w:pPr>
              <w:spacing w:after="0"/>
              <w:rPr>
                <w:sz w:val="18"/>
                <w:szCs w:val="18"/>
                <w:color w:val="auto"/>
              </w:rPr>
            </w:pPr>
          </w:p>
        </w:tc>
        <w:tc>
          <w:tcPr>
            <w:tcW w:w="3420" w:type="dxa"/>
            <w:vAlign w:val="bottom"/>
            <w:shd w:val="clear" w:color="auto" w:fill="CCEEFF"/>
          </w:tcPr>
          <w:p>
            <w:pPr>
              <w:ind w:left="440"/>
              <w:spacing w:after="0"/>
              <w:rPr>
                <w:sz w:val="20"/>
                <w:szCs w:val="20"/>
                <w:color w:val="auto"/>
              </w:rPr>
            </w:pPr>
            <w:r>
              <w:rPr>
                <w:rFonts w:ascii="Arial" w:cs="Arial" w:eastAsia="Arial" w:hAnsi="Arial"/>
                <w:sz w:val="18"/>
                <w:szCs w:val="18"/>
                <w:color w:val="auto"/>
              </w:rPr>
              <w:t>Current year forfeitures</w:t>
            </w:r>
          </w:p>
        </w:tc>
        <w:tc>
          <w:tcPr>
            <w:tcW w:w="3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40" w:type="dxa"/>
            <w:vAlign w:val="bottom"/>
            <w:gridSpan w:val="4"/>
            <w:shd w:val="clear" w:color="auto" w:fill="CCEEFF"/>
          </w:tcPr>
          <w:p>
            <w:pPr>
              <w:jc w:val="right"/>
              <w:spacing w:after="0"/>
              <w:rPr>
                <w:sz w:val="20"/>
                <w:szCs w:val="20"/>
                <w:color w:val="auto"/>
              </w:rPr>
            </w:pPr>
            <w:r>
              <w:rPr>
                <w:rFonts w:ascii="Arial" w:cs="Arial" w:eastAsia="Arial" w:hAnsi="Arial"/>
                <w:sz w:val="18"/>
                <w:szCs w:val="18"/>
                <w:color w:val="auto"/>
              </w:rPr>
              <w:t>614</w:t>
            </w:r>
          </w:p>
        </w:tc>
        <w:tc>
          <w:tcPr>
            <w:tcW w:w="60" w:type="dxa"/>
            <w:vAlign w:val="bottom"/>
            <w:shd w:val="clear" w:color="auto" w:fill="CCEEFF"/>
          </w:tcPr>
          <w:p>
            <w:pPr>
              <w:spacing w:after="0"/>
              <w:rPr>
                <w:sz w:val="18"/>
                <w:szCs w:val="18"/>
                <w:color w:val="auto"/>
              </w:rPr>
            </w:pPr>
          </w:p>
        </w:tc>
        <w:tc>
          <w:tcPr>
            <w:tcW w:w="60" w:type="dxa"/>
            <w:vAlign w:val="bottom"/>
            <w:tcBorders>
              <w:right w:val="single" w:sz="8" w:color="CCEEFF"/>
            </w:tcBorders>
            <w:shd w:val="clear" w:color="auto" w:fill="CCEEFF"/>
          </w:tcPr>
          <w:p>
            <w:pPr>
              <w:spacing w:after="0"/>
              <w:rPr>
                <w:sz w:val="18"/>
                <w:szCs w:val="18"/>
                <w:color w:val="auto"/>
              </w:rPr>
            </w:pPr>
          </w:p>
        </w:tc>
        <w:tc>
          <w:tcPr>
            <w:tcW w:w="4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60" w:type="dxa"/>
            <w:vAlign w:val="bottom"/>
          </w:tcPr>
          <w:p>
            <w:pPr>
              <w:spacing w:after="0"/>
              <w:rPr>
                <w:sz w:val="18"/>
                <w:szCs w:val="18"/>
                <w:color w:val="auto"/>
              </w:rPr>
            </w:pPr>
          </w:p>
        </w:tc>
        <w:tc>
          <w:tcPr>
            <w:tcW w:w="3420" w:type="dxa"/>
            <w:vAlign w:val="bottom"/>
          </w:tcPr>
          <w:p>
            <w:pPr>
              <w:ind w:left="440"/>
              <w:spacing w:after="0"/>
              <w:rPr>
                <w:sz w:val="20"/>
                <w:szCs w:val="20"/>
                <w:color w:val="auto"/>
              </w:rPr>
            </w:pPr>
            <w:r>
              <w:rPr>
                <w:rFonts w:ascii="Arial" w:cs="Arial" w:eastAsia="Arial" w:hAnsi="Arial"/>
                <w:sz w:val="18"/>
                <w:szCs w:val="18"/>
                <w:color w:val="auto"/>
              </w:rPr>
              <w:t>Forfeitures used for employer match</w:t>
            </w:r>
          </w:p>
        </w:tc>
        <w:tc>
          <w:tcPr>
            <w:tcW w:w="3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0" w:type="dxa"/>
            <w:vAlign w:val="bottom"/>
            <w:gridSpan w:val="5"/>
          </w:tcPr>
          <w:p>
            <w:pPr>
              <w:jc w:val="right"/>
              <w:spacing w:after="0"/>
              <w:rPr>
                <w:sz w:val="20"/>
                <w:szCs w:val="20"/>
                <w:color w:val="auto"/>
              </w:rPr>
            </w:pPr>
            <w:r>
              <w:rPr>
                <w:rFonts w:ascii="Arial" w:cs="Arial" w:eastAsia="Arial" w:hAnsi="Arial"/>
                <w:sz w:val="18"/>
                <w:szCs w:val="18"/>
                <w:color w:val="auto"/>
              </w:rPr>
              <w:t>(1,358)</w:t>
            </w:r>
          </w:p>
        </w:tc>
        <w:tc>
          <w:tcPr>
            <w:tcW w:w="6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460" w:type="dxa"/>
            <w:vAlign w:val="bottom"/>
          </w:tcPr>
          <w:p>
            <w:pPr>
              <w:spacing w:after="0"/>
              <w:rPr>
                <w:sz w:val="2"/>
                <w:szCs w:val="2"/>
                <w:color w:val="auto"/>
              </w:rPr>
            </w:pPr>
          </w:p>
        </w:tc>
        <w:tc>
          <w:tcPr>
            <w:tcW w:w="3420" w:type="dxa"/>
            <w:vAlign w:val="bottom"/>
          </w:tcPr>
          <w:p>
            <w:pPr>
              <w:spacing w:after="0"/>
              <w:rPr>
                <w:sz w:val="2"/>
                <w:szCs w:val="2"/>
                <w:color w:val="auto"/>
              </w:rPr>
            </w:pPr>
          </w:p>
        </w:tc>
        <w:tc>
          <w:tcPr>
            <w:tcW w:w="314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20" w:type="dxa"/>
            <w:vAlign w:val="bottom"/>
            <w:shd w:val="clear" w:color="auto" w:fill="000000"/>
          </w:tcPr>
          <w:p>
            <w:pPr>
              <w:spacing w:after="0"/>
              <w:rPr>
                <w:sz w:val="2"/>
                <w:szCs w:val="2"/>
                <w:color w:val="auto"/>
              </w:rPr>
            </w:pPr>
          </w:p>
        </w:tc>
        <w:tc>
          <w:tcPr>
            <w:tcW w:w="480" w:type="dxa"/>
            <w:vAlign w:val="bottom"/>
            <w:shd w:val="clear" w:color="auto" w:fill="000000"/>
          </w:tcPr>
          <w:p>
            <w:pPr>
              <w:spacing w:after="0"/>
              <w:rPr>
                <w:sz w:val="2"/>
                <w:szCs w:val="2"/>
                <w:color w:val="auto"/>
              </w:rPr>
            </w:pPr>
          </w:p>
        </w:tc>
        <w:tc>
          <w:tcPr>
            <w:tcW w:w="26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c>
          <w:tcPr>
            <w:tcW w:w="60" w:type="dxa"/>
            <w:vAlign w:val="bottom"/>
          </w:tcPr>
          <w:p>
            <w:pPr>
              <w:spacing w:after="0"/>
              <w:rPr>
                <w:sz w:val="2"/>
                <w:szCs w:val="2"/>
                <w:color w:val="auto"/>
              </w:rPr>
            </w:pPr>
          </w:p>
        </w:tc>
        <w:tc>
          <w:tcPr>
            <w:tcW w:w="4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460" w:type="dxa"/>
            <w:vAlign w:val="bottom"/>
          </w:tcPr>
          <w:p>
            <w:pPr>
              <w:spacing w:after="0"/>
              <w:rPr>
                <w:sz w:val="18"/>
                <w:szCs w:val="18"/>
                <w:color w:val="auto"/>
              </w:rPr>
            </w:pPr>
          </w:p>
        </w:tc>
        <w:tc>
          <w:tcPr>
            <w:tcW w:w="3420" w:type="dxa"/>
            <w:vAlign w:val="bottom"/>
            <w:shd w:val="clear" w:color="auto" w:fill="CCEEFF"/>
          </w:tcPr>
          <w:p>
            <w:pPr>
              <w:spacing w:after="0"/>
              <w:rPr>
                <w:sz w:val="18"/>
                <w:szCs w:val="18"/>
                <w:color w:val="auto"/>
              </w:rPr>
            </w:pPr>
          </w:p>
        </w:tc>
        <w:tc>
          <w:tcPr>
            <w:tcW w:w="3280" w:type="dxa"/>
            <w:vAlign w:val="bottom"/>
            <w:gridSpan w:val="2"/>
            <w:shd w:val="clear" w:color="auto" w:fill="CCEEFF"/>
          </w:tcPr>
          <w:p>
            <w:pPr>
              <w:ind w:left="3120"/>
              <w:spacing w:after="0"/>
              <w:rPr>
                <w:sz w:val="20"/>
                <w:szCs w:val="20"/>
                <w:color w:val="auto"/>
              </w:rPr>
            </w:pPr>
            <w:r>
              <w:rPr>
                <w:rFonts w:ascii="Arial" w:cs="Arial" w:eastAsia="Arial" w:hAnsi="Arial"/>
                <w:sz w:val="18"/>
                <w:szCs w:val="18"/>
                <w:color w:val="auto"/>
              </w:rPr>
              <w:t>$</w:t>
            </w:r>
          </w:p>
        </w:tc>
        <w:tc>
          <w:tcPr>
            <w:tcW w:w="1000" w:type="dxa"/>
            <w:vAlign w:val="bottom"/>
            <w:gridSpan w:val="5"/>
            <w:shd w:val="clear" w:color="auto" w:fill="CCEEFF"/>
          </w:tcPr>
          <w:p>
            <w:pPr>
              <w:jc w:val="right"/>
              <w:spacing w:after="0"/>
              <w:rPr>
                <w:sz w:val="20"/>
                <w:szCs w:val="20"/>
                <w:color w:val="auto"/>
              </w:rPr>
            </w:pPr>
            <w:r>
              <w:rPr>
                <w:rFonts w:ascii="Arial" w:cs="Arial" w:eastAsia="Arial" w:hAnsi="Arial"/>
                <w:sz w:val="18"/>
                <w:szCs w:val="18"/>
                <w:color w:val="auto"/>
              </w:rPr>
              <w:t>(731)</w:t>
            </w:r>
          </w:p>
        </w:tc>
        <w:tc>
          <w:tcPr>
            <w:tcW w:w="60" w:type="dxa"/>
            <w:vAlign w:val="bottom"/>
            <w:tcBorders>
              <w:right w:val="single" w:sz="8" w:color="CCEEFF"/>
            </w:tcBorders>
            <w:shd w:val="clear" w:color="auto" w:fill="CCEEFF"/>
          </w:tcPr>
          <w:p>
            <w:pPr>
              <w:spacing w:after="0"/>
              <w:rPr>
                <w:sz w:val="18"/>
                <w:szCs w:val="18"/>
                <w:color w:val="auto"/>
              </w:rPr>
            </w:pPr>
          </w:p>
        </w:tc>
        <w:tc>
          <w:tcPr>
            <w:tcW w:w="4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460" w:type="dxa"/>
            <w:vAlign w:val="bottom"/>
          </w:tcPr>
          <w:p>
            <w:pPr>
              <w:spacing w:after="0" w:line="20" w:lineRule="exact"/>
              <w:rPr>
                <w:sz w:val="1"/>
                <w:szCs w:val="1"/>
                <w:color w:val="auto"/>
              </w:rPr>
            </w:pPr>
          </w:p>
        </w:tc>
        <w:tc>
          <w:tcPr>
            <w:tcW w:w="3420" w:type="dxa"/>
            <w:vAlign w:val="bottom"/>
          </w:tcPr>
          <w:p>
            <w:pPr>
              <w:spacing w:after="0" w:line="20" w:lineRule="exact"/>
              <w:rPr>
                <w:sz w:val="1"/>
                <w:szCs w:val="1"/>
                <w:color w:val="auto"/>
              </w:rPr>
            </w:pPr>
          </w:p>
        </w:tc>
        <w:tc>
          <w:tcPr>
            <w:tcW w:w="3140" w:type="dxa"/>
            <w:vAlign w:val="bottom"/>
            <w:vMerge w:val="restart"/>
          </w:tcPr>
          <w:p>
            <w:pPr>
              <w:jc w:val="right"/>
              <w:ind w:right="2557"/>
              <w:spacing w:after="0"/>
              <w:rPr>
                <w:sz w:val="20"/>
                <w:szCs w:val="20"/>
                <w:color w:val="auto"/>
              </w:rPr>
            </w:pPr>
            <w:r>
              <w:rPr>
                <w:rFonts w:ascii="Arial" w:cs="Arial" w:eastAsia="Arial" w:hAnsi="Arial"/>
                <w:sz w:val="18"/>
                <w:szCs w:val="18"/>
                <w:color w:val="auto"/>
              </w:rPr>
              <w:t>9</w:t>
            </w:r>
          </w:p>
        </w:tc>
        <w:tc>
          <w:tcPr>
            <w:tcW w:w="14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7"/>
        </w:trPr>
        <w:tc>
          <w:tcPr>
            <w:tcW w:w="460" w:type="dxa"/>
            <w:vAlign w:val="bottom"/>
          </w:tcPr>
          <w:p>
            <w:pPr>
              <w:spacing w:after="0"/>
              <w:rPr>
                <w:sz w:val="24"/>
                <w:szCs w:val="24"/>
                <w:color w:val="auto"/>
              </w:rPr>
            </w:pPr>
          </w:p>
        </w:tc>
        <w:tc>
          <w:tcPr>
            <w:tcW w:w="3420" w:type="dxa"/>
            <w:vAlign w:val="bottom"/>
          </w:tcPr>
          <w:p>
            <w:pPr>
              <w:spacing w:after="0"/>
              <w:rPr>
                <w:sz w:val="24"/>
                <w:szCs w:val="24"/>
                <w:color w:val="auto"/>
              </w:rPr>
            </w:pPr>
          </w:p>
        </w:tc>
        <w:tc>
          <w:tcPr>
            <w:tcW w:w="3140" w:type="dxa"/>
            <w:vAlign w:val="bottom"/>
            <w:vMerge w:val="continue"/>
          </w:tcPr>
          <w:p>
            <w:pPr>
              <w:spacing w:after="0"/>
              <w:rPr>
                <w:sz w:val="24"/>
                <w:szCs w:val="24"/>
                <w:color w:val="auto"/>
              </w:rPr>
            </w:pPr>
          </w:p>
        </w:tc>
        <w:tc>
          <w:tcPr>
            <w:tcW w:w="1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120"/>
          </w:cols>
          <w:pgMar w:left="240" w:top="459" w:right="539" w:bottom="1440" w:gutter="0" w:footer="0" w:header="0"/>
        </w:sectPr>
      </w:pPr>
    </w:p>
    <w:bookmarkStart w:id="11" w:name="page12"/>
    <w:bookmarkEnd w:id="1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Casual Male Retail Group, Inc. 401(k) Hourly Savings Plan</w:t>
      </w:r>
    </w:p>
    <w:p>
      <w:pPr>
        <w:spacing w:after="0" w:line="9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Financial Statements—(Continued)</w:t>
      </w:r>
    </w:p>
    <w:p>
      <w:pPr>
        <w:spacing w:after="0" w:line="15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Note 5- </w:t>
      </w:r>
      <w:r>
        <w:rPr>
          <w:rFonts w:ascii="Arial" w:cs="Arial" w:eastAsia="Arial" w:hAnsi="Arial"/>
          <w:sz w:val="18"/>
          <w:szCs w:val="18"/>
          <w:b w:val="1"/>
          <w:bCs w:val="1"/>
          <w:u w:val="single" w:color="auto"/>
          <w:color w:val="auto"/>
        </w:rPr>
        <w:t>Fair Value Measurements</w:t>
      </w:r>
    </w:p>
    <w:p>
      <w:pPr>
        <w:spacing w:after="0" w:line="96" w:lineRule="exact"/>
        <w:rPr>
          <w:sz w:val="20"/>
          <w:szCs w:val="20"/>
          <w:color w:val="auto"/>
        </w:rPr>
      </w:pPr>
    </w:p>
    <w:p>
      <w:pPr>
        <w:jc w:val="both"/>
        <w:spacing w:after="0" w:line="298" w:lineRule="auto"/>
        <w:rPr>
          <w:sz w:val="20"/>
          <w:szCs w:val="20"/>
          <w:color w:val="auto"/>
        </w:rPr>
      </w:pPr>
      <w:r>
        <w:rPr>
          <w:rFonts w:ascii="Arial" w:cs="Arial" w:eastAsia="Arial" w:hAnsi="Arial"/>
          <w:sz w:val="16"/>
          <w:szCs w:val="16"/>
          <w:color w:val="auto"/>
        </w:rPr>
        <w:t>The Plan measures fair value in accordance with the FASB’s Accounting Standards Codification (“ASC”) 820</w:t>
      </w:r>
      <w:r>
        <w:rPr>
          <w:rFonts w:ascii="Arial" w:cs="Arial" w:eastAsia="Arial" w:hAnsi="Arial"/>
          <w:sz w:val="16"/>
          <w:szCs w:val="16"/>
          <w:i w:val="1"/>
          <w:iCs w:val="1"/>
          <w:color w:val="auto"/>
        </w:rPr>
        <w:t>, Fair Value Measurements and Disclosures,</w:t>
      </w:r>
      <w:r>
        <w:rPr>
          <w:rFonts w:ascii="Arial" w:cs="Arial" w:eastAsia="Arial" w:hAnsi="Arial"/>
          <w:sz w:val="16"/>
          <w:szCs w:val="16"/>
          <w:color w:val="auto"/>
        </w:rPr>
        <w:t xml:space="preserve"> which provides a fair value hierarchy that prioritizes the inputs to valuation techniques used to measure fair value. The hierarchy gives the highest priority to unadjusted quoted prices in active markets for identical assets or liabilities (level 1 measurements) and the lowest priority to unobservable inputs (level 3 measurements). The three levels of the fair value hierarchy under FASB ASC 820 are described as follows:</w:t>
      </w:r>
    </w:p>
    <w:p>
      <w:pPr>
        <w:spacing w:after="0" w:line="153"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1200" w:type="dxa"/>
            <w:vAlign w:val="bottom"/>
          </w:tcPr>
          <w:p>
            <w:pPr>
              <w:spacing w:after="0"/>
              <w:rPr>
                <w:sz w:val="20"/>
                <w:szCs w:val="20"/>
                <w:color w:val="auto"/>
              </w:rPr>
            </w:pPr>
            <w:r>
              <w:rPr>
                <w:rFonts w:ascii="Arial" w:cs="Arial" w:eastAsia="Arial" w:hAnsi="Arial"/>
                <w:sz w:val="18"/>
                <w:szCs w:val="18"/>
                <w:color w:val="auto"/>
              </w:rPr>
              <w:t>Level 1</w:t>
            </w:r>
          </w:p>
        </w:tc>
        <w:tc>
          <w:tcPr>
            <w:tcW w:w="10160" w:type="dxa"/>
            <w:vAlign w:val="bottom"/>
            <w:gridSpan w:val="2"/>
          </w:tcPr>
          <w:p>
            <w:pPr>
              <w:ind w:left="640"/>
              <w:spacing w:after="0"/>
              <w:rPr>
                <w:sz w:val="20"/>
                <w:szCs w:val="20"/>
                <w:color w:val="auto"/>
              </w:rPr>
            </w:pPr>
            <w:r>
              <w:rPr>
                <w:rFonts w:ascii="Arial" w:cs="Arial" w:eastAsia="Arial" w:hAnsi="Arial"/>
                <w:sz w:val="18"/>
                <w:szCs w:val="18"/>
                <w:color w:val="auto"/>
                <w:w w:val="88"/>
              </w:rPr>
              <w:t>Inputs to the valuation methodology are unadjusted quoted prices for identical assets or liabilities in active markets that the plan has the</w:t>
            </w:r>
          </w:p>
        </w:tc>
      </w:tr>
      <w:tr>
        <w:trPr>
          <w:trHeight w:val="222"/>
        </w:trPr>
        <w:tc>
          <w:tcPr>
            <w:tcW w:w="1200" w:type="dxa"/>
            <w:vAlign w:val="bottom"/>
          </w:tcPr>
          <w:p>
            <w:pPr>
              <w:spacing w:after="0"/>
              <w:rPr>
                <w:sz w:val="19"/>
                <w:szCs w:val="19"/>
                <w:color w:val="auto"/>
              </w:rPr>
            </w:pPr>
          </w:p>
        </w:tc>
        <w:tc>
          <w:tcPr>
            <w:tcW w:w="10160" w:type="dxa"/>
            <w:vAlign w:val="bottom"/>
            <w:gridSpan w:val="2"/>
          </w:tcPr>
          <w:p>
            <w:pPr>
              <w:ind w:left="640"/>
              <w:spacing w:after="0"/>
              <w:rPr>
                <w:sz w:val="20"/>
                <w:szCs w:val="20"/>
                <w:color w:val="auto"/>
              </w:rPr>
            </w:pPr>
            <w:r>
              <w:rPr>
                <w:rFonts w:ascii="Arial" w:cs="Arial" w:eastAsia="Arial" w:hAnsi="Arial"/>
                <w:sz w:val="18"/>
                <w:szCs w:val="18"/>
                <w:color w:val="auto"/>
              </w:rPr>
              <w:t>ability to access.</w:t>
            </w:r>
          </w:p>
        </w:tc>
      </w:tr>
      <w:tr>
        <w:trPr>
          <w:trHeight w:val="324"/>
        </w:trPr>
        <w:tc>
          <w:tcPr>
            <w:tcW w:w="1200" w:type="dxa"/>
            <w:vAlign w:val="bottom"/>
          </w:tcPr>
          <w:p>
            <w:pPr>
              <w:spacing w:after="0"/>
              <w:rPr>
                <w:sz w:val="20"/>
                <w:szCs w:val="20"/>
                <w:color w:val="auto"/>
              </w:rPr>
            </w:pPr>
            <w:r>
              <w:rPr>
                <w:rFonts w:ascii="Arial" w:cs="Arial" w:eastAsia="Arial" w:hAnsi="Arial"/>
                <w:sz w:val="18"/>
                <w:szCs w:val="18"/>
                <w:color w:val="auto"/>
              </w:rPr>
              <w:t>Level 2</w:t>
            </w:r>
          </w:p>
        </w:tc>
        <w:tc>
          <w:tcPr>
            <w:tcW w:w="10160" w:type="dxa"/>
            <w:vAlign w:val="bottom"/>
            <w:gridSpan w:val="2"/>
          </w:tcPr>
          <w:p>
            <w:pPr>
              <w:ind w:left="640"/>
              <w:spacing w:after="0"/>
              <w:rPr>
                <w:sz w:val="20"/>
                <w:szCs w:val="20"/>
                <w:color w:val="auto"/>
              </w:rPr>
            </w:pPr>
            <w:r>
              <w:rPr>
                <w:rFonts w:ascii="Arial" w:cs="Arial" w:eastAsia="Arial" w:hAnsi="Arial"/>
                <w:sz w:val="18"/>
                <w:szCs w:val="18"/>
                <w:color w:val="auto"/>
              </w:rPr>
              <w:t>Inputs to the valuation methodology include</w:t>
            </w:r>
          </w:p>
        </w:tc>
      </w:tr>
      <w:tr>
        <w:trPr>
          <w:trHeight w:val="324"/>
        </w:trPr>
        <w:tc>
          <w:tcPr>
            <w:tcW w:w="1200" w:type="dxa"/>
            <w:vAlign w:val="bottom"/>
          </w:tcPr>
          <w:p>
            <w:pPr>
              <w:spacing w:after="0"/>
              <w:rPr>
                <w:sz w:val="24"/>
                <w:szCs w:val="24"/>
                <w:color w:val="auto"/>
              </w:rPr>
            </w:pPr>
          </w:p>
        </w:tc>
        <w:tc>
          <w:tcPr>
            <w:tcW w:w="900" w:type="dxa"/>
            <w:vAlign w:val="bottom"/>
          </w:tcPr>
          <w:p>
            <w:pPr>
              <w:ind w:left="640"/>
              <w:spacing w:after="0"/>
              <w:rPr>
                <w:sz w:val="20"/>
                <w:szCs w:val="20"/>
                <w:color w:val="auto"/>
              </w:rPr>
            </w:pPr>
            <w:r>
              <w:rPr>
                <w:rFonts w:ascii="Arial" w:cs="Arial" w:eastAsia="Arial" w:hAnsi="Arial"/>
                <w:sz w:val="18"/>
                <w:szCs w:val="18"/>
                <w:color w:val="auto"/>
              </w:rPr>
              <w:t>•</w:t>
            </w:r>
          </w:p>
        </w:tc>
        <w:tc>
          <w:tcPr>
            <w:tcW w:w="9260" w:type="dxa"/>
            <w:vAlign w:val="bottom"/>
          </w:tcPr>
          <w:p>
            <w:pPr>
              <w:ind w:left="200"/>
              <w:spacing w:after="0"/>
              <w:rPr>
                <w:sz w:val="20"/>
                <w:szCs w:val="20"/>
                <w:color w:val="auto"/>
              </w:rPr>
            </w:pPr>
            <w:r>
              <w:rPr>
                <w:rFonts w:ascii="Arial" w:cs="Arial" w:eastAsia="Arial" w:hAnsi="Arial"/>
                <w:sz w:val="18"/>
                <w:szCs w:val="18"/>
                <w:color w:val="auto"/>
              </w:rPr>
              <w:t>Quoted prices for similar assets or liabilities in active markets;</w:t>
            </w:r>
          </w:p>
        </w:tc>
      </w:tr>
      <w:tr>
        <w:trPr>
          <w:trHeight w:val="297"/>
        </w:trPr>
        <w:tc>
          <w:tcPr>
            <w:tcW w:w="1200" w:type="dxa"/>
            <w:vAlign w:val="bottom"/>
          </w:tcPr>
          <w:p>
            <w:pPr>
              <w:spacing w:after="0"/>
              <w:rPr>
                <w:sz w:val="24"/>
                <w:szCs w:val="24"/>
                <w:color w:val="auto"/>
              </w:rPr>
            </w:pPr>
          </w:p>
        </w:tc>
        <w:tc>
          <w:tcPr>
            <w:tcW w:w="900" w:type="dxa"/>
            <w:vAlign w:val="bottom"/>
          </w:tcPr>
          <w:p>
            <w:pPr>
              <w:ind w:left="640"/>
              <w:spacing w:after="0"/>
              <w:rPr>
                <w:sz w:val="20"/>
                <w:szCs w:val="20"/>
                <w:color w:val="auto"/>
              </w:rPr>
            </w:pPr>
            <w:r>
              <w:rPr>
                <w:rFonts w:ascii="Arial" w:cs="Arial" w:eastAsia="Arial" w:hAnsi="Arial"/>
                <w:sz w:val="18"/>
                <w:szCs w:val="18"/>
                <w:color w:val="auto"/>
              </w:rPr>
              <w:t>•</w:t>
            </w:r>
          </w:p>
        </w:tc>
        <w:tc>
          <w:tcPr>
            <w:tcW w:w="9260" w:type="dxa"/>
            <w:vAlign w:val="bottom"/>
          </w:tcPr>
          <w:p>
            <w:pPr>
              <w:ind w:left="200"/>
              <w:spacing w:after="0"/>
              <w:rPr>
                <w:sz w:val="20"/>
                <w:szCs w:val="20"/>
                <w:color w:val="auto"/>
              </w:rPr>
            </w:pPr>
            <w:r>
              <w:rPr>
                <w:rFonts w:ascii="Arial" w:cs="Arial" w:eastAsia="Arial" w:hAnsi="Arial"/>
                <w:sz w:val="18"/>
                <w:szCs w:val="18"/>
                <w:color w:val="auto"/>
              </w:rPr>
              <w:t>Quoted prices for identical or similar assets or liabilities in inactive markets;</w:t>
            </w:r>
          </w:p>
        </w:tc>
      </w:tr>
      <w:tr>
        <w:trPr>
          <w:trHeight w:val="297"/>
        </w:trPr>
        <w:tc>
          <w:tcPr>
            <w:tcW w:w="1200" w:type="dxa"/>
            <w:vAlign w:val="bottom"/>
          </w:tcPr>
          <w:p>
            <w:pPr>
              <w:spacing w:after="0"/>
              <w:rPr>
                <w:sz w:val="24"/>
                <w:szCs w:val="24"/>
                <w:color w:val="auto"/>
              </w:rPr>
            </w:pPr>
          </w:p>
        </w:tc>
        <w:tc>
          <w:tcPr>
            <w:tcW w:w="900" w:type="dxa"/>
            <w:vAlign w:val="bottom"/>
          </w:tcPr>
          <w:p>
            <w:pPr>
              <w:ind w:left="640"/>
              <w:spacing w:after="0"/>
              <w:rPr>
                <w:sz w:val="20"/>
                <w:szCs w:val="20"/>
                <w:color w:val="auto"/>
              </w:rPr>
            </w:pPr>
            <w:r>
              <w:rPr>
                <w:rFonts w:ascii="Arial" w:cs="Arial" w:eastAsia="Arial" w:hAnsi="Arial"/>
                <w:sz w:val="18"/>
                <w:szCs w:val="18"/>
                <w:color w:val="auto"/>
              </w:rPr>
              <w:t>•</w:t>
            </w:r>
          </w:p>
        </w:tc>
        <w:tc>
          <w:tcPr>
            <w:tcW w:w="9260" w:type="dxa"/>
            <w:vAlign w:val="bottom"/>
          </w:tcPr>
          <w:p>
            <w:pPr>
              <w:ind w:left="200"/>
              <w:spacing w:after="0"/>
              <w:rPr>
                <w:sz w:val="20"/>
                <w:szCs w:val="20"/>
                <w:color w:val="auto"/>
              </w:rPr>
            </w:pPr>
            <w:r>
              <w:rPr>
                <w:rFonts w:ascii="Arial" w:cs="Arial" w:eastAsia="Arial" w:hAnsi="Arial"/>
                <w:sz w:val="18"/>
                <w:szCs w:val="18"/>
                <w:color w:val="auto"/>
              </w:rPr>
              <w:t>Inputs other than quoted prices that are observable for the asset or liability;</w:t>
            </w:r>
          </w:p>
        </w:tc>
      </w:tr>
      <w:tr>
        <w:trPr>
          <w:trHeight w:val="297"/>
        </w:trPr>
        <w:tc>
          <w:tcPr>
            <w:tcW w:w="1200" w:type="dxa"/>
            <w:vAlign w:val="bottom"/>
          </w:tcPr>
          <w:p>
            <w:pPr>
              <w:spacing w:after="0"/>
              <w:rPr>
                <w:sz w:val="24"/>
                <w:szCs w:val="24"/>
                <w:color w:val="auto"/>
              </w:rPr>
            </w:pPr>
          </w:p>
        </w:tc>
        <w:tc>
          <w:tcPr>
            <w:tcW w:w="900" w:type="dxa"/>
            <w:vAlign w:val="bottom"/>
          </w:tcPr>
          <w:p>
            <w:pPr>
              <w:ind w:left="640"/>
              <w:spacing w:after="0"/>
              <w:rPr>
                <w:sz w:val="20"/>
                <w:szCs w:val="20"/>
                <w:color w:val="auto"/>
              </w:rPr>
            </w:pPr>
            <w:r>
              <w:rPr>
                <w:rFonts w:ascii="Arial" w:cs="Arial" w:eastAsia="Arial" w:hAnsi="Arial"/>
                <w:sz w:val="18"/>
                <w:szCs w:val="18"/>
                <w:color w:val="auto"/>
              </w:rPr>
              <w:t>•</w:t>
            </w:r>
          </w:p>
        </w:tc>
        <w:tc>
          <w:tcPr>
            <w:tcW w:w="9260" w:type="dxa"/>
            <w:vAlign w:val="bottom"/>
          </w:tcPr>
          <w:p>
            <w:pPr>
              <w:ind w:left="200"/>
              <w:spacing w:after="0"/>
              <w:rPr>
                <w:sz w:val="20"/>
                <w:szCs w:val="20"/>
                <w:color w:val="auto"/>
              </w:rPr>
            </w:pPr>
            <w:r>
              <w:rPr>
                <w:rFonts w:ascii="Arial" w:cs="Arial" w:eastAsia="Arial" w:hAnsi="Arial"/>
                <w:sz w:val="18"/>
                <w:szCs w:val="18"/>
                <w:color w:val="auto"/>
              </w:rPr>
              <w:t>Inputs that are derived principally from or corroborated by observable market data by correlation or other means.</w:t>
            </w:r>
          </w:p>
        </w:tc>
      </w:tr>
      <w:tr>
        <w:trPr>
          <w:trHeight w:val="331"/>
        </w:trPr>
        <w:tc>
          <w:tcPr>
            <w:tcW w:w="1200" w:type="dxa"/>
            <w:vAlign w:val="bottom"/>
          </w:tcPr>
          <w:p>
            <w:pPr>
              <w:spacing w:after="0"/>
              <w:rPr>
                <w:sz w:val="24"/>
                <w:szCs w:val="24"/>
                <w:color w:val="auto"/>
              </w:rPr>
            </w:pPr>
          </w:p>
        </w:tc>
        <w:tc>
          <w:tcPr>
            <w:tcW w:w="10160" w:type="dxa"/>
            <w:vAlign w:val="bottom"/>
            <w:gridSpan w:val="2"/>
          </w:tcPr>
          <w:p>
            <w:pPr>
              <w:ind w:left="640"/>
              <w:spacing w:after="0"/>
              <w:rPr>
                <w:sz w:val="20"/>
                <w:szCs w:val="20"/>
                <w:color w:val="auto"/>
              </w:rPr>
            </w:pPr>
            <w:r>
              <w:rPr>
                <w:rFonts w:ascii="Arial" w:cs="Arial" w:eastAsia="Arial" w:hAnsi="Arial"/>
                <w:sz w:val="18"/>
                <w:szCs w:val="18"/>
                <w:color w:val="auto"/>
                <w:w w:val="89"/>
              </w:rPr>
              <w:t>If the asset or liability has a specified (contractual) term, the level 2 input must be observable for substantially the full term of the asset</w:t>
            </w:r>
          </w:p>
        </w:tc>
      </w:tr>
      <w:tr>
        <w:trPr>
          <w:trHeight w:val="222"/>
        </w:trPr>
        <w:tc>
          <w:tcPr>
            <w:tcW w:w="1200" w:type="dxa"/>
            <w:vAlign w:val="bottom"/>
          </w:tcPr>
          <w:p>
            <w:pPr>
              <w:spacing w:after="0"/>
              <w:rPr>
                <w:sz w:val="19"/>
                <w:szCs w:val="19"/>
                <w:color w:val="auto"/>
              </w:rPr>
            </w:pPr>
          </w:p>
        </w:tc>
        <w:tc>
          <w:tcPr>
            <w:tcW w:w="10160" w:type="dxa"/>
            <w:vAlign w:val="bottom"/>
            <w:gridSpan w:val="2"/>
          </w:tcPr>
          <w:p>
            <w:pPr>
              <w:ind w:left="640"/>
              <w:spacing w:after="0"/>
              <w:rPr>
                <w:sz w:val="20"/>
                <w:szCs w:val="20"/>
                <w:color w:val="auto"/>
              </w:rPr>
            </w:pPr>
            <w:r>
              <w:rPr>
                <w:rFonts w:ascii="Arial" w:cs="Arial" w:eastAsia="Arial" w:hAnsi="Arial"/>
                <w:sz w:val="18"/>
                <w:szCs w:val="18"/>
                <w:color w:val="auto"/>
              </w:rPr>
              <w:t>or liability.</w:t>
            </w:r>
          </w:p>
        </w:tc>
      </w:tr>
      <w:tr>
        <w:trPr>
          <w:trHeight w:val="324"/>
        </w:trPr>
        <w:tc>
          <w:tcPr>
            <w:tcW w:w="1200" w:type="dxa"/>
            <w:vAlign w:val="bottom"/>
          </w:tcPr>
          <w:p>
            <w:pPr>
              <w:spacing w:after="0"/>
              <w:rPr>
                <w:sz w:val="20"/>
                <w:szCs w:val="20"/>
                <w:color w:val="auto"/>
              </w:rPr>
            </w:pPr>
            <w:r>
              <w:rPr>
                <w:rFonts w:ascii="Arial" w:cs="Arial" w:eastAsia="Arial" w:hAnsi="Arial"/>
                <w:sz w:val="18"/>
                <w:szCs w:val="18"/>
                <w:color w:val="auto"/>
              </w:rPr>
              <w:t>Level 3</w:t>
            </w:r>
          </w:p>
        </w:tc>
        <w:tc>
          <w:tcPr>
            <w:tcW w:w="10160" w:type="dxa"/>
            <w:vAlign w:val="bottom"/>
            <w:gridSpan w:val="2"/>
          </w:tcPr>
          <w:p>
            <w:pPr>
              <w:ind w:left="640"/>
              <w:spacing w:after="0"/>
              <w:rPr>
                <w:sz w:val="20"/>
                <w:szCs w:val="20"/>
                <w:color w:val="auto"/>
              </w:rPr>
            </w:pPr>
            <w:r>
              <w:rPr>
                <w:rFonts w:ascii="Arial" w:cs="Arial" w:eastAsia="Arial" w:hAnsi="Arial"/>
                <w:sz w:val="18"/>
                <w:szCs w:val="18"/>
                <w:color w:val="auto"/>
              </w:rPr>
              <w:t>Inputs to the valuation methodology are unobservable and significant to the fair value measurement.</w:t>
            </w:r>
          </w:p>
        </w:tc>
      </w:tr>
    </w:tbl>
    <w:p>
      <w:pPr>
        <w:spacing w:after="0" w:line="156" w:lineRule="exact"/>
        <w:rPr>
          <w:sz w:val="20"/>
          <w:szCs w:val="20"/>
          <w:color w:val="auto"/>
        </w:rPr>
      </w:pPr>
    </w:p>
    <w:p>
      <w:pPr>
        <w:ind w:right="340"/>
        <w:spacing w:after="0" w:line="332" w:lineRule="auto"/>
        <w:rPr>
          <w:sz w:val="20"/>
          <w:szCs w:val="20"/>
          <w:color w:val="auto"/>
        </w:rPr>
      </w:pPr>
      <w:r>
        <w:rPr>
          <w:rFonts w:ascii="Arial" w:cs="Arial" w:eastAsia="Arial" w:hAnsi="Arial"/>
          <w:sz w:val="16"/>
          <w:szCs w:val="16"/>
          <w:color w:val="auto"/>
        </w:rPr>
        <w:t>The asset or liability’s fair value measurement level within the fair value hierarchy is based on the lowest level of any input that is significant to the fair value measurement. Valuation techniques used need to maximize the use of observable inputs and minimize the use of unobservable inputs.</w:t>
      </w:r>
    </w:p>
    <w:p>
      <w:pPr>
        <w:spacing w:after="0" w:line="85" w:lineRule="exact"/>
        <w:rPr>
          <w:sz w:val="20"/>
          <w:szCs w:val="20"/>
          <w:color w:val="auto"/>
        </w:rPr>
      </w:pPr>
    </w:p>
    <w:p>
      <w:pPr>
        <w:ind w:right="560"/>
        <w:spacing w:after="0" w:line="268" w:lineRule="auto"/>
        <w:rPr>
          <w:sz w:val="20"/>
          <w:szCs w:val="20"/>
          <w:color w:val="auto"/>
        </w:rPr>
      </w:pPr>
      <w:r>
        <w:rPr>
          <w:rFonts w:ascii="Arial" w:cs="Arial" w:eastAsia="Arial" w:hAnsi="Arial"/>
          <w:sz w:val="18"/>
          <w:szCs w:val="18"/>
          <w:color w:val="auto"/>
        </w:rPr>
        <w:t>Following is a description of the valuation methodologies used for assets measured at fair value. There have been no changes in the methodologies used at December 31, 2009 and 2008.</w:t>
      </w:r>
    </w:p>
    <w:p>
      <w:pPr>
        <w:spacing w:after="0" w:line="13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 xml:space="preserve">Common stock: </w:t>
      </w:r>
      <w:r>
        <w:rPr>
          <w:rFonts w:ascii="Arial" w:cs="Arial" w:eastAsia="Arial" w:hAnsi="Arial"/>
          <w:sz w:val="18"/>
          <w:szCs w:val="18"/>
          <w:color w:val="auto"/>
        </w:rPr>
        <w:t>Valued at the closing price reported on the active market on which the individual securities are traded.</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 xml:space="preserve">Mutual funds: </w:t>
      </w:r>
      <w:r>
        <w:rPr>
          <w:rFonts w:ascii="Arial" w:cs="Arial" w:eastAsia="Arial" w:hAnsi="Arial"/>
          <w:sz w:val="18"/>
          <w:szCs w:val="18"/>
          <w:color w:val="auto"/>
        </w:rPr>
        <w:t>Valued at the net asset value (NAV) of shares held by the plan at year end.</w:t>
      </w:r>
    </w:p>
    <w:p>
      <w:pPr>
        <w:spacing w:after="0" w:line="158"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10</w:t>
      </w:r>
    </w:p>
    <w:p>
      <w:pPr>
        <w:sectPr>
          <w:pgSz w:w="11900" w:h="16838" w:orient="portrait"/>
          <w:cols w:equalWidth="0" w:num="1">
            <w:col w:w="11420"/>
          </w:cols>
          <w:pgMar w:left="240" w:top="459" w:right="239" w:bottom="1440" w:gutter="0" w:footer="0" w:header="0"/>
        </w:sectPr>
      </w:pPr>
    </w:p>
    <w:bookmarkStart w:id="12" w:name="page13"/>
    <w:bookmarkEnd w:id="1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79"/>
        <w:spacing w:after="0"/>
        <w:rPr>
          <w:sz w:val="20"/>
          <w:szCs w:val="20"/>
          <w:color w:val="auto"/>
        </w:rPr>
      </w:pPr>
      <w:r>
        <w:rPr>
          <w:rFonts w:ascii="Arial" w:cs="Arial" w:eastAsia="Arial" w:hAnsi="Arial"/>
          <w:sz w:val="18"/>
          <w:szCs w:val="18"/>
          <w:b w:val="1"/>
          <w:bCs w:val="1"/>
          <w:color w:val="auto"/>
        </w:rPr>
        <w:t>Casual Male Retail Group, Inc. 401(k) Hourly Savings Plan</w:t>
      </w:r>
    </w:p>
    <w:p>
      <w:pPr>
        <w:spacing w:after="0" w:line="90" w:lineRule="exact"/>
        <w:rPr>
          <w:sz w:val="20"/>
          <w:szCs w:val="20"/>
          <w:color w:val="auto"/>
        </w:rPr>
      </w:pPr>
    </w:p>
    <w:p>
      <w:pPr>
        <w:jc w:val="center"/>
        <w:ind w:right="-79"/>
        <w:spacing w:after="0"/>
        <w:rPr>
          <w:sz w:val="20"/>
          <w:szCs w:val="20"/>
          <w:color w:val="auto"/>
        </w:rPr>
      </w:pPr>
      <w:r>
        <w:rPr>
          <w:rFonts w:ascii="Arial" w:cs="Arial" w:eastAsia="Arial" w:hAnsi="Arial"/>
          <w:sz w:val="18"/>
          <w:szCs w:val="18"/>
          <w:b w:val="1"/>
          <w:bCs w:val="1"/>
          <w:color w:val="auto"/>
        </w:rPr>
        <w:t>Notes to Financial Statements—(Continued)</w:t>
      </w:r>
    </w:p>
    <w:p>
      <w:pPr>
        <w:spacing w:after="0" w:line="15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Note 5- </w:t>
      </w:r>
      <w:r>
        <w:rPr>
          <w:rFonts w:ascii="Arial" w:cs="Arial" w:eastAsia="Arial" w:hAnsi="Arial"/>
          <w:sz w:val="18"/>
          <w:szCs w:val="18"/>
          <w:b w:val="1"/>
          <w:bCs w:val="1"/>
          <w:u w:val="single" w:color="auto"/>
          <w:color w:val="auto"/>
        </w:rPr>
        <w:t>Fair Value Measurements (continued)</w:t>
      </w:r>
    </w:p>
    <w:p>
      <w:pPr>
        <w:spacing w:after="0" w:line="16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 xml:space="preserve">Participant loans: </w:t>
      </w:r>
      <w:r>
        <w:rPr>
          <w:rFonts w:ascii="Arial" w:cs="Arial" w:eastAsia="Arial" w:hAnsi="Arial"/>
          <w:sz w:val="18"/>
          <w:szCs w:val="18"/>
          <w:color w:val="auto"/>
        </w:rPr>
        <w:t>Valued at amortized cost, which approximates fair value.</w:t>
      </w:r>
    </w:p>
    <w:p>
      <w:pPr>
        <w:spacing w:after="0" w:line="171" w:lineRule="exact"/>
        <w:rPr>
          <w:sz w:val="20"/>
          <w:szCs w:val="20"/>
          <w:color w:val="auto"/>
        </w:rPr>
      </w:pPr>
    </w:p>
    <w:p>
      <w:pPr>
        <w:ind w:right="280"/>
        <w:spacing w:after="0" w:line="268" w:lineRule="auto"/>
        <w:rPr>
          <w:sz w:val="20"/>
          <w:szCs w:val="20"/>
          <w:color w:val="auto"/>
        </w:rPr>
      </w:pPr>
      <w:r>
        <w:rPr>
          <w:rFonts w:ascii="Arial" w:cs="Arial" w:eastAsia="Arial" w:hAnsi="Arial"/>
          <w:sz w:val="18"/>
          <w:szCs w:val="18"/>
          <w:i w:val="1"/>
          <w:iCs w:val="1"/>
          <w:color w:val="auto"/>
        </w:rPr>
        <w:t xml:space="preserve">Fidelity Advisor Stable Value Fund: </w:t>
      </w:r>
      <w:r>
        <w:rPr>
          <w:rFonts w:ascii="Arial" w:cs="Arial" w:eastAsia="Arial" w:hAnsi="Arial"/>
          <w:sz w:val="18"/>
          <w:szCs w:val="18"/>
          <w:color w:val="auto"/>
        </w:rPr>
        <w:t>Valued at fair value by discounting the related cash flows based on current yields of similar instruments with comparable</w:t>
      </w:r>
      <w:r>
        <w:rPr>
          <w:rFonts w:ascii="Arial" w:cs="Arial" w:eastAsia="Arial" w:hAnsi="Arial"/>
          <w:sz w:val="18"/>
          <w:szCs w:val="18"/>
          <w:i w:val="1"/>
          <w:iCs w:val="1"/>
          <w:color w:val="auto"/>
        </w:rPr>
        <w:t xml:space="preserve"> </w:t>
      </w:r>
      <w:r>
        <w:rPr>
          <w:rFonts w:ascii="Arial" w:cs="Arial" w:eastAsia="Arial" w:hAnsi="Arial"/>
          <w:sz w:val="18"/>
          <w:szCs w:val="18"/>
          <w:color w:val="auto"/>
        </w:rPr>
        <w:t>durations considering the credit-worthiness of the issuer of the specific instruments of the fund at year-end.</w:t>
      </w:r>
    </w:p>
    <w:p>
      <w:pPr>
        <w:spacing w:after="0" w:line="132" w:lineRule="exact"/>
        <w:rPr>
          <w:sz w:val="20"/>
          <w:szCs w:val="20"/>
          <w:color w:val="auto"/>
        </w:rPr>
      </w:pPr>
    </w:p>
    <w:p>
      <w:pPr>
        <w:spacing w:after="0" w:line="306" w:lineRule="auto"/>
        <w:rPr>
          <w:sz w:val="20"/>
          <w:szCs w:val="20"/>
          <w:color w:val="auto"/>
        </w:rPr>
      </w:pPr>
      <w:r>
        <w:rPr>
          <w:rFonts w:ascii="Arial" w:cs="Arial" w:eastAsia="Arial" w:hAnsi="Arial"/>
          <w:sz w:val="16"/>
          <w:szCs w:val="16"/>
          <w:color w:val="auto"/>
        </w:rPr>
        <w:t>The preceding methods described may produce a fair value calculation that may not be indicative of net realizable value or reflective of future fair values. Furthermore, although the Plan believes its valuation methods are appropriate and consistent with other market participants, the use of different methodologies or assumptions to determine the fair value of certain financial instruments could result in a different fair value measurement at the reporting date.</w:t>
      </w:r>
    </w:p>
    <w:p>
      <w:pPr>
        <w:spacing w:after="0" w:line="107"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sets forth by level, within the fair value hierarchy, the Plan’s assets at fair value as of December 31, 2009 and 2008:</w:t>
      </w:r>
    </w:p>
    <w:p>
      <w:pPr>
        <w:spacing w:after="0" w:line="208" w:lineRule="exact"/>
        <w:rPr>
          <w:sz w:val="20"/>
          <w:szCs w:val="20"/>
          <w:color w:val="auto"/>
        </w:rPr>
      </w:pPr>
    </w:p>
    <w:tbl>
      <w:tblPr>
        <w:tblLayout w:type="fixed"/>
        <w:tblInd w:w="46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6260" w:type="dxa"/>
            <w:vAlign w:val="bottom"/>
          </w:tcPr>
          <w:p>
            <w:pPr>
              <w:spacing w:after="0"/>
              <w:rPr>
                <w:sz w:val="14"/>
                <w:szCs w:val="14"/>
                <w:color w:val="auto"/>
              </w:rPr>
            </w:pPr>
          </w:p>
        </w:tc>
        <w:tc>
          <w:tcPr>
            <w:tcW w:w="840" w:type="dxa"/>
            <w:vAlign w:val="bottom"/>
            <w:tcBorders>
              <w:bottom w:val="single" w:sz="8" w:color="auto"/>
            </w:tcBorders>
          </w:tcPr>
          <w:p>
            <w:pPr>
              <w:spacing w:after="0"/>
              <w:rPr>
                <w:sz w:val="14"/>
                <w:szCs w:val="14"/>
                <w:color w:val="auto"/>
              </w:rPr>
            </w:pPr>
          </w:p>
        </w:tc>
        <w:tc>
          <w:tcPr>
            <w:tcW w:w="2560" w:type="dxa"/>
            <w:vAlign w:val="bottom"/>
            <w:tcBorders>
              <w:bottom w:val="single" w:sz="8" w:color="auto"/>
            </w:tcBorders>
            <w:gridSpan w:val="9"/>
          </w:tcPr>
          <w:p>
            <w:pPr>
              <w:jc w:val="right"/>
              <w:ind w:right="20"/>
              <w:spacing w:after="0"/>
              <w:rPr>
                <w:sz w:val="20"/>
                <w:szCs w:val="20"/>
                <w:color w:val="auto"/>
              </w:rPr>
            </w:pPr>
            <w:r>
              <w:rPr>
                <w:rFonts w:ascii="Arial" w:cs="Arial" w:eastAsia="Arial" w:hAnsi="Arial"/>
                <w:sz w:val="14"/>
                <w:szCs w:val="14"/>
                <w:b w:val="1"/>
                <w:bCs w:val="1"/>
                <w:i w:val="1"/>
                <w:iCs w:val="1"/>
                <w:color w:val="auto"/>
                <w:w w:val="84"/>
              </w:rPr>
              <w:t>Assets at Fair Value as of December 31, 2009</w:t>
            </w:r>
          </w:p>
        </w:tc>
        <w:tc>
          <w:tcPr>
            <w:tcW w:w="820" w:type="dxa"/>
            <w:vAlign w:val="bottom"/>
            <w:tcBorders>
              <w:bottom w:val="single" w:sz="8" w:color="auto"/>
            </w:tcBorders>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6260" w:type="dxa"/>
            <w:vAlign w:val="bottom"/>
          </w:tcPr>
          <w:p>
            <w:pPr>
              <w:spacing w:after="0"/>
              <w:rPr>
                <w:sz w:val="12"/>
                <w:szCs w:val="12"/>
                <w:color w:val="auto"/>
              </w:rPr>
            </w:pPr>
          </w:p>
        </w:tc>
        <w:tc>
          <w:tcPr>
            <w:tcW w:w="840" w:type="dxa"/>
            <w:vAlign w:val="bottom"/>
            <w:tcBorders>
              <w:bottom w:val="single" w:sz="8" w:color="auto"/>
            </w:tcBorders>
          </w:tcPr>
          <w:p>
            <w:pPr>
              <w:jc w:val="right"/>
              <w:ind w:right="136"/>
              <w:spacing w:after="0" w:line="142" w:lineRule="exact"/>
              <w:rPr>
                <w:sz w:val="20"/>
                <w:szCs w:val="20"/>
                <w:color w:val="auto"/>
              </w:rPr>
            </w:pPr>
            <w:r>
              <w:rPr>
                <w:rFonts w:ascii="Arial" w:cs="Arial" w:eastAsia="Arial" w:hAnsi="Arial"/>
                <w:sz w:val="14"/>
                <w:szCs w:val="14"/>
                <w:b w:val="1"/>
                <w:bCs w:val="1"/>
                <w:color w:val="auto"/>
              </w:rPr>
              <w:t>Level 1</w:t>
            </w:r>
          </w:p>
        </w:tc>
        <w:tc>
          <w:tcPr>
            <w:tcW w:w="300" w:type="dxa"/>
            <w:vAlign w:val="bottom"/>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720" w:type="dxa"/>
            <w:vAlign w:val="bottom"/>
            <w:tcBorders>
              <w:bottom w:val="single" w:sz="8" w:color="auto"/>
            </w:tcBorders>
          </w:tcPr>
          <w:p>
            <w:pPr>
              <w:jc w:val="right"/>
              <w:ind w:right="116"/>
              <w:spacing w:after="0" w:line="142" w:lineRule="exact"/>
              <w:rPr>
                <w:sz w:val="20"/>
                <w:szCs w:val="20"/>
                <w:color w:val="auto"/>
              </w:rPr>
            </w:pPr>
            <w:r>
              <w:rPr>
                <w:rFonts w:ascii="Arial" w:cs="Arial" w:eastAsia="Arial" w:hAnsi="Arial"/>
                <w:sz w:val="14"/>
                <w:szCs w:val="14"/>
                <w:b w:val="1"/>
                <w:bCs w:val="1"/>
                <w:color w:val="auto"/>
              </w:rPr>
              <w:t>Level 2</w:t>
            </w:r>
          </w:p>
        </w:tc>
        <w:tc>
          <w:tcPr>
            <w:tcW w:w="320" w:type="dxa"/>
            <w:vAlign w:val="bottom"/>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600" w:type="dxa"/>
            <w:vAlign w:val="bottom"/>
            <w:tcBorders>
              <w:bottom w:val="single" w:sz="8" w:color="auto"/>
            </w:tcBorders>
            <w:gridSpan w:val="2"/>
          </w:tcPr>
          <w:p>
            <w:pPr>
              <w:ind w:left="40"/>
              <w:spacing w:after="0" w:line="142" w:lineRule="exact"/>
              <w:rPr>
                <w:sz w:val="20"/>
                <w:szCs w:val="20"/>
                <w:color w:val="auto"/>
              </w:rPr>
            </w:pPr>
            <w:r>
              <w:rPr>
                <w:rFonts w:ascii="Arial" w:cs="Arial" w:eastAsia="Arial" w:hAnsi="Arial"/>
                <w:sz w:val="14"/>
                <w:szCs w:val="14"/>
                <w:b w:val="1"/>
                <w:bCs w:val="1"/>
                <w:color w:val="auto"/>
              </w:rPr>
              <w:t>Level 3</w:t>
            </w:r>
          </w:p>
        </w:tc>
        <w:tc>
          <w:tcPr>
            <w:tcW w:w="300" w:type="dxa"/>
            <w:vAlign w:val="bottom"/>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820" w:type="dxa"/>
            <w:vAlign w:val="bottom"/>
            <w:tcBorders>
              <w:bottom w:val="single" w:sz="8" w:color="auto"/>
            </w:tcBorders>
          </w:tcPr>
          <w:p>
            <w:pPr>
              <w:jc w:val="right"/>
              <w:ind w:right="236"/>
              <w:spacing w:after="0" w:line="142" w:lineRule="exact"/>
              <w:rPr>
                <w:sz w:val="20"/>
                <w:szCs w:val="20"/>
                <w:color w:val="auto"/>
              </w:rPr>
            </w:pPr>
            <w:r>
              <w:rPr>
                <w:rFonts w:ascii="Arial" w:cs="Arial" w:eastAsia="Arial" w:hAnsi="Arial"/>
                <w:sz w:val="14"/>
                <w:szCs w:val="14"/>
                <w:b w:val="1"/>
                <w:bCs w:val="1"/>
                <w:color w:val="auto"/>
              </w:rPr>
              <w:t>Total</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6260" w:type="dxa"/>
            <w:vAlign w:val="bottom"/>
            <w:shd w:val="clear" w:color="auto" w:fill="CCEEFF"/>
          </w:tcPr>
          <w:p>
            <w:pPr>
              <w:spacing w:after="0"/>
              <w:rPr>
                <w:sz w:val="20"/>
                <w:szCs w:val="20"/>
                <w:color w:val="auto"/>
              </w:rPr>
            </w:pPr>
            <w:r>
              <w:rPr>
                <w:rFonts w:ascii="Arial" w:cs="Arial" w:eastAsia="Arial" w:hAnsi="Arial"/>
                <w:sz w:val="18"/>
                <w:szCs w:val="18"/>
                <w:color w:val="auto"/>
              </w:rPr>
              <w:t>Mutual Funds</w:t>
            </w: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6"/>
              </w:rPr>
              <w:t>$ 6,298,404</w:t>
            </w:r>
          </w:p>
        </w:tc>
        <w:tc>
          <w:tcPr>
            <w:tcW w:w="4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4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600" w:type="dxa"/>
            <w:vAlign w:val="bottom"/>
            <w:gridSpan w:val="2"/>
            <w:shd w:val="clear" w:color="auto" w:fill="CCEEFF"/>
          </w:tcPr>
          <w:p>
            <w:pPr>
              <w:ind w:left="340"/>
              <w:spacing w:after="0"/>
              <w:rPr>
                <w:sz w:val="20"/>
                <w:szCs w:val="20"/>
                <w:color w:val="auto"/>
              </w:rPr>
            </w:pPr>
            <w:r>
              <w:rPr>
                <w:rFonts w:ascii="Arial" w:cs="Arial" w:eastAsia="Arial" w:hAnsi="Arial"/>
                <w:sz w:val="18"/>
                <w:szCs w:val="18"/>
                <w:color w:val="auto"/>
              </w:rPr>
              <w:t>—</w:t>
            </w:r>
          </w:p>
        </w:tc>
        <w:tc>
          <w:tcPr>
            <w:tcW w:w="4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6,298,404</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260" w:type="dxa"/>
            <w:vAlign w:val="bottom"/>
          </w:tcPr>
          <w:p>
            <w:pPr>
              <w:spacing w:after="0"/>
              <w:rPr>
                <w:sz w:val="20"/>
                <w:szCs w:val="20"/>
                <w:color w:val="auto"/>
              </w:rPr>
            </w:pPr>
            <w:r>
              <w:rPr>
                <w:rFonts w:ascii="Arial" w:cs="Arial" w:eastAsia="Arial" w:hAnsi="Arial"/>
                <w:sz w:val="18"/>
                <w:szCs w:val="18"/>
                <w:color w:val="auto"/>
              </w:rPr>
              <w:t>Common Stock</w:t>
            </w:r>
          </w:p>
        </w:tc>
        <w:tc>
          <w:tcPr>
            <w:tcW w:w="840" w:type="dxa"/>
            <w:vAlign w:val="bottom"/>
          </w:tcPr>
          <w:p>
            <w:pPr>
              <w:jc w:val="right"/>
              <w:spacing w:after="0"/>
              <w:rPr>
                <w:sz w:val="20"/>
                <w:szCs w:val="20"/>
                <w:color w:val="auto"/>
              </w:rPr>
            </w:pPr>
            <w:r>
              <w:rPr>
                <w:rFonts w:ascii="Arial" w:cs="Arial" w:eastAsia="Arial" w:hAnsi="Arial"/>
                <w:sz w:val="18"/>
                <w:szCs w:val="18"/>
                <w:color w:val="auto"/>
              </w:rPr>
              <w:t>99,536</w:t>
            </w:r>
          </w:p>
        </w:tc>
        <w:tc>
          <w:tcPr>
            <w:tcW w:w="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gridSpan w:val="2"/>
          </w:tcPr>
          <w:p>
            <w:pPr>
              <w:ind w:left="340"/>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99,536</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6260" w:type="dxa"/>
            <w:vAlign w:val="bottom"/>
            <w:shd w:val="clear" w:color="auto" w:fill="CCEEFF"/>
          </w:tcPr>
          <w:p>
            <w:pPr>
              <w:spacing w:after="0"/>
              <w:rPr>
                <w:sz w:val="20"/>
                <w:szCs w:val="20"/>
                <w:color w:val="auto"/>
              </w:rPr>
            </w:pPr>
            <w:r>
              <w:rPr>
                <w:rFonts w:ascii="Arial" w:cs="Arial" w:eastAsia="Arial" w:hAnsi="Arial"/>
                <w:sz w:val="18"/>
                <w:szCs w:val="18"/>
                <w:color w:val="auto"/>
              </w:rPr>
              <w:t>Fidelity Advisor Stable Value Fund</w:t>
            </w:r>
          </w:p>
        </w:tc>
        <w:tc>
          <w:tcPr>
            <w:tcW w:w="840" w:type="dxa"/>
            <w:vAlign w:val="bottom"/>
            <w:shd w:val="clear" w:color="auto" w:fill="CCEEFF"/>
          </w:tcPr>
          <w:p>
            <w:pPr>
              <w:jc w:val="right"/>
              <w:ind w:right="16"/>
              <w:spacing w:after="0"/>
              <w:rPr>
                <w:sz w:val="20"/>
                <w:szCs w:val="20"/>
                <w:color w:val="auto"/>
              </w:rPr>
            </w:pPr>
            <w:r>
              <w:rPr>
                <w:rFonts w:ascii="Arial" w:cs="Arial" w:eastAsia="Arial" w:hAnsi="Arial"/>
                <w:sz w:val="18"/>
                <w:szCs w:val="18"/>
                <w:color w:val="auto"/>
              </w:rPr>
              <w:t>—</w:t>
            </w:r>
          </w:p>
        </w:tc>
        <w:tc>
          <w:tcPr>
            <w:tcW w:w="3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7"/>
              </w:rPr>
              <w:t>4,374,640</w:t>
            </w:r>
          </w:p>
        </w:tc>
        <w:tc>
          <w:tcPr>
            <w:tcW w:w="3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600" w:type="dxa"/>
            <w:vAlign w:val="bottom"/>
            <w:gridSpan w:val="2"/>
            <w:shd w:val="clear" w:color="auto" w:fill="CCEEFF"/>
          </w:tcPr>
          <w:p>
            <w:pPr>
              <w:ind w:left="340"/>
              <w:spacing w:after="0"/>
              <w:rPr>
                <w:sz w:val="20"/>
                <w:szCs w:val="20"/>
                <w:color w:val="auto"/>
              </w:rPr>
            </w:pPr>
            <w:r>
              <w:rPr>
                <w:rFonts w:ascii="Arial" w:cs="Arial" w:eastAsia="Arial" w:hAnsi="Arial"/>
                <w:sz w:val="18"/>
                <w:szCs w:val="18"/>
                <w:color w:val="auto"/>
              </w:rPr>
              <w:t>—</w:t>
            </w:r>
          </w:p>
        </w:tc>
        <w:tc>
          <w:tcPr>
            <w:tcW w:w="3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4,374,640</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6260" w:type="dxa"/>
            <w:vAlign w:val="bottom"/>
          </w:tcPr>
          <w:p>
            <w:pPr>
              <w:spacing w:after="0"/>
              <w:rPr>
                <w:sz w:val="20"/>
                <w:szCs w:val="20"/>
                <w:color w:val="auto"/>
              </w:rPr>
            </w:pPr>
            <w:r>
              <w:rPr>
                <w:rFonts w:ascii="Arial" w:cs="Arial" w:eastAsia="Arial" w:hAnsi="Arial"/>
                <w:sz w:val="18"/>
                <w:szCs w:val="18"/>
                <w:color w:val="auto"/>
              </w:rPr>
              <w:t>Participant Loans</w:t>
            </w:r>
          </w:p>
        </w:tc>
        <w:tc>
          <w:tcPr>
            <w:tcW w:w="840" w:type="dxa"/>
            <w:vAlign w:val="bottom"/>
            <w:tcBorders>
              <w:bottom w:val="single" w:sz="8" w:color="auto"/>
            </w:tcBorders>
          </w:tcPr>
          <w:p>
            <w:pPr>
              <w:jc w:val="right"/>
              <w:ind w:right="16"/>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600" w:type="dxa"/>
            <w:vAlign w:val="bottom"/>
            <w:tcBorders>
              <w:bottom w:val="single" w:sz="8" w:color="auto"/>
            </w:tcBorders>
            <w:gridSpan w:val="2"/>
          </w:tcPr>
          <w:p>
            <w:pPr>
              <w:ind w:left="20"/>
              <w:spacing w:after="0"/>
              <w:rPr>
                <w:sz w:val="20"/>
                <w:szCs w:val="20"/>
                <w:color w:val="auto"/>
              </w:rPr>
            </w:pPr>
            <w:r>
              <w:rPr>
                <w:rFonts w:ascii="Arial" w:cs="Arial" w:eastAsia="Arial" w:hAnsi="Arial"/>
                <w:sz w:val="18"/>
                <w:szCs w:val="18"/>
                <w:color w:val="auto"/>
                <w:w w:val="86"/>
              </w:rPr>
              <w:t>346,581</w:t>
            </w:r>
          </w:p>
        </w:tc>
        <w:tc>
          <w:tcPr>
            <w:tcW w:w="300" w:type="dxa"/>
            <w:vAlign w:val="bottom"/>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346,581</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260" w:type="dxa"/>
            <w:vAlign w:val="bottom"/>
            <w:shd w:val="clear" w:color="auto" w:fill="CCEEFF"/>
          </w:tcPr>
          <w:p>
            <w:pPr>
              <w:spacing w:after="0"/>
              <w:rPr>
                <w:sz w:val="20"/>
                <w:szCs w:val="20"/>
                <w:color w:val="auto"/>
              </w:rPr>
            </w:pPr>
            <w:r>
              <w:rPr>
                <w:rFonts w:ascii="Arial" w:cs="Arial" w:eastAsia="Arial" w:hAnsi="Arial"/>
                <w:sz w:val="18"/>
                <w:szCs w:val="18"/>
                <w:color w:val="auto"/>
              </w:rPr>
              <w:t>Total assets at fair value</w:t>
            </w: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6"/>
              </w:rPr>
              <w:t>$ 6,397,940</w:t>
            </w:r>
          </w:p>
        </w:tc>
        <w:tc>
          <w:tcPr>
            <w:tcW w:w="30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84"/>
              </w:rPr>
              <w:t>$ 4,374,640</w:t>
            </w:r>
          </w:p>
        </w:tc>
        <w:tc>
          <w:tcPr>
            <w:tcW w:w="4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60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w w:val="86"/>
              </w:rPr>
              <w:t>346,581</w:t>
            </w:r>
          </w:p>
        </w:tc>
        <w:tc>
          <w:tcPr>
            <w:tcW w:w="4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8"/>
              </w:rPr>
              <w:t>11,119,161</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260" w:type="dxa"/>
            <w:vAlign w:val="bottom"/>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820" w:type="dxa"/>
            <w:vAlign w:val="bottom"/>
            <w:tcBorders>
              <w:top w:val="single" w:sz="8" w:color="auto"/>
              <w:bottom w:val="single" w:sz="8" w:color="auto"/>
            </w:tcBorders>
            <w:gridSpan w:val="2"/>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680" w:type="dxa"/>
            <w:vAlign w:val="bottom"/>
            <w:tcBorders>
              <w:top w:val="single" w:sz="8" w:color="auto"/>
              <w:bottom w:val="single" w:sz="8" w:color="auto"/>
            </w:tcBorders>
            <w:gridSpan w:val="2"/>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45"/>
        </w:trPr>
        <w:tc>
          <w:tcPr>
            <w:tcW w:w="20" w:type="dxa"/>
            <w:vAlign w:val="bottom"/>
          </w:tcPr>
          <w:p>
            <w:pPr>
              <w:spacing w:after="0"/>
              <w:rPr>
                <w:sz w:val="24"/>
                <w:szCs w:val="24"/>
                <w:color w:val="auto"/>
              </w:rPr>
            </w:pPr>
          </w:p>
        </w:tc>
        <w:tc>
          <w:tcPr>
            <w:tcW w:w="6260" w:type="dxa"/>
            <w:vAlign w:val="bottom"/>
          </w:tcPr>
          <w:p>
            <w:pPr>
              <w:spacing w:after="0"/>
              <w:rPr>
                <w:sz w:val="24"/>
                <w:szCs w:val="24"/>
                <w:color w:val="auto"/>
              </w:rPr>
            </w:pPr>
          </w:p>
        </w:tc>
        <w:tc>
          <w:tcPr>
            <w:tcW w:w="840" w:type="dxa"/>
            <w:vAlign w:val="bottom"/>
            <w:tcBorders>
              <w:bottom w:val="single" w:sz="8" w:color="auto"/>
            </w:tcBorders>
          </w:tcPr>
          <w:p>
            <w:pPr>
              <w:spacing w:after="0"/>
              <w:rPr>
                <w:sz w:val="24"/>
                <w:szCs w:val="24"/>
                <w:color w:val="auto"/>
              </w:rPr>
            </w:pPr>
          </w:p>
        </w:tc>
        <w:tc>
          <w:tcPr>
            <w:tcW w:w="2560" w:type="dxa"/>
            <w:vAlign w:val="bottom"/>
            <w:tcBorders>
              <w:bottom w:val="single" w:sz="8" w:color="auto"/>
            </w:tcBorders>
            <w:gridSpan w:val="9"/>
          </w:tcPr>
          <w:p>
            <w:pPr>
              <w:jc w:val="right"/>
              <w:ind w:right="20"/>
              <w:spacing w:after="0"/>
              <w:rPr>
                <w:sz w:val="20"/>
                <w:szCs w:val="20"/>
                <w:color w:val="auto"/>
              </w:rPr>
            </w:pPr>
            <w:r>
              <w:rPr>
                <w:rFonts w:ascii="Arial" w:cs="Arial" w:eastAsia="Arial" w:hAnsi="Arial"/>
                <w:sz w:val="14"/>
                <w:szCs w:val="14"/>
                <w:b w:val="1"/>
                <w:bCs w:val="1"/>
                <w:i w:val="1"/>
                <w:iCs w:val="1"/>
                <w:color w:val="auto"/>
                <w:w w:val="84"/>
              </w:rPr>
              <w:t>Assets at Fair Value as of December 31, 2008</w:t>
            </w:r>
          </w:p>
        </w:tc>
        <w:tc>
          <w:tcPr>
            <w:tcW w:w="820" w:type="dxa"/>
            <w:vAlign w:val="bottom"/>
            <w:tcBorders>
              <w:bottom w:val="single" w:sz="8" w:color="auto"/>
            </w:tcBorders>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6260" w:type="dxa"/>
            <w:vAlign w:val="bottom"/>
          </w:tcPr>
          <w:p>
            <w:pPr>
              <w:spacing w:after="0"/>
              <w:rPr>
                <w:sz w:val="12"/>
                <w:szCs w:val="12"/>
                <w:color w:val="auto"/>
              </w:rPr>
            </w:pPr>
          </w:p>
        </w:tc>
        <w:tc>
          <w:tcPr>
            <w:tcW w:w="840" w:type="dxa"/>
            <w:vAlign w:val="bottom"/>
            <w:tcBorders>
              <w:bottom w:val="single" w:sz="8" w:color="auto"/>
            </w:tcBorders>
          </w:tcPr>
          <w:p>
            <w:pPr>
              <w:jc w:val="right"/>
              <w:ind w:right="136"/>
              <w:spacing w:after="0" w:line="142" w:lineRule="exact"/>
              <w:rPr>
                <w:sz w:val="20"/>
                <w:szCs w:val="20"/>
                <w:color w:val="auto"/>
              </w:rPr>
            </w:pPr>
            <w:r>
              <w:rPr>
                <w:rFonts w:ascii="Arial" w:cs="Arial" w:eastAsia="Arial" w:hAnsi="Arial"/>
                <w:sz w:val="14"/>
                <w:szCs w:val="14"/>
                <w:b w:val="1"/>
                <w:bCs w:val="1"/>
                <w:color w:val="auto"/>
              </w:rPr>
              <w:t>Level 1</w:t>
            </w:r>
          </w:p>
        </w:tc>
        <w:tc>
          <w:tcPr>
            <w:tcW w:w="300" w:type="dxa"/>
            <w:vAlign w:val="bottom"/>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720" w:type="dxa"/>
            <w:vAlign w:val="bottom"/>
            <w:tcBorders>
              <w:bottom w:val="single" w:sz="8" w:color="auto"/>
            </w:tcBorders>
          </w:tcPr>
          <w:p>
            <w:pPr>
              <w:jc w:val="right"/>
              <w:ind w:right="116"/>
              <w:spacing w:after="0" w:line="142" w:lineRule="exact"/>
              <w:rPr>
                <w:sz w:val="20"/>
                <w:szCs w:val="20"/>
                <w:color w:val="auto"/>
              </w:rPr>
            </w:pPr>
            <w:r>
              <w:rPr>
                <w:rFonts w:ascii="Arial" w:cs="Arial" w:eastAsia="Arial" w:hAnsi="Arial"/>
                <w:sz w:val="14"/>
                <w:szCs w:val="14"/>
                <w:b w:val="1"/>
                <w:bCs w:val="1"/>
                <w:color w:val="auto"/>
              </w:rPr>
              <w:t>Level 2</w:t>
            </w:r>
          </w:p>
        </w:tc>
        <w:tc>
          <w:tcPr>
            <w:tcW w:w="320" w:type="dxa"/>
            <w:vAlign w:val="bottom"/>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580" w:type="dxa"/>
            <w:vAlign w:val="bottom"/>
            <w:tcBorders>
              <w:bottom w:val="single" w:sz="8" w:color="auto"/>
            </w:tcBorders>
          </w:tcPr>
          <w:p>
            <w:pPr>
              <w:ind w:left="40"/>
              <w:spacing w:after="0" w:line="142" w:lineRule="exact"/>
              <w:rPr>
                <w:sz w:val="20"/>
                <w:szCs w:val="20"/>
                <w:color w:val="auto"/>
              </w:rPr>
            </w:pPr>
            <w:r>
              <w:rPr>
                <w:rFonts w:ascii="Arial" w:cs="Arial" w:eastAsia="Arial" w:hAnsi="Arial"/>
                <w:sz w:val="14"/>
                <w:szCs w:val="14"/>
                <w:b w:val="1"/>
                <w:bCs w:val="1"/>
                <w:color w:val="auto"/>
              </w:rPr>
              <w:t>Level 3</w:t>
            </w:r>
          </w:p>
        </w:tc>
        <w:tc>
          <w:tcPr>
            <w:tcW w:w="2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820" w:type="dxa"/>
            <w:vAlign w:val="bottom"/>
            <w:tcBorders>
              <w:bottom w:val="single" w:sz="8" w:color="auto"/>
            </w:tcBorders>
          </w:tcPr>
          <w:p>
            <w:pPr>
              <w:jc w:val="right"/>
              <w:ind w:right="236"/>
              <w:spacing w:after="0" w:line="142" w:lineRule="exact"/>
              <w:rPr>
                <w:sz w:val="20"/>
                <w:szCs w:val="20"/>
                <w:color w:val="auto"/>
              </w:rPr>
            </w:pPr>
            <w:r>
              <w:rPr>
                <w:rFonts w:ascii="Arial" w:cs="Arial" w:eastAsia="Arial" w:hAnsi="Arial"/>
                <w:sz w:val="14"/>
                <w:szCs w:val="14"/>
                <w:b w:val="1"/>
                <w:bCs w:val="1"/>
                <w:color w:val="auto"/>
              </w:rPr>
              <w:t>Total</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6260" w:type="dxa"/>
            <w:vAlign w:val="bottom"/>
            <w:shd w:val="clear" w:color="auto" w:fill="CCEEFF"/>
          </w:tcPr>
          <w:p>
            <w:pPr>
              <w:spacing w:after="0"/>
              <w:rPr>
                <w:sz w:val="20"/>
                <w:szCs w:val="20"/>
                <w:color w:val="auto"/>
              </w:rPr>
            </w:pPr>
            <w:r>
              <w:rPr>
                <w:rFonts w:ascii="Arial" w:cs="Arial" w:eastAsia="Arial" w:hAnsi="Arial"/>
                <w:sz w:val="18"/>
                <w:szCs w:val="18"/>
                <w:color w:val="auto"/>
              </w:rPr>
              <w:t>Mutual Funds</w:t>
            </w: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6"/>
              </w:rPr>
              <w:t>$ 4,946,061</w:t>
            </w:r>
          </w:p>
        </w:tc>
        <w:tc>
          <w:tcPr>
            <w:tcW w:w="4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4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600" w:type="dxa"/>
            <w:vAlign w:val="bottom"/>
            <w:gridSpan w:val="2"/>
            <w:shd w:val="clear" w:color="auto" w:fill="CCEEFF"/>
          </w:tcPr>
          <w:p>
            <w:pPr>
              <w:ind w:left="320"/>
              <w:spacing w:after="0"/>
              <w:rPr>
                <w:sz w:val="20"/>
                <w:szCs w:val="20"/>
                <w:color w:val="auto"/>
              </w:rPr>
            </w:pPr>
            <w:r>
              <w:rPr>
                <w:rFonts w:ascii="Arial" w:cs="Arial" w:eastAsia="Arial" w:hAnsi="Arial"/>
                <w:sz w:val="18"/>
                <w:szCs w:val="18"/>
                <w:color w:val="auto"/>
              </w:rPr>
              <w:t>—</w:t>
            </w:r>
          </w:p>
        </w:tc>
        <w:tc>
          <w:tcPr>
            <w:tcW w:w="4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4,946,061</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260" w:type="dxa"/>
            <w:vAlign w:val="bottom"/>
          </w:tcPr>
          <w:p>
            <w:pPr>
              <w:spacing w:after="0"/>
              <w:rPr>
                <w:sz w:val="20"/>
                <w:szCs w:val="20"/>
                <w:color w:val="auto"/>
              </w:rPr>
            </w:pPr>
            <w:r>
              <w:rPr>
                <w:rFonts w:ascii="Arial" w:cs="Arial" w:eastAsia="Arial" w:hAnsi="Arial"/>
                <w:sz w:val="18"/>
                <w:szCs w:val="18"/>
                <w:color w:val="auto"/>
              </w:rPr>
              <w:t>Common Stock</w:t>
            </w:r>
          </w:p>
        </w:tc>
        <w:tc>
          <w:tcPr>
            <w:tcW w:w="840" w:type="dxa"/>
            <w:vAlign w:val="bottom"/>
          </w:tcPr>
          <w:p>
            <w:pPr>
              <w:jc w:val="right"/>
              <w:spacing w:after="0"/>
              <w:rPr>
                <w:sz w:val="20"/>
                <w:szCs w:val="20"/>
                <w:color w:val="auto"/>
              </w:rPr>
            </w:pPr>
            <w:r>
              <w:rPr>
                <w:rFonts w:ascii="Arial" w:cs="Arial" w:eastAsia="Arial" w:hAnsi="Arial"/>
                <w:sz w:val="18"/>
                <w:szCs w:val="18"/>
                <w:color w:val="auto"/>
              </w:rPr>
              <w:t>36,156</w:t>
            </w:r>
          </w:p>
        </w:tc>
        <w:tc>
          <w:tcPr>
            <w:tcW w:w="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gridSpan w:val="2"/>
          </w:tcPr>
          <w:p>
            <w:pPr>
              <w:ind w:left="320"/>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36,156</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6260" w:type="dxa"/>
            <w:vAlign w:val="bottom"/>
            <w:shd w:val="clear" w:color="auto" w:fill="CCEEFF"/>
          </w:tcPr>
          <w:p>
            <w:pPr>
              <w:spacing w:after="0"/>
              <w:rPr>
                <w:sz w:val="20"/>
                <w:szCs w:val="20"/>
                <w:color w:val="auto"/>
              </w:rPr>
            </w:pPr>
            <w:r>
              <w:rPr>
                <w:rFonts w:ascii="Arial" w:cs="Arial" w:eastAsia="Arial" w:hAnsi="Arial"/>
                <w:sz w:val="18"/>
                <w:szCs w:val="18"/>
                <w:color w:val="auto"/>
              </w:rPr>
              <w:t>Fidelity Advisor Stable Value Fund</w:t>
            </w:r>
          </w:p>
        </w:tc>
        <w:tc>
          <w:tcPr>
            <w:tcW w:w="840" w:type="dxa"/>
            <w:vAlign w:val="bottom"/>
            <w:shd w:val="clear" w:color="auto" w:fill="CCEEFF"/>
          </w:tcPr>
          <w:p>
            <w:pPr>
              <w:jc w:val="right"/>
              <w:ind w:right="16"/>
              <w:spacing w:after="0"/>
              <w:rPr>
                <w:sz w:val="20"/>
                <w:szCs w:val="20"/>
                <w:color w:val="auto"/>
              </w:rPr>
            </w:pPr>
            <w:r>
              <w:rPr>
                <w:rFonts w:ascii="Arial" w:cs="Arial" w:eastAsia="Arial" w:hAnsi="Arial"/>
                <w:sz w:val="18"/>
                <w:szCs w:val="18"/>
                <w:color w:val="auto"/>
              </w:rPr>
              <w:t>—</w:t>
            </w:r>
          </w:p>
        </w:tc>
        <w:tc>
          <w:tcPr>
            <w:tcW w:w="3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7"/>
              </w:rPr>
              <w:t>5,116,623</w:t>
            </w:r>
          </w:p>
        </w:tc>
        <w:tc>
          <w:tcPr>
            <w:tcW w:w="3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600" w:type="dxa"/>
            <w:vAlign w:val="bottom"/>
            <w:gridSpan w:val="2"/>
            <w:shd w:val="clear" w:color="auto" w:fill="CCEEFF"/>
          </w:tcPr>
          <w:p>
            <w:pPr>
              <w:ind w:left="320"/>
              <w:spacing w:after="0"/>
              <w:rPr>
                <w:sz w:val="20"/>
                <w:szCs w:val="20"/>
                <w:color w:val="auto"/>
              </w:rPr>
            </w:pPr>
            <w:r>
              <w:rPr>
                <w:rFonts w:ascii="Arial" w:cs="Arial" w:eastAsia="Arial" w:hAnsi="Arial"/>
                <w:sz w:val="18"/>
                <w:szCs w:val="18"/>
                <w:color w:val="auto"/>
              </w:rPr>
              <w:t>—</w:t>
            </w:r>
          </w:p>
        </w:tc>
        <w:tc>
          <w:tcPr>
            <w:tcW w:w="3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5,116,623</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260" w:type="dxa"/>
            <w:vAlign w:val="bottom"/>
          </w:tcPr>
          <w:p>
            <w:pPr>
              <w:spacing w:after="0"/>
              <w:rPr>
                <w:sz w:val="20"/>
                <w:szCs w:val="20"/>
                <w:color w:val="auto"/>
              </w:rPr>
            </w:pPr>
            <w:r>
              <w:rPr>
                <w:rFonts w:ascii="Arial" w:cs="Arial" w:eastAsia="Arial" w:hAnsi="Arial"/>
                <w:sz w:val="18"/>
                <w:szCs w:val="18"/>
                <w:color w:val="auto"/>
              </w:rPr>
              <w:t>Participant Loans</w:t>
            </w:r>
          </w:p>
        </w:tc>
        <w:tc>
          <w:tcPr>
            <w:tcW w:w="840" w:type="dxa"/>
            <w:vAlign w:val="bottom"/>
          </w:tcPr>
          <w:p>
            <w:pPr>
              <w:jc w:val="right"/>
              <w:ind w:right="16"/>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gridSpan w:val="2"/>
          </w:tcPr>
          <w:p>
            <w:pPr>
              <w:ind w:left="20"/>
              <w:spacing w:after="0"/>
              <w:rPr>
                <w:sz w:val="20"/>
                <w:szCs w:val="20"/>
                <w:color w:val="auto"/>
              </w:rPr>
            </w:pPr>
            <w:r>
              <w:rPr>
                <w:rFonts w:ascii="Arial" w:cs="Arial" w:eastAsia="Arial" w:hAnsi="Arial"/>
                <w:sz w:val="18"/>
                <w:szCs w:val="18"/>
                <w:color w:val="auto"/>
                <w:w w:val="86"/>
              </w:rPr>
              <w:t>320,006</w:t>
            </w:r>
          </w:p>
        </w:tc>
        <w:tc>
          <w:tcPr>
            <w:tcW w:w="3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320,006</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6260" w:type="dxa"/>
            <w:vAlign w:val="bottom"/>
          </w:tcPr>
          <w:p>
            <w:pPr>
              <w:spacing w:after="0"/>
              <w:rPr>
                <w:sz w:val="2"/>
                <w:szCs w:val="2"/>
                <w:color w:val="auto"/>
              </w:rPr>
            </w:pPr>
          </w:p>
        </w:tc>
        <w:tc>
          <w:tcPr>
            <w:tcW w:w="840" w:type="dxa"/>
            <w:vAlign w:val="bottom"/>
            <w:shd w:val="clear" w:color="auto" w:fill="000000"/>
          </w:tcPr>
          <w:p>
            <w:pPr>
              <w:spacing w:after="0"/>
              <w:rPr>
                <w:sz w:val="2"/>
                <w:szCs w:val="2"/>
                <w:color w:val="auto"/>
              </w:rPr>
            </w:pPr>
          </w:p>
        </w:tc>
        <w:tc>
          <w:tcPr>
            <w:tcW w:w="3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3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820" w:type="dxa"/>
            <w:vAlign w:val="bottom"/>
            <w:shd w:val="clear" w:color="auto" w:fill="000000"/>
          </w:tcPr>
          <w:p>
            <w:pPr>
              <w:spacing w:after="0"/>
              <w:rPr>
                <w:sz w:val="2"/>
                <w:szCs w:val="2"/>
                <w:color w:val="auto"/>
              </w:rPr>
            </w:pPr>
          </w:p>
        </w:tc>
        <w:tc>
          <w:tcPr>
            <w:tcW w:w="20" w:type="dxa"/>
            <w:vAlign w:val="bottom"/>
            <w:vMerge w:val="restart"/>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6260" w:type="dxa"/>
            <w:vAlign w:val="bottom"/>
            <w:shd w:val="clear" w:color="auto" w:fill="CCEEFF"/>
          </w:tcPr>
          <w:p>
            <w:pPr>
              <w:spacing w:after="0"/>
              <w:rPr>
                <w:sz w:val="20"/>
                <w:szCs w:val="20"/>
                <w:color w:val="auto"/>
              </w:rPr>
            </w:pPr>
            <w:r>
              <w:rPr>
                <w:rFonts w:ascii="Arial" w:cs="Arial" w:eastAsia="Arial" w:hAnsi="Arial"/>
                <w:sz w:val="18"/>
                <w:szCs w:val="18"/>
                <w:color w:val="auto"/>
              </w:rPr>
              <w:t>Total assets at fair value</w:t>
            </w: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6"/>
              </w:rPr>
              <w:t>$ 4,982,217</w:t>
            </w:r>
          </w:p>
        </w:tc>
        <w:tc>
          <w:tcPr>
            <w:tcW w:w="30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84"/>
              </w:rPr>
              <w:t>$ 5,116,623</w:t>
            </w:r>
          </w:p>
        </w:tc>
        <w:tc>
          <w:tcPr>
            <w:tcW w:w="4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60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w w:val="86"/>
              </w:rPr>
              <w:t>320,006</w:t>
            </w:r>
          </w:p>
        </w:tc>
        <w:tc>
          <w:tcPr>
            <w:tcW w:w="4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8"/>
              </w:rPr>
              <w:t>10,418,846</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260" w:type="dxa"/>
            <w:vAlign w:val="bottom"/>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67"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sets forth a summary of changes in the fair value of the plan’s level 3 assets for the year ended December 31, 2009:</w:t>
      </w:r>
    </w:p>
    <w:p>
      <w:pPr>
        <w:spacing w:after="0" w:line="158"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11</w:t>
      </w:r>
    </w:p>
    <w:p>
      <w:pPr>
        <w:sectPr>
          <w:pgSz w:w="11900" w:h="16838" w:orient="portrait"/>
          <w:cols w:equalWidth="0" w:num="1">
            <w:col w:w="11360"/>
          </w:cols>
          <w:pgMar w:left="240" w:top="459" w:right="299" w:bottom="1440" w:gutter="0" w:footer="0" w:header="0"/>
        </w:sectPr>
      </w:pPr>
    </w:p>
    <w:bookmarkStart w:id="13" w:name="page14"/>
    <w:bookmarkEnd w:id="1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Casual Male Retail Group, Inc. 401(k) Hourly Savings Plan</w:t>
      </w:r>
    </w:p>
    <w:p>
      <w:pPr>
        <w:spacing w:after="0" w:line="90"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Notes to Financial Statements—(Continued)</w:t>
      </w:r>
    </w:p>
    <w:p>
      <w:pPr>
        <w:spacing w:after="0" w:line="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Note 5- </w:t>
      </w:r>
      <w:r>
        <w:rPr>
          <w:rFonts w:ascii="Arial" w:cs="Arial" w:eastAsia="Arial" w:hAnsi="Arial"/>
          <w:sz w:val="18"/>
          <w:szCs w:val="18"/>
          <w:b w:val="1"/>
          <w:bCs w:val="1"/>
          <w:u w:val="single" w:color="auto"/>
          <w:color w:val="auto"/>
        </w:rPr>
        <w:t>Fair Value Measurements (continued)</w:t>
      </w:r>
    </w:p>
    <w:p>
      <w:pPr>
        <w:spacing w:after="0" w:line="147" w:lineRule="exact"/>
        <w:rPr>
          <w:sz w:val="20"/>
          <w:szCs w:val="20"/>
          <w:color w:val="auto"/>
        </w:rPr>
      </w:pPr>
    </w:p>
    <w:tbl>
      <w:tblPr>
        <w:tblLayout w:type="fixed"/>
        <w:tblInd w:w="184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5080" w:type="dxa"/>
            <w:vAlign w:val="bottom"/>
          </w:tcPr>
          <w:p>
            <w:pPr>
              <w:spacing w:after="0"/>
              <w:rPr>
                <w:sz w:val="14"/>
                <w:szCs w:val="14"/>
                <w:color w:val="auto"/>
              </w:rPr>
            </w:pPr>
          </w:p>
        </w:tc>
        <w:tc>
          <w:tcPr>
            <w:tcW w:w="2660" w:type="dxa"/>
            <w:vAlign w:val="bottom"/>
            <w:gridSpan w:val="3"/>
          </w:tcPr>
          <w:p>
            <w:pPr>
              <w:ind w:left="1660"/>
              <w:spacing w:after="0"/>
              <w:rPr>
                <w:sz w:val="20"/>
                <w:szCs w:val="20"/>
                <w:color w:val="auto"/>
              </w:rPr>
            </w:pPr>
            <w:r>
              <w:rPr>
                <w:rFonts w:ascii="Arial" w:cs="Arial" w:eastAsia="Arial" w:hAnsi="Arial"/>
                <w:sz w:val="14"/>
                <w:szCs w:val="14"/>
                <w:b w:val="1"/>
                <w:bCs w:val="1"/>
                <w:color w:val="auto"/>
                <w:w w:val="86"/>
              </w:rPr>
              <w:t>Participant loans</w:t>
            </w: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5080" w:type="dxa"/>
            <w:vAlign w:val="bottom"/>
          </w:tcPr>
          <w:p>
            <w:pPr>
              <w:spacing w:after="0" w:line="20" w:lineRule="exact"/>
              <w:rPr>
                <w:sz w:val="1"/>
                <w:szCs w:val="1"/>
                <w:color w:val="auto"/>
              </w:rPr>
            </w:pPr>
          </w:p>
        </w:tc>
        <w:tc>
          <w:tcPr>
            <w:tcW w:w="1660" w:type="dxa"/>
            <w:vAlign w:val="bottom"/>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vMerge w:val="continue"/>
          </w:tcPr>
          <w:p>
            <w:pPr>
              <w:spacing w:after="0"/>
              <w:rPr>
                <w:sz w:val="18"/>
                <w:szCs w:val="18"/>
                <w:color w:val="auto"/>
              </w:rPr>
            </w:pPr>
          </w:p>
        </w:tc>
        <w:tc>
          <w:tcPr>
            <w:tcW w:w="5080" w:type="dxa"/>
            <w:vAlign w:val="bottom"/>
            <w:shd w:val="clear" w:color="auto" w:fill="CCEEFF"/>
          </w:tcPr>
          <w:p>
            <w:pPr>
              <w:spacing w:after="0"/>
              <w:rPr>
                <w:sz w:val="20"/>
                <w:szCs w:val="20"/>
                <w:color w:val="auto"/>
              </w:rPr>
            </w:pPr>
            <w:r>
              <w:rPr>
                <w:rFonts w:ascii="Arial" w:cs="Arial" w:eastAsia="Arial" w:hAnsi="Arial"/>
                <w:sz w:val="18"/>
                <w:szCs w:val="18"/>
                <w:color w:val="auto"/>
              </w:rPr>
              <w:t>Balance, beginning of year</w:t>
            </w:r>
          </w:p>
        </w:tc>
        <w:tc>
          <w:tcPr>
            <w:tcW w:w="1900" w:type="dxa"/>
            <w:vAlign w:val="bottom"/>
            <w:gridSpan w:val="2"/>
            <w:shd w:val="clear" w:color="auto" w:fill="CCEEFF"/>
          </w:tcPr>
          <w:p>
            <w:pPr>
              <w:ind w:left="1660"/>
              <w:spacing w:after="0"/>
              <w:rPr>
                <w:sz w:val="20"/>
                <w:szCs w:val="20"/>
                <w:color w:val="auto"/>
              </w:rPr>
            </w:pPr>
            <w:r>
              <w:rPr>
                <w:rFonts w:ascii="Arial" w:cs="Arial" w:eastAsia="Arial" w:hAnsi="Arial"/>
                <w:sz w:val="18"/>
                <w:szCs w:val="18"/>
                <w:color w:val="auto"/>
              </w:rPr>
              <w:t>$</w:t>
            </w: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320,006</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5080" w:type="dxa"/>
            <w:vAlign w:val="bottom"/>
          </w:tcPr>
          <w:p>
            <w:pPr>
              <w:spacing w:after="0"/>
              <w:rPr>
                <w:sz w:val="20"/>
                <w:szCs w:val="20"/>
                <w:color w:val="auto"/>
              </w:rPr>
            </w:pPr>
            <w:r>
              <w:rPr>
                <w:rFonts w:ascii="Arial" w:cs="Arial" w:eastAsia="Arial" w:hAnsi="Arial"/>
                <w:sz w:val="18"/>
                <w:szCs w:val="18"/>
                <w:color w:val="auto"/>
              </w:rPr>
              <w:t>Purchases, sales, issuances, and settlements (net)</w:t>
            </w:r>
          </w:p>
        </w:tc>
        <w:tc>
          <w:tcPr>
            <w:tcW w:w="1660" w:type="dxa"/>
            <w:vAlign w:val="bottom"/>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26,575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80" w:type="dxa"/>
            <w:vAlign w:val="bottom"/>
            <w:shd w:val="clear" w:color="auto" w:fill="CCEEFF"/>
          </w:tcPr>
          <w:p>
            <w:pPr>
              <w:spacing w:after="0"/>
              <w:rPr>
                <w:sz w:val="20"/>
                <w:szCs w:val="20"/>
                <w:color w:val="auto"/>
              </w:rPr>
            </w:pPr>
            <w:r>
              <w:rPr>
                <w:rFonts w:ascii="Arial" w:cs="Arial" w:eastAsia="Arial" w:hAnsi="Arial"/>
                <w:sz w:val="18"/>
                <w:szCs w:val="18"/>
                <w:color w:val="auto"/>
              </w:rPr>
              <w:t>Balance, end of year</w:t>
            </w:r>
          </w:p>
        </w:tc>
        <w:tc>
          <w:tcPr>
            <w:tcW w:w="1900" w:type="dxa"/>
            <w:vAlign w:val="bottom"/>
            <w:gridSpan w:val="2"/>
            <w:shd w:val="clear" w:color="auto" w:fill="CCEEFF"/>
          </w:tcPr>
          <w:p>
            <w:pPr>
              <w:ind w:left="1660"/>
              <w:spacing w:after="0"/>
              <w:rPr>
                <w:sz w:val="20"/>
                <w:szCs w:val="20"/>
                <w:color w:val="auto"/>
              </w:rPr>
            </w:pPr>
            <w:r>
              <w:rPr>
                <w:rFonts w:ascii="Arial" w:cs="Arial" w:eastAsia="Arial" w:hAnsi="Arial"/>
                <w:sz w:val="18"/>
                <w:szCs w:val="18"/>
                <w:color w:val="auto"/>
              </w:rPr>
              <w:t>$</w:t>
            </w: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346,581</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080" w:type="dxa"/>
            <w:vAlign w:val="bottom"/>
          </w:tcPr>
          <w:p>
            <w:pPr>
              <w:spacing w:after="0" w:line="20" w:lineRule="exact"/>
              <w:rPr>
                <w:sz w:val="1"/>
                <w:szCs w:val="1"/>
                <w:color w:val="auto"/>
              </w:rPr>
            </w:pPr>
          </w:p>
        </w:tc>
        <w:tc>
          <w:tcPr>
            <w:tcW w:w="166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6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Note 6 - </w:t>
      </w:r>
      <w:r>
        <w:rPr>
          <w:rFonts w:ascii="Arial" w:cs="Arial" w:eastAsia="Arial" w:hAnsi="Arial"/>
          <w:sz w:val="18"/>
          <w:szCs w:val="18"/>
          <w:b w:val="1"/>
          <w:bCs w:val="1"/>
          <w:u w:val="single" w:color="auto"/>
          <w:color w:val="auto"/>
        </w:rPr>
        <w:t>Related Party Transactions</w:t>
      </w:r>
    </w:p>
    <w:p>
      <w:pPr>
        <w:spacing w:after="0" w:line="96" w:lineRule="exact"/>
        <w:rPr>
          <w:sz w:val="20"/>
          <w:szCs w:val="20"/>
          <w:color w:val="auto"/>
        </w:rPr>
      </w:pPr>
    </w:p>
    <w:p>
      <w:pPr>
        <w:ind w:right="300"/>
        <w:spacing w:after="0" w:line="306" w:lineRule="auto"/>
        <w:rPr>
          <w:sz w:val="20"/>
          <w:szCs w:val="20"/>
          <w:color w:val="auto"/>
        </w:rPr>
      </w:pPr>
      <w:r>
        <w:rPr>
          <w:rFonts w:ascii="Arial" w:cs="Arial" w:eastAsia="Arial" w:hAnsi="Arial"/>
          <w:sz w:val="16"/>
          <w:szCs w:val="16"/>
          <w:color w:val="auto"/>
        </w:rPr>
        <w:t>The Plan owned 42,270 and 69,531 shares of Casual Male Retail Group, Inc. valued at $99,536 and $36,156 at December 31, 2009 and 2008, respectively. Additionally, certain Plan investments are shares of mutual funds and units in the Fidelity Advisor Stable Value Fund managed by Fidelity Management Trust Company who is the Trustee as defined by the Plan, and therefore, these transactions qualify as party-in-interest transactions.</w:t>
      </w:r>
    </w:p>
    <w:p>
      <w:pPr>
        <w:spacing w:after="0" w:line="18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Note 7 - </w:t>
      </w:r>
      <w:r>
        <w:rPr>
          <w:rFonts w:ascii="Arial" w:cs="Arial" w:eastAsia="Arial" w:hAnsi="Arial"/>
          <w:sz w:val="18"/>
          <w:szCs w:val="18"/>
          <w:b w:val="1"/>
          <w:bCs w:val="1"/>
          <w:u w:val="single" w:color="auto"/>
          <w:color w:val="auto"/>
        </w:rPr>
        <w:t>Risks and Uncertainties</w:t>
      </w:r>
    </w:p>
    <w:p>
      <w:pPr>
        <w:spacing w:after="0" w:line="96" w:lineRule="exact"/>
        <w:rPr>
          <w:sz w:val="20"/>
          <w:szCs w:val="20"/>
          <w:color w:val="auto"/>
        </w:rPr>
      </w:pPr>
    </w:p>
    <w:p>
      <w:pPr>
        <w:jc w:val="both"/>
        <w:spacing w:after="0" w:line="335" w:lineRule="auto"/>
        <w:rPr>
          <w:sz w:val="20"/>
          <w:szCs w:val="20"/>
          <w:color w:val="auto"/>
        </w:rPr>
      </w:pPr>
      <w:r>
        <w:rPr>
          <w:rFonts w:ascii="Arial" w:cs="Arial" w:eastAsia="Arial" w:hAnsi="Arial"/>
          <w:sz w:val="15"/>
          <w:szCs w:val="15"/>
          <w:color w:val="auto"/>
        </w:rPr>
        <w:t>The Plan invests in various investment securities. Investment securities are exposed to various risks such as interest rate, market and credit risks. Due to the level of risk associated with certain investment securities, it is at least reasonably possible that changes in the values of investment securities will occur in the near term and that such changes could materially affect participants’ account balances and the amounts reported in the Statements of Net Assets Available for Benefits.</w:t>
      </w:r>
    </w:p>
    <w:p>
      <w:pPr>
        <w:spacing w:after="0" w:line="16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Note 8 - </w:t>
      </w:r>
      <w:r>
        <w:rPr>
          <w:rFonts w:ascii="Arial" w:cs="Arial" w:eastAsia="Arial" w:hAnsi="Arial"/>
          <w:sz w:val="18"/>
          <w:szCs w:val="18"/>
          <w:b w:val="1"/>
          <w:bCs w:val="1"/>
          <w:u w:val="single" w:color="auto"/>
          <w:color w:val="auto"/>
        </w:rPr>
        <w:t>Income Tax Status</w:t>
      </w:r>
    </w:p>
    <w:p>
      <w:pPr>
        <w:spacing w:after="0" w:line="96" w:lineRule="exact"/>
        <w:rPr>
          <w:sz w:val="20"/>
          <w:szCs w:val="20"/>
          <w:color w:val="auto"/>
        </w:rPr>
      </w:pPr>
    </w:p>
    <w:p>
      <w:pPr>
        <w:ind w:right="40"/>
        <w:spacing w:after="0" w:line="291" w:lineRule="auto"/>
        <w:rPr>
          <w:sz w:val="20"/>
          <w:szCs w:val="20"/>
          <w:color w:val="auto"/>
        </w:rPr>
      </w:pPr>
      <w:r>
        <w:rPr>
          <w:rFonts w:ascii="Arial" w:cs="Arial" w:eastAsia="Arial" w:hAnsi="Arial"/>
          <w:sz w:val="16"/>
          <w:szCs w:val="16"/>
          <w:color w:val="auto"/>
        </w:rPr>
        <w:t>The underlying non-standardized prototype plan has received an opinion letter from the Internal Revenue Service (IRS) dated March 31, 2008 stating that the form of the Plan is qualified under Section 401 of the Internal Revenue Code (the “Code”) and, therefore, the related trust is tax-exempt. In accordance with Revenue Procedure 2002-6 and Announcement 2001-77, the Plan Sponsor has determined that it is eligible to and has chosen to rely on the current IRS prototype plan opinion letter. Once qualified, the Plan is required to operate in conformity with the Code to maintain its qualification. The Plan has been amended since receiving the opinion letter. However, the plan administrator believes the Plan is being operated in compliance with the applicable requirements of the Code and, therefore, believes that the Plan is qualified and the related trust is tax-exempt.</w:t>
      </w:r>
    </w:p>
    <w:p>
      <w:pPr>
        <w:spacing w:after="0" w:line="107"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12</w:t>
      </w:r>
    </w:p>
    <w:p>
      <w:pPr>
        <w:sectPr>
          <w:pgSz w:w="11900" w:h="16838" w:orient="portrait"/>
          <w:cols w:equalWidth="0" w:num="1">
            <w:col w:w="11400"/>
          </w:cols>
          <w:pgMar w:left="240" w:top="459" w:right="259" w:bottom="1440" w:gutter="0" w:footer="0" w:header="0"/>
        </w:sectPr>
      </w:pPr>
    </w:p>
    <w:bookmarkStart w:id="14" w:name="page15"/>
    <w:bookmarkEnd w:id="1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159"/>
        <w:spacing w:after="0"/>
        <w:rPr>
          <w:sz w:val="20"/>
          <w:szCs w:val="20"/>
          <w:color w:val="auto"/>
        </w:rPr>
      </w:pPr>
      <w:r>
        <w:rPr>
          <w:rFonts w:ascii="Arial" w:cs="Arial" w:eastAsia="Arial" w:hAnsi="Arial"/>
          <w:sz w:val="18"/>
          <w:szCs w:val="18"/>
          <w:b w:val="1"/>
          <w:bCs w:val="1"/>
          <w:color w:val="auto"/>
        </w:rPr>
        <w:t>Casual Male Retail Group, Inc. 401(k) Hourly Savings Plan</w:t>
      </w:r>
    </w:p>
    <w:p>
      <w:pPr>
        <w:spacing w:after="0" w:line="90" w:lineRule="exact"/>
        <w:rPr>
          <w:sz w:val="20"/>
          <w:szCs w:val="20"/>
          <w:color w:val="auto"/>
        </w:rPr>
      </w:pPr>
    </w:p>
    <w:p>
      <w:pPr>
        <w:jc w:val="center"/>
        <w:ind w:right="-159"/>
        <w:spacing w:after="0"/>
        <w:rPr>
          <w:sz w:val="20"/>
          <w:szCs w:val="20"/>
          <w:color w:val="auto"/>
        </w:rPr>
      </w:pPr>
      <w:r>
        <w:rPr>
          <w:rFonts w:ascii="Arial" w:cs="Arial" w:eastAsia="Arial" w:hAnsi="Arial"/>
          <w:sz w:val="18"/>
          <w:szCs w:val="18"/>
          <w:b w:val="1"/>
          <w:bCs w:val="1"/>
          <w:color w:val="auto"/>
        </w:rPr>
        <w:t>Notes to Financial Statements—(Continued)</w:t>
      </w:r>
    </w:p>
    <w:p>
      <w:pPr>
        <w:spacing w:after="0" w:line="15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Note 9- </w:t>
      </w:r>
      <w:r>
        <w:rPr>
          <w:rFonts w:ascii="Arial" w:cs="Arial" w:eastAsia="Arial" w:hAnsi="Arial"/>
          <w:sz w:val="18"/>
          <w:szCs w:val="18"/>
          <w:b w:val="1"/>
          <w:bCs w:val="1"/>
          <w:u w:val="single" w:color="auto"/>
          <w:color w:val="auto"/>
        </w:rPr>
        <w:t>Reconciliation of Financial Statement to Form 5500</w:t>
      </w:r>
    </w:p>
    <w:p>
      <w:pPr>
        <w:spacing w:after="0" w:line="96" w:lineRule="exact"/>
        <w:rPr>
          <w:sz w:val="20"/>
          <w:szCs w:val="20"/>
          <w:color w:val="auto"/>
        </w:rPr>
      </w:pPr>
    </w:p>
    <w:p>
      <w:pPr>
        <w:spacing w:after="0"/>
        <w:rPr>
          <w:sz w:val="20"/>
          <w:szCs w:val="20"/>
          <w:color w:val="auto"/>
        </w:rPr>
      </w:pPr>
      <w:r>
        <w:rPr>
          <w:rFonts w:ascii="Arial" w:cs="Arial" w:eastAsia="Arial" w:hAnsi="Arial"/>
          <w:sz w:val="16"/>
          <w:szCs w:val="16"/>
          <w:color w:val="auto"/>
        </w:rPr>
        <w:t>The following is a reconciliation of net assets available for benefits according to the financial statements to Form 5500 December 31, 2009 and 2008:</w:t>
      </w:r>
    </w:p>
    <w:p>
      <w:pPr>
        <w:spacing w:after="0" w:line="230" w:lineRule="exact"/>
        <w:rPr>
          <w:sz w:val="20"/>
          <w:szCs w:val="20"/>
          <w:color w:val="auto"/>
        </w:rPr>
      </w:pPr>
    </w:p>
    <w:tbl>
      <w:tblPr>
        <w:tblLayout w:type="fixed"/>
        <w:tblInd w:w="138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590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900" w:type="dxa"/>
            <w:vAlign w:val="bottom"/>
            <w:tcBorders>
              <w:bottom w:val="single" w:sz="8" w:color="auto"/>
            </w:tcBorders>
          </w:tcPr>
          <w:p>
            <w:pPr>
              <w:jc w:val="right"/>
              <w:ind w:right="242"/>
              <w:spacing w:after="0"/>
              <w:rPr>
                <w:sz w:val="20"/>
                <w:szCs w:val="20"/>
                <w:color w:val="auto"/>
              </w:rPr>
            </w:pPr>
            <w:r>
              <w:rPr>
                <w:rFonts w:ascii="Arial" w:cs="Arial" w:eastAsia="Arial" w:hAnsi="Arial"/>
                <w:sz w:val="14"/>
                <w:szCs w:val="14"/>
                <w:b w:val="1"/>
                <w:bCs w:val="1"/>
                <w:color w:val="auto"/>
              </w:rPr>
              <w:t>2009</w:t>
            </w:r>
          </w:p>
        </w:tc>
        <w:tc>
          <w:tcPr>
            <w:tcW w:w="2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80" w:type="dxa"/>
            <w:vAlign w:val="bottom"/>
            <w:tcBorders>
              <w:bottom w:val="single" w:sz="8" w:color="auto"/>
            </w:tcBorders>
          </w:tcPr>
          <w:p>
            <w:pPr>
              <w:jc w:val="right"/>
              <w:ind w:right="232"/>
              <w:spacing w:after="0"/>
              <w:rPr>
                <w:sz w:val="20"/>
                <w:szCs w:val="20"/>
                <w:color w:val="auto"/>
              </w:rPr>
            </w:pPr>
            <w:r>
              <w:rPr>
                <w:rFonts w:ascii="Arial" w:cs="Arial" w:eastAsia="Arial" w:hAnsi="Arial"/>
                <w:sz w:val="14"/>
                <w:szCs w:val="14"/>
                <w:b w:val="1"/>
                <w:bCs w:val="1"/>
                <w:color w:val="auto"/>
              </w:rPr>
              <w:t>2008</w:t>
            </w: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900" w:type="dxa"/>
            <w:vAlign w:val="bottom"/>
            <w:shd w:val="clear" w:color="auto" w:fill="CCEEFF"/>
          </w:tcPr>
          <w:p>
            <w:pPr>
              <w:spacing w:after="0"/>
              <w:rPr>
                <w:sz w:val="20"/>
                <w:szCs w:val="20"/>
                <w:color w:val="auto"/>
              </w:rPr>
            </w:pPr>
            <w:r>
              <w:rPr>
                <w:rFonts w:ascii="Arial" w:cs="Arial" w:eastAsia="Arial" w:hAnsi="Arial"/>
                <w:sz w:val="18"/>
                <w:szCs w:val="18"/>
                <w:color w:val="auto"/>
              </w:rPr>
              <w:t>Net assets available for benefits per the financial statements</w:t>
            </w:r>
          </w:p>
        </w:tc>
        <w:tc>
          <w:tcPr>
            <w:tcW w:w="13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$ 11,228,170</w:t>
            </w:r>
          </w:p>
        </w:tc>
        <w:tc>
          <w:tcPr>
            <w:tcW w:w="24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$10,774,282</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5900" w:type="dxa"/>
            <w:vAlign w:val="bottom"/>
          </w:tcPr>
          <w:p>
            <w:pPr>
              <w:spacing w:after="0"/>
              <w:rPr>
                <w:sz w:val="20"/>
                <w:szCs w:val="20"/>
                <w:color w:val="auto"/>
              </w:rPr>
            </w:pPr>
            <w:r>
              <w:rPr>
                <w:rFonts w:ascii="Arial" w:cs="Arial" w:eastAsia="Arial" w:hAnsi="Arial"/>
                <w:sz w:val="18"/>
                <w:szCs w:val="18"/>
                <w:color w:val="auto"/>
                <w:w w:val="96"/>
              </w:rPr>
              <w:t>Less: Adjustment from fair value to contract value for fully benefit-responsive</w:t>
            </w:r>
          </w:p>
        </w:tc>
        <w:tc>
          <w:tcPr>
            <w:tcW w:w="4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5900" w:type="dxa"/>
            <w:vAlign w:val="bottom"/>
          </w:tcPr>
          <w:p>
            <w:pPr>
              <w:ind w:left="200"/>
              <w:spacing w:after="0"/>
              <w:rPr>
                <w:sz w:val="20"/>
                <w:szCs w:val="20"/>
                <w:color w:val="auto"/>
              </w:rPr>
            </w:pPr>
            <w:r>
              <w:rPr>
                <w:rFonts w:ascii="Arial" w:cs="Arial" w:eastAsia="Arial" w:hAnsi="Arial"/>
                <w:sz w:val="18"/>
                <w:szCs w:val="18"/>
                <w:color w:val="auto"/>
              </w:rPr>
              <w:t>investment contract</w:t>
            </w:r>
          </w:p>
        </w:tc>
        <w:tc>
          <w:tcPr>
            <w:tcW w:w="420" w:type="dxa"/>
            <w:vAlign w:val="bottom"/>
          </w:tcPr>
          <w:p>
            <w:pPr>
              <w:spacing w:after="0"/>
              <w:rPr>
                <w:sz w:val="19"/>
                <w:szCs w:val="19"/>
                <w:color w:val="auto"/>
              </w:rPr>
            </w:pPr>
          </w:p>
        </w:tc>
        <w:tc>
          <w:tcPr>
            <w:tcW w:w="1140" w:type="dxa"/>
            <w:vAlign w:val="bottom"/>
            <w:gridSpan w:val="2"/>
          </w:tcPr>
          <w:p>
            <w:pPr>
              <w:jc w:val="right"/>
              <w:ind w:right="200"/>
              <w:spacing w:after="0"/>
              <w:rPr>
                <w:sz w:val="20"/>
                <w:szCs w:val="20"/>
                <w:color w:val="auto"/>
              </w:rPr>
            </w:pPr>
            <w:r>
              <w:rPr>
                <w:rFonts w:ascii="Arial" w:cs="Arial" w:eastAsia="Arial" w:hAnsi="Arial"/>
                <w:sz w:val="18"/>
                <w:szCs w:val="18"/>
                <w:color w:val="auto"/>
              </w:rPr>
              <w:t>(5,724)</w:t>
            </w:r>
          </w:p>
        </w:tc>
        <w:tc>
          <w:tcPr>
            <w:tcW w:w="1200" w:type="dxa"/>
            <w:vAlign w:val="bottom"/>
            <w:gridSpan w:val="3"/>
          </w:tcPr>
          <w:p>
            <w:pPr>
              <w:jc w:val="right"/>
              <w:ind w:right="60"/>
              <w:spacing w:after="0"/>
              <w:rPr>
                <w:sz w:val="20"/>
                <w:szCs w:val="20"/>
                <w:color w:val="auto"/>
              </w:rPr>
            </w:pPr>
            <w:r>
              <w:rPr>
                <w:rFonts w:ascii="Arial" w:cs="Arial" w:eastAsia="Arial" w:hAnsi="Arial"/>
                <w:sz w:val="18"/>
                <w:szCs w:val="18"/>
                <w:color w:val="auto"/>
              </w:rPr>
              <w:t>(140,316)</w:t>
            </w:r>
          </w:p>
        </w:tc>
        <w:tc>
          <w:tcPr>
            <w:tcW w:w="0" w:type="dxa"/>
            <w:vAlign w:val="bottom"/>
          </w:tcPr>
          <w:p>
            <w:pPr>
              <w:spacing w:after="0"/>
              <w:rPr>
                <w:sz w:val="1"/>
                <w:szCs w:val="1"/>
                <w:color w:val="auto"/>
              </w:rPr>
            </w:pPr>
          </w:p>
        </w:tc>
      </w:tr>
      <w:tr>
        <w:trPr>
          <w:trHeight w:val="28"/>
        </w:trPr>
        <w:tc>
          <w:tcPr>
            <w:tcW w:w="20" w:type="dxa"/>
            <w:vAlign w:val="bottom"/>
            <w:vMerge w:val="restart"/>
          </w:tcPr>
          <w:p>
            <w:pPr>
              <w:spacing w:after="0"/>
              <w:rPr>
                <w:sz w:val="2"/>
                <w:szCs w:val="2"/>
                <w:color w:val="auto"/>
              </w:rPr>
            </w:pPr>
          </w:p>
        </w:tc>
        <w:tc>
          <w:tcPr>
            <w:tcW w:w="5900" w:type="dxa"/>
            <w:vAlign w:val="bottom"/>
          </w:tcPr>
          <w:p>
            <w:pPr>
              <w:spacing w:after="0"/>
              <w:rPr>
                <w:sz w:val="2"/>
                <w:szCs w:val="2"/>
                <w:color w:val="auto"/>
              </w:rPr>
            </w:pPr>
          </w:p>
        </w:tc>
        <w:tc>
          <w:tcPr>
            <w:tcW w:w="420" w:type="dxa"/>
            <w:vAlign w:val="bottom"/>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240" w:type="dxa"/>
            <w:vAlign w:val="bottom"/>
          </w:tcPr>
          <w:p>
            <w:pPr>
              <w:spacing w:after="0"/>
              <w:rPr>
                <w:sz w:val="2"/>
                <w:szCs w:val="2"/>
                <w:color w:val="auto"/>
              </w:rPr>
            </w:pPr>
          </w:p>
        </w:tc>
        <w:tc>
          <w:tcPr>
            <w:tcW w:w="200" w:type="dxa"/>
            <w:vAlign w:val="bottom"/>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5900" w:type="dxa"/>
            <w:vAlign w:val="bottom"/>
            <w:shd w:val="clear" w:color="auto" w:fill="CCEEFF"/>
          </w:tcPr>
          <w:p>
            <w:pPr>
              <w:spacing w:after="0"/>
              <w:rPr>
                <w:sz w:val="20"/>
                <w:szCs w:val="20"/>
                <w:color w:val="auto"/>
              </w:rPr>
            </w:pPr>
            <w:r>
              <w:rPr>
                <w:rFonts w:ascii="Arial" w:cs="Arial" w:eastAsia="Arial" w:hAnsi="Arial"/>
                <w:sz w:val="18"/>
                <w:szCs w:val="18"/>
                <w:color w:val="auto"/>
              </w:rPr>
              <w:t>Net assets available for benefits per Form 5500</w:t>
            </w:r>
          </w:p>
        </w:tc>
        <w:tc>
          <w:tcPr>
            <w:tcW w:w="1320" w:type="dxa"/>
            <w:vAlign w:val="bottom"/>
            <w:gridSpan w:val="2"/>
            <w:shd w:val="clear" w:color="auto" w:fill="CCEEFF"/>
          </w:tcPr>
          <w:p>
            <w:pPr>
              <w:jc w:val="right"/>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 xml:space="preserve"> 11,222,446</w:t>
            </w:r>
          </w:p>
        </w:tc>
        <w:tc>
          <w:tcPr>
            <w:tcW w:w="24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10,633,966</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90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67" w:lineRule="exact"/>
        <w:rPr>
          <w:sz w:val="20"/>
          <w:szCs w:val="20"/>
          <w:color w:val="auto"/>
        </w:rPr>
      </w:pPr>
    </w:p>
    <w:p>
      <w:pPr>
        <w:spacing w:after="0" w:line="268" w:lineRule="auto"/>
        <w:rPr>
          <w:sz w:val="20"/>
          <w:szCs w:val="20"/>
          <w:color w:val="auto"/>
        </w:rPr>
      </w:pPr>
      <w:r>
        <w:rPr>
          <w:rFonts w:ascii="Arial" w:cs="Arial" w:eastAsia="Arial" w:hAnsi="Arial"/>
          <w:sz w:val="18"/>
          <w:szCs w:val="18"/>
          <w:color w:val="auto"/>
        </w:rPr>
        <w:t>The following is a reconciliation of net appreciation in fair value of investments and interest and dividend income for the year ended December 31, 2009 per the financial statements to Form 5500:</w:t>
      </w:r>
    </w:p>
    <w:p>
      <w:pPr>
        <w:spacing w:after="0" w:line="181" w:lineRule="exact"/>
        <w:rPr>
          <w:sz w:val="20"/>
          <w:szCs w:val="20"/>
          <w:color w:val="auto"/>
        </w:rPr>
      </w:pPr>
    </w:p>
    <w:tbl>
      <w:tblPr>
        <w:tblLayout w:type="fixed"/>
        <w:tblInd w:w="1840" w:type="dxa"/>
        <w:tblCellMar>
          <w:top w:w="0" w:type="dxa"/>
          <w:left w:w="0" w:type="dxa"/>
          <w:bottom w:w="0" w:type="dxa"/>
          <w:right w:w="0" w:type="dxa"/>
        </w:tblCellMar>
      </w:tblPr>
      <w:tr>
        <w:trPr>
          <w:trHeight w:val="208"/>
        </w:trPr>
        <w:tc>
          <w:tcPr>
            <w:tcW w:w="6580" w:type="dxa"/>
            <w:vAlign w:val="bottom"/>
            <w:shd w:val="clear" w:color="auto" w:fill="CCEEFF"/>
          </w:tcPr>
          <w:p>
            <w:pPr>
              <w:spacing w:after="0"/>
              <w:rPr>
                <w:sz w:val="20"/>
                <w:szCs w:val="20"/>
                <w:color w:val="auto"/>
              </w:rPr>
            </w:pPr>
            <w:r>
              <w:rPr>
                <w:rFonts w:ascii="Arial" w:cs="Arial" w:eastAsia="Arial" w:hAnsi="Arial"/>
                <w:sz w:val="18"/>
                <w:szCs w:val="18"/>
                <w:color w:val="auto"/>
                <w:w w:val="96"/>
              </w:rPr>
              <w:t>Net appreciation in fair value of investments and interest and dividend income per the</w:t>
            </w:r>
          </w:p>
        </w:tc>
        <w:tc>
          <w:tcPr>
            <w:tcW w:w="28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6580" w:type="dxa"/>
            <w:vAlign w:val="bottom"/>
            <w:shd w:val="clear" w:color="auto" w:fill="CCEEFF"/>
          </w:tcPr>
          <w:p>
            <w:pPr>
              <w:ind w:left="220"/>
              <w:spacing w:after="0"/>
              <w:rPr>
                <w:sz w:val="20"/>
                <w:szCs w:val="20"/>
                <w:color w:val="auto"/>
              </w:rPr>
            </w:pPr>
            <w:r>
              <w:rPr>
                <w:rFonts w:ascii="Arial" w:cs="Arial" w:eastAsia="Arial" w:hAnsi="Arial"/>
                <w:sz w:val="18"/>
                <w:szCs w:val="18"/>
                <w:color w:val="auto"/>
              </w:rPr>
              <w:t>financial statements</w:t>
            </w:r>
          </w:p>
        </w:tc>
        <w:tc>
          <w:tcPr>
            <w:tcW w:w="10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$1,694,935</w:t>
            </w:r>
          </w:p>
        </w:tc>
        <w:tc>
          <w:tcPr>
            <w:tcW w:w="1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8"/>
        </w:trPr>
        <w:tc>
          <w:tcPr>
            <w:tcW w:w="6580" w:type="dxa"/>
            <w:vAlign w:val="bottom"/>
          </w:tcPr>
          <w:p>
            <w:pPr>
              <w:spacing w:after="0"/>
              <w:rPr>
                <w:sz w:val="20"/>
                <w:szCs w:val="20"/>
                <w:color w:val="auto"/>
              </w:rPr>
            </w:pPr>
            <w:r>
              <w:rPr>
                <w:rFonts w:ascii="Arial" w:cs="Arial" w:eastAsia="Arial" w:hAnsi="Arial"/>
                <w:sz w:val="18"/>
                <w:szCs w:val="18"/>
                <w:color w:val="auto"/>
                <w:w w:val="94"/>
              </w:rPr>
              <w:t>Add: Adjustment from fair value to contract value for fully benefit-responsive investment</w:t>
            </w:r>
          </w:p>
        </w:tc>
        <w:tc>
          <w:tcPr>
            <w:tcW w:w="28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6580" w:type="dxa"/>
            <w:vAlign w:val="bottom"/>
          </w:tcPr>
          <w:p>
            <w:pPr>
              <w:ind w:left="220"/>
              <w:spacing w:after="0"/>
              <w:rPr>
                <w:sz w:val="20"/>
                <w:szCs w:val="20"/>
                <w:color w:val="auto"/>
              </w:rPr>
            </w:pPr>
            <w:r>
              <w:rPr>
                <w:rFonts w:ascii="Arial" w:cs="Arial" w:eastAsia="Arial" w:hAnsi="Arial"/>
                <w:sz w:val="18"/>
                <w:szCs w:val="18"/>
                <w:color w:val="auto"/>
              </w:rPr>
              <w:t>contracts in 2009</w:t>
            </w:r>
          </w:p>
        </w:tc>
        <w:tc>
          <w:tcPr>
            <w:tcW w:w="1180" w:type="dxa"/>
            <w:vAlign w:val="bottom"/>
            <w:gridSpan w:val="3"/>
          </w:tcPr>
          <w:p>
            <w:pPr>
              <w:jc w:val="right"/>
              <w:ind w:right="60"/>
              <w:spacing w:after="0"/>
              <w:rPr>
                <w:sz w:val="20"/>
                <w:szCs w:val="20"/>
                <w:color w:val="auto"/>
              </w:rPr>
            </w:pPr>
            <w:r>
              <w:rPr>
                <w:rFonts w:ascii="Arial" w:cs="Arial" w:eastAsia="Arial" w:hAnsi="Arial"/>
                <w:sz w:val="18"/>
                <w:szCs w:val="18"/>
                <w:color w:val="auto"/>
              </w:rPr>
              <w:t>(5,724)</w:t>
            </w:r>
          </w:p>
        </w:tc>
        <w:tc>
          <w:tcPr>
            <w:tcW w:w="0" w:type="dxa"/>
            <w:vAlign w:val="bottom"/>
          </w:tcPr>
          <w:p>
            <w:pPr>
              <w:spacing w:after="0"/>
              <w:rPr>
                <w:sz w:val="1"/>
                <w:szCs w:val="1"/>
                <w:color w:val="auto"/>
              </w:rPr>
            </w:pPr>
          </w:p>
        </w:tc>
      </w:tr>
      <w:tr>
        <w:trPr>
          <w:trHeight w:val="210"/>
        </w:trPr>
        <w:tc>
          <w:tcPr>
            <w:tcW w:w="6580" w:type="dxa"/>
            <w:vAlign w:val="bottom"/>
            <w:shd w:val="clear" w:color="auto" w:fill="CCEEFF"/>
          </w:tcPr>
          <w:p>
            <w:pPr>
              <w:spacing w:after="0"/>
              <w:rPr>
                <w:sz w:val="20"/>
                <w:szCs w:val="20"/>
                <w:color w:val="auto"/>
              </w:rPr>
            </w:pPr>
            <w:r>
              <w:rPr>
                <w:rFonts w:ascii="Arial" w:cs="Arial" w:eastAsia="Arial" w:hAnsi="Arial"/>
                <w:sz w:val="18"/>
                <w:szCs w:val="18"/>
                <w:color w:val="auto"/>
                <w:w w:val="93"/>
              </w:rPr>
              <w:t>Less: Adjustment from fair value to contract value for fully benefit-responsive investment</w:t>
            </w:r>
          </w:p>
        </w:tc>
        <w:tc>
          <w:tcPr>
            <w:tcW w:w="28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6580" w:type="dxa"/>
            <w:vAlign w:val="bottom"/>
            <w:shd w:val="clear" w:color="auto" w:fill="CCEEFF"/>
          </w:tcPr>
          <w:p>
            <w:pPr>
              <w:ind w:left="220"/>
              <w:spacing w:after="0"/>
              <w:rPr>
                <w:sz w:val="20"/>
                <w:szCs w:val="20"/>
                <w:color w:val="auto"/>
              </w:rPr>
            </w:pPr>
            <w:r>
              <w:rPr>
                <w:rFonts w:ascii="Arial" w:cs="Arial" w:eastAsia="Arial" w:hAnsi="Arial"/>
                <w:sz w:val="18"/>
                <w:szCs w:val="18"/>
                <w:color w:val="auto"/>
              </w:rPr>
              <w:t>contracts in 2008</w:t>
            </w:r>
          </w:p>
        </w:tc>
        <w:tc>
          <w:tcPr>
            <w:tcW w:w="10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140,316</w:t>
            </w:r>
          </w:p>
        </w:tc>
        <w:tc>
          <w:tcPr>
            <w:tcW w:w="1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5"/>
        </w:trPr>
        <w:tc>
          <w:tcPr>
            <w:tcW w:w="6580" w:type="dxa"/>
            <w:vAlign w:val="bottom"/>
          </w:tcPr>
          <w:p>
            <w:pPr>
              <w:spacing w:after="0"/>
              <w:rPr>
                <w:sz w:val="20"/>
                <w:szCs w:val="20"/>
                <w:color w:val="auto"/>
              </w:rPr>
            </w:pPr>
            <w:r>
              <w:rPr>
                <w:rFonts w:ascii="Arial" w:cs="Arial" w:eastAsia="Arial" w:hAnsi="Arial"/>
                <w:sz w:val="18"/>
                <w:szCs w:val="18"/>
                <w:color w:val="auto"/>
                <w:w w:val="94"/>
              </w:rPr>
              <w:t>Net appreciation in fair value of investments and interest and dividend income per Form</w:t>
            </w:r>
          </w:p>
        </w:tc>
        <w:tc>
          <w:tcPr>
            <w:tcW w:w="280" w:type="dxa"/>
            <w:vAlign w:val="bottom"/>
          </w:tcPr>
          <w:p>
            <w:pPr>
              <w:spacing w:after="0"/>
              <w:rPr>
                <w:sz w:val="18"/>
                <w:szCs w:val="18"/>
                <w:color w:val="auto"/>
              </w:rPr>
            </w:pPr>
          </w:p>
        </w:tc>
        <w:tc>
          <w:tcPr>
            <w:tcW w:w="780" w:type="dxa"/>
            <w:vAlign w:val="bottom"/>
            <w:tcBorders>
              <w:top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6580" w:type="dxa"/>
            <w:vAlign w:val="bottom"/>
          </w:tcPr>
          <w:p>
            <w:pPr>
              <w:ind w:left="220"/>
              <w:spacing w:after="0"/>
              <w:rPr>
                <w:sz w:val="20"/>
                <w:szCs w:val="20"/>
                <w:color w:val="auto"/>
              </w:rPr>
            </w:pPr>
            <w:r>
              <w:rPr>
                <w:rFonts w:ascii="Arial" w:cs="Arial" w:eastAsia="Arial" w:hAnsi="Arial"/>
                <w:sz w:val="18"/>
                <w:szCs w:val="18"/>
                <w:color w:val="auto"/>
              </w:rPr>
              <w:t>5500</w:t>
            </w:r>
          </w:p>
        </w:tc>
        <w:tc>
          <w:tcPr>
            <w:tcW w:w="1060" w:type="dxa"/>
            <w:vAlign w:val="bottom"/>
            <w:gridSpan w:val="2"/>
          </w:tcPr>
          <w:p>
            <w:pPr>
              <w:jc w:val="right"/>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1,829,527</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6580" w:type="dxa"/>
            <w:vAlign w:val="bottom"/>
            <w:vMerge w:val="restart"/>
          </w:tcPr>
          <w:p>
            <w:pPr>
              <w:ind w:left="3780"/>
              <w:spacing w:after="0"/>
              <w:rPr>
                <w:sz w:val="20"/>
                <w:szCs w:val="20"/>
                <w:color w:val="auto"/>
              </w:rPr>
            </w:pPr>
            <w:r>
              <w:rPr>
                <w:rFonts w:ascii="Arial" w:cs="Arial" w:eastAsia="Arial" w:hAnsi="Arial"/>
                <w:sz w:val="18"/>
                <w:szCs w:val="18"/>
                <w:color w:val="auto"/>
              </w:rPr>
              <w:t>13</w:t>
            </w:r>
          </w:p>
        </w:tc>
        <w:tc>
          <w:tcPr>
            <w:tcW w:w="280" w:type="dxa"/>
            <w:vAlign w:val="bottom"/>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9"/>
        </w:trPr>
        <w:tc>
          <w:tcPr>
            <w:tcW w:w="6580" w:type="dxa"/>
            <w:vAlign w:val="bottom"/>
            <w:vMerge w:val="continue"/>
          </w:tcPr>
          <w:p>
            <w:pPr>
              <w:spacing w:after="0"/>
              <w:rPr>
                <w:sz w:val="24"/>
                <w:szCs w:val="24"/>
                <w:color w:val="auto"/>
              </w:rPr>
            </w:pPr>
          </w:p>
        </w:tc>
        <w:tc>
          <w:tcPr>
            <w:tcW w:w="28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260"/>
          </w:cols>
          <w:pgMar w:left="240" w:top="459" w:right="399" w:bottom="1440" w:gutter="0" w:footer="0" w:header="0"/>
        </w:sectPr>
      </w:pPr>
    </w:p>
    <w:bookmarkStart w:id="15" w:name="page16"/>
    <w:bookmarkEnd w:id="1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1200"/>
        <w:spacing w:after="0"/>
        <w:rPr>
          <w:sz w:val="20"/>
          <w:szCs w:val="20"/>
          <w:color w:val="auto"/>
        </w:rPr>
      </w:pPr>
      <w:r>
        <w:rPr>
          <w:rFonts w:ascii="Arial" w:cs="Arial" w:eastAsia="Arial" w:hAnsi="Arial"/>
          <w:sz w:val="15"/>
          <w:szCs w:val="15"/>
          <w:b w:val="1"/>
          <w:bCs w:val="1"/>
          <w:color w:val="auto"/>
        </w:rPr>
        <w:t>Supplementary Schedule</w:t>
      </w:r>
    </w:p>
    <w:p>
      <w:pPr>
        <w:spacing w:after="0" w:line="198" w:lineRule="exact"/>
        <w:rPr>
          <w:sz w:val="20"/>
          <w:szCs w:val="20"/>
          <w:color w:val="auto"/>
        </w:rPr>
      </w:pPr>
    </w:p>
    <w:p>
      <w:pPr>
        <w:jc w:val="center"/>
        <w:ind w:right="-1200"/>
        <w:spacing w:after="0"/>
        <w:rPr>
          <w:sz w:val="20"/>
          <w:szCs w:val="20"/>
          <w:color w:val="auto"/>
        </w:rPr>
      </w:pPr>
      <w:r>
        <w:rPr>
          <w:rFonts w:ascii="Arial" w:cs="Arial" w:eastAsia="Arial" w:hAnsi="Arial"/>
          <w:sz w:val="18"/>
          <w:szCs w:val="18"/>
          <w:color w:val="auto"/>
        </w:rPr>
        <w:t>14</w:t>
      </w:r>
    </w:p>
    <w:p>
      <w:pPr>
        <w:sectPr>
          <w:pgSz w:w="11900" w:h="16838" w:orient="portrait"/>
          <w:cols w:equalWidth="0" w:num="1">
            <w:col w:w="10219"/>
          </w:cols>
          <w:pgMar w:left="240" w:top="459" w:right="1440" w:bottom="1440" w:gutter="0" w:footer="0" w:header="0"/>
        </w:sectPr>
      </w:pPr>
    </w:p>
    <w:bookmarkStart w:id="16" w:name="page17"/>
    <w:bookmarkEnd w:id="1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Supplemental Schedule</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Casual Male Retail Group, Inc. 401(k) Hourly Savings Plan</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EIN: 04-2623104/Plan Number: 005</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Schedule H, Line 4i – Schedule of Assets Held For Investment Purposes at</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End of Year</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(December 31, 2009)</w:t>
      </w:r>
    </w:p>
    <w:p>
      <w:pPr>
        <w:spacing w:after="0" w:line="18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3060" w:type="dxa"/>
            <w:vAlign w:val="bottom"/>
            <w:gridSpan w:val="2"/>
          </w:tcPr>
          <w:p>
            <w:pPr>
              <w:jc w:val="center"/>
              <w:ind w:right="20"/>
              <w:spacing w:after="0"/>
              <w:rPr>
                <w:sz w:val="20"/>
                <w:szCs w:val="20"/>
                <w:color w:val="auto"/>
              </w:rPr>
            </w:pPr>
            <w:r>
              <w:rPr>
                <w:rFonts w:ascii="Arial" w:cs="Arial" w:eastAsia="Arial" w:hAnsi="Arial"/>
                <w:sz w:val="14"/>
                <w:szCs w:val="14"/>
                <w:b w:val="1"/>
                <w:bCs w:val="1"/>
                <w:color w:val="auto"/>
                <w:w w:val="86"/>
              </w:rPr>
              <w:t>Identity of Issue,</w:t>
            </w:r>
          </w:p>
        </w:tc>
        <w:tc>
          <w:tcPr>
            <w:tcW w:w="220" w:type="dxa"/>
            <w:vAlign w:val="bottom"/>
          </w:tcPr>
          <w:p>
            <w:pPr>
              <w:spacing w:after="0"/>
              <w:rPr>
                <w:sz w:val="14"/>
                <w:szCs w:val="14"/>
                <w:color w:val="auto"/>
              </w:rPr>
            </w:pPr>
          </w:p>
        </w:tc>
        <w:tc>
          <w:tcPr>
            <w:tcW w:w="5940" w:type="dxa"/>
            <w:vAlign w:val="bottom"/>
          </w:tcPr>
          <w:p>
            <w:pPr>
              <w:jc w:val="center"/>
              <w:spacing w:after="0"/>
              <w:rPr>
                <w:sz w:val="20"/>
                <w:szCs w:val="20"/>
                <w:color w:val="auto"/>
              </w:rPr>
            </w:pPr>
            <w:r>
              <w:rPr>
                <w:rFonts w:ascii="Arial" w:cs="Arial" w:eastAsia="Arial" w:hAnsi="Arial"/>
                <w:sz w:val="14"/>
                <w:szCs w:val="14"/>
                <w:b w:val="1"/>
                <w:bCs w:val="1"/>
                <w:color w:val="auto"/>
                <w:w w:val="86"/>
              </w:rPr>
              <w:t>Description of investment including</w:t>
            </w:r>
          </w:p>
        </w:tc>
        <w:tc>
          <w:tcPr>
            <w:tcW w:w="20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20" w:type="dxa"/>
            <w:vAlign w:val="bottom"/>
          </w:tcPr>
          <w:p>
            <w:pPr>
              <w:spacing w:after="0"/>
              <w:rPr>
                <w:sz w:val="14"/>
                <w:szCs w:val="14"/>
                <w:color w:val="auto"/>
              </w:rPr>
            </w:pPr>
          </w:p>
        </w:tc>
      </w:tr>
      <w:tr>
        <w:trPr>
          <w:trHeight w:val="149"/>
        </w:trPr>
        <w:tc>
          <w:tcPr>
            <w:tcW w:w="20" w:type="dxa"/>
            <w:vAlign w:val="bottom"/>
          </w:tcPr>
          <w:p>
            <w:pPr>
              <w:spacing w:after="0"/>
              <w:rPr>
                <w:sz w:val="12"/>
                <w:szCs w:val="12"/>
                <w:color w:val="auto"/>
              </w:rPr>
            </w:pPr>
          </w:p>
        </w:tc>
        <w:tc>
          <w:tcPr>
            <w:tcW w:w="3060" w:type="dxa"/>
            <w:vAlign w:val="bottom"/>
            <w:gridSpan w:val="2"/>
          </w:tcPr>
          <w:p>
            <w:pPr>
              <w:jc w:val="center"/>
              <w:spacing w:after="0" w:line="149" w:lineRule="exact"/>
              <w:rPr>
                <w:sz w:val="20"/>
                <w:szCs w:val="20"/>
                <w:color w:val="auto"/>
              </w:rPr>
            </w:pPr>
            <w:r>
              <w:rPr>
                <w:rFonts w:ascii="Arial" w:cs="Arial" w:eastAsia="Arial" w:hAnsi="Arial"/>
                <w:sz w:val="14"/>
                <w:szCs w:val="14"/>
                <w:b w:val="1"/>
                <w:bCs w:val="1"/>
                <w:color w:val="auto"/>
                <w:w w:val="85"/>
              </w:rPr>
              <w:t>Borrower, Lessor,</w:t>
            </w:r>
          </w:p>
        </w:tc>
        <w:tc>
          <w:tcPr>
            <w:tcW w:w="220" w:type="dxa"/>
            <w:vAlign w:val="bottom"/>
          </w:tcPr>
          <w:p>
            <w:pPr>
              <w:spacing w:after="0"/>
              <w:rPr>
                <w:sz w:val="12"/>
                <w:szCs w:val="12"/>
                <w:color w:val="auto"/>
              </w:rPr>
            </w:pPr>
          </w:p>
        </w:tc>
        <w:tc>
          <w:tcPr>
            <w:tcW w:w="594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8"/>
              </w:rPr>
              <w:t>maturity date, rate of interest,</w:t>
            </w:r>
          </w:p>
        </w:tc>
        <w:tc>
          <w:tcPr>
            <w:tcW w:w="20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20" w:type="dxa"/>
            <w:vAlign w:val="bottom"/>
          </w:tcPr>
          <w:p>
            <w:pPr>
              <w:spacing w:after="0"/>
              <w:rPr>
                <w:sz w:val="12"/>
                <w:szCs w:val="12"/>
                <w:color w:val="auto"/>
              </w:rPr>
            </w:pPr>
          </w:p>
        </w:tc>
      </w:tr>
      <w:tr>
        <w:trPr>
          <w:trHeight w:val="175"/>
        </w:trPr>
        <w:tc>
          <w:tcPr>
            <w:tcW w:w="20" w:type="dxa"/>
            <w:vAlign w:val="bottom"/>
          </w:tcPr>
          <w:p>
            <w:pPr>
              <w:spacing w:after="0"/>
              <w:rPr>
                <w:sz w:val="15"/>
                <w:szCs w:val="15"/>
                <w:color w:val="auto"/>
              </w:rPr>
            </w:pPr>
          </w:p>
        </w:tc>
        <w:tc>
          <w:tcPr>
            <w:tcW w:w="3060" w:type="dxa"/>
            <w:vAlign w:val="bottom"/>
            <w:tcBorders>
              <w:bottom w:val="single" w:sz="8" w:color="auto"/>
            </w:tcBorders>
            <w:gridSpan w:val="2"/>
          </w:tcPr>
          <w:p>
            <w:pPr>
              <w:jc w:val="center"/>
              <w:spacing w:after="0"/>
              <w:rPr>
                <w:sz w:val="20"/>
                <w:szCs w:val="20"/>
                <w:color w:val="auto"/>
              </w:rPr>
            </w:pPr>
            <w:r>
              <w:rPr>
                <w:rFonts w:ascii="Arial" w:cs="Arial" w:eastAsia="Arial" w:hAnsi="Arial"/>
                <w:sz w:val="14"/>
                <w:szCs w:val="14"/>
                <w:b w:val="1"/>
                <w:bCs w:val="1"/>
                <w:color w:val="auto"/>
                <w:w w:val="90"/>
              </w:rPr>
              <w:t>or Similar Party</w:t>
            </w:r>
          </w:p>
        </w:tc>
        <w:tc>
          <w:tcPr>
            <w:tcW w:w="220" w:type="dxa"/>
            <w:vAlign w:val="bottom"/>
          </w:tcPr>
          <w:p>
            <w:pPr>
              <w:spacing w:after="0"/>
              <w:rPr>
                <w:sz w:val="15"/>
                <w:szCs w:val="15"/>
                <w:color w:val="auto"/>
              </w:rPr>
            </w:pPr>
          </w:p>
        </w:tc>
        <w:tc>
          <w:tcPr>
            <w:tcW w:w="594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8"/>
              </w:rPr>
              <w:t>collateral, par, or maturity value</w:t>
            </w:r>
          </w:p>
        </w:tc>
        <w:tc>
          <w:tcPr>
            <w:tcW w:w="200" w:type="dxa"/>
            <w:vAlign w:val="bottom"/>
          </w:tcPr>
          <w:p>
            <w:pPr>
              <w:spacing w:after="0"/>
              <w:rPr>
                <w:sz w:val="15"/>
                <w:szCs w:val="15"/>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w w:val="88"/>
              </w:rPr>
              <w:t>Shares/Units</w:t>
            </w:r>
          </w:p>
        </w:tc>
        <w:tc>
          <w:tcPr>
            <w:tcW w:w="220" w:type="dxa"/>
            <w:vAlign w:val="bottom"/>
          </w:tcPr>
          <w:p>
            <w:pPr>
              <w:spacing w:after="0"/>
              <w:rPr>
                <w:sz w:val="15"/>
                <w:szCs w:val="15"/>
                <w:color w:val="auto"/>
              </w:rPr>
            </w:pPr>
          </w:p>
        </w:tc>
        <w:tc>
          <w:tcPr>
            <w:tcW w:w="960" w:type="dxa"/>
            <w:vAlign w:val="bottom"/>
            <w:tcBorders>
              <w:bottom w:val="single" w:sz="8" w:color="auto"/>
            </w:tcBorders>
            <w:gridSpan w:val="2"/>
          </w:tcPr>
          <w:p>
            <w:pPr>
              <w:jc w:val="right"/>
              <w:spacing w:after="0"/>
              <w:rPr>
                <w:sz w:val="20"/>
                <w:szCs w:val="20"/>
                <w:color w:val="auto"/>
              </w:rPr>
            </w:pPr>
            <w:r>
              <w:rPr>
                <w:rFonts w:ascii="Arial" w:cs="Arial" w:eastAsia="Arial" w:hAnsi="Arial"/>
                <w:sz w:val="14"/>
                <w:szCs w:val="14"/>
                <w:b w:val="1"/>
                <w:bCs w:val="1"/>
                <w:color w:val="auto"/>
                <w:w w:val="95"/>
              </w:rPr>
              <w:t>Current Value</w:t>
            </w:r>
          </w:p>
        </w:tc>
      </w:tr>
      <w:tr>
        <w:trPr>
          <w:trHeight w:val="201"/>
        </w:trPr>
        <w:tc>
          <w:tcPr>
            <w:tcW w:w="20" w:type="dxa"/>
            <w:vAlign w:val="bottom"/>
          </w:tcPr>
          <w:p>
            <w:pPr>
              <w:spacing w:after="0"/>
              <w:rPr>
                <w:sz w:val="17"/>
                <w:szCs w:val="17"/>
                <w:color w:val="auto"/>
              </w:rPr>
            </w:pPr>
          </w:p>
        </w:tc>
        <w:tc>
          <w:tcPr>
            <w:tcW w:w="3060" w:type="dxa"/>
            <w:vAlign w:val="bottom"/>
            <w:gridSpan w:val="2"/>
            <w:shd w:val="clear" w:color="auto" w:fill="CCEEFF"/>
          </w:tcPr>
          <w:p>
            <w:pPr>
              <w:spacing w:after="0" w:line="201" w:lineRule="exact"/>
              <w:rPr>
                <w:sz w:val="20"/>
                <w:szCs w:val="20"/>
                <w:color w:val="auto"/>
              </w:rPr>
            </w:pPr>
            <w:r>
              <w:rPr>
                <w:rFonts w:ascii="Arial" w:cs="Arial" w:eastAsia="Arial" w:hAnsi="Arial"/>
                <w:sz w:val="18"/>
                <w:szCs w:val="18"/>
                <w:color w:val="auto"/>
                <w:w w:val="95"/>
              </w:rPr>
              <w:t>Commingled funds held through Fidelity</w:t>
            </w:r>
          </w:p>
        </w:tc>
        <w:tc>
          <w:tcPr>
            <w:tcW w:w="220" w:type="dxa"/>
            <w:vAlign w:val="bottom"/>
            <w:shd w:val="clear" w:color="auto" w:fill="CCEEFF"/>
          </w:tcPr>
          <w:p>
            <w:pPr>
              <w:spacing w:after="0"/>
              <w:rPr>
                <w:sz w:val="17"/>
                <w:szCs w:val="17"/>
                <w:color w:val="auto"/>
              </w:rPr>
            </w:pPr>
          </w:p>
        </w:tc>
        <w:tc>
          <w:tcPr>
            <w:tcW w:w="594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r>
      <w:tr>
        <w:trPr>
          <w:trHeight w:val="224"/>
        </w:trPr>
        <w:tc>
          <w:tcPr>
            <w:tcW w:w="20" w:type="dxa"/>
            <w:vAlign w:val="bottom"/>
          </w:tcPr>
          <w:p>
            <w:pPr>
              <w:spacing w:after="0"/>
              <w:rPr>
                <w:sz w:val="19"/>
                <w:szCs w:val="19"/>
                <w:color w:val="auto"/>
              </w:rPr>
            </w:pPr>
          </w:p>
        </w:tc>
        <w:tc>
          <w:tcPr>
            <w:tcW w:w="3060" w:type="dxa"/>
            <w:vAlign w:val="bottom"/>
            <w:gridSpan w:val="2"/>
            <w:shd w:val="clear" w:color="auto" w:fill="CCEEFF"/>
          </w:tcPr>
          <w:p>
            <w:pPr>
              <w:ind w:left="200"/>
              <w:spacing w:after="0"/>
              <w:rPr>
                <w:sz w:val="20"/>
                <w:szCs w:val="20"/>
                <w:color w:val="auto"/>
              </w:rPr>
            </w:pPr>
            <w:r>
              <w:rPr>
                <w:rFonts w:ascii="Arial" w:cs="Arial" w:eastAsia="Arial" w:hAnsi="Arial"/>
                <w:sz w:val="18"/>
                <w:szCs w:val="18"/>
                <w:color w:val="auto"/>
              </w:rPr>
              <w:t>Investments:</w:t>
            </w:r>
          </w:p>
        </w:tc>
        <w:tc>
          <w:tcPr>
            <w:tcW w:w="220" w:type="dxa"/>
            <w:vAlign w:val="bottom"/>
            <w:shd w:val="clear" w:color="auto" w:fill="CCEEFF"/>
          </w:tcPr>
          <w:p>
            <w:pPr>
              <w:spacing w:after="0"/>
              <w:rPr>
                <w:sz w:val="19"/>
                <w:szCs w:val="19"/>
                <w:color w:val="auto"/>
              </w:rPr>
            </w:pPr>
          </w:p>
        </w:tc>
        <w:tc>
          <w:tcPr>
            <w:tcW w:w="594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8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820" w:type="dxa"/>
            <w:vAlign w:val="bottom"/>
            <w:shd w:val="clear" w:color="auto" w:fill="CCEEFF"/>
          </w:tcPr>
          <w:p>
            <w:pPr>
              <w:spacing w:after="0"/>
              <w:rPr>
                <w:sz w:val="19"/>
                <w:szCs w:val="19"/>
                <w:color w:val="auto"/>
              </w:rPr>
            </w:pPr>
          </w:p>
        </w:tc>
      </w:tr>
      <w:tr>
        <w:trPr>
          <w:trHeight w:val="216"/>
        </w:trPr>
        <w:tc>
          <w:tcPr>
            <w:tcW w:w="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9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5940" w:type="dxa"/>
            <w:vAlign w:val="bottom"/>
          </w:tcPr>
          <w:p>
            <w:pPr>
              <w:spacing w:after="0"/>
              <w:rPr>
                <w:sz w:val="20"/>
                <w:szCs w:val="20"/>
                <w:color w:val="auto"/>
              </w:rPr>
            </w:pPr>
            <w:r>
              <w:rPr>
                <w:rFonts w:ascii="Arial" w:cs="Arial" w:eastAsia="Arial" w:hAnsi="Arial"/>
                <w:sz w:val="18"/>
                <w:szCs w:val="18"/>
                <w:color w:val="auto"/>
              </w:rPr>
              <w:t>* Fidelity Advisor Stable Value Fund (1)</w:t>
            </w:r>
          </w:p>
        </w:tc>
        <w:tc>
          <w:tcPr>
            <w:tcW w:w="1000" w:type="dxa"/>
            <w:vAlign w:val="bottom"/>
            <w:gridSpan w:val="2"/>
          </w:tcPr>
          <w:p>
            <w:pPr>
              <w:jc w:val="right"/>
              <w:spacing w:after="0"/>
              <w:rPr>
                <w:sz w:val="20"/>
                <w:szCs w:val="20"/>
                <w:color w:val="auto"/>
              </w:rPr>
            </w:pPr>
            <w:r>
              <w:rPr>
                <w:rFonts w:ascii="Arial" w:cs="Arial" w:eastAsia="Arial" w:hAnsi="Arial"/>
                <w:sz w:val="18"/>
                <w:szCs w:val="18"/>
                <w:color w:val="auto"/>
              </w:rPr>
              <w:t>4,380,364</w:t>
            </w:r>
          </w:p>
        </w:tc>
        <w:tc>
          <w:tcPr>
            <w:tcW w:w="3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20" w:type="dxa"/>
            <w:vAlign w:val="bottom"/>
          </w:tcPr>
          <w:p>
            <w:pPr>
              <w:jc w:val="right"/>
              <w:spacing w:after="0"/>
              <w:rPr>
                <w:sz w:val="20"/>
                <w:szCs w:val="20"/>
                <w:color w:val="auto"/>
              </w:rPr>
            </w:pPr>
            <w:r>
              <w:rPr>
                <w:rFonts w:ascii="Arial" w:cs="Arial" w:eastAsia="Arial" w:hAnsi="Arial"/>
                <w:sz w:val="18"/>
                <w:szCs w:val="18"/>
                <w:color w:val="auto"/>
                <w:w w:val="99"/>
              </w:rPr>
              <w:t>4,374,640</w:t>
            </w:r>
          </w:p>
        </w:tc>
      </w:tr>
      <w:tr>
        <w:trPr>
          <w:trHeight w:val="208"/>
        </w:trPr>
        <w:tc>
          <w:tcPr>
            <w:tcW w:w="20" w:type="dxa"/>
            <w:vAlign w:val="bottom"/>
          </w:tcPr>
          <w:p>
            <w:pPr>
              <w:spacing w:after="0"/>
              <w:rPr>
                <w:sz w:val="18"/>
                <w:szCs w:val="18"/>
                <w:color w:val="auto"/>
              </w:rPr>
            </w:pPr>
          </w:p>
        </w:tc>
        <w:tc>
          <w:tcPr>
            <w:tcW w:w="30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Mutual funds held through Fidelity</w:t>
            </w:r>
          </w:p>
        </w:tc>
        <w:tc>
          <w:tcPr>
            <w:tcW w:w="220" w:type="dxa"/>
            <w:vAlign w:val="bottom"/>
            <w:shd w:val="clear" w:color="auto" w:fill="CCEEFF"/>
          </w:tcPr>
          <w:p>
            <w:pPr>
              <w:spacing w:after="0"/>
              <w:rPr>
                <w:sz w:val="18"/>
                <w:szCs w:val="18"/>
                <w:color w:val="auto"/>
              </w:rPr>
            </w:pPr>
          </w:p>
        </w:tc>
        <w:tc>
          <w:tcPr>
            <w:tcW w:w="59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r>
      <w:tr>
        <w:trPr>
          <w:trHeight w:val="224"/>
        </w:trPr>
        <w:tc>
          <w:tcPr>
            <w:tcW w:w="20" w:type="dxa"/>
            <w:vAlign w:val="bottom"/>
          </w:tcPr>
          <w:p>
            <w:pPr>
              <w:spacing w:after="0"/>
              <w:rPr>
                <w:sz w:val="19"/>
                <w:szCs w:val="19"/>
                <w:color w:val="auto"/>
              </w:rPr>
            </w:pPr>
          </w:p>
        </w:tc>
        <w:tc>
          <w:tcPr>
            <w:tcW w:w="3060" w:type="dxa"/>
            <w:vAlign w:val="bottom"/>
            <w:gridSpan w:val="2"/>
            <w:shd w:val="clear" w:color="auto" w:fill="CCEEFF"/>
          </w:tcPr>
          <w:p>
            <w:pPr>
              <w:ind w:left="200"/>
              <w:spacing w:after="0"/>
              <w:rPr>
                <w:sz w:val="20"/>
                <w:szCs w:val="20"/>
                <w:color w:val="auto"/>
              </w:rPr>
            </w:pPr>
            <w:r>
              <w:rPr>
                <w:rFonts w:ascii="Arial" w:cs="Arial" w:eastAsia="Arial" w:hAnsi="Arial"/>
                <w:sz w:val="18"/>
                <w:szCs w:val="18"/>
                <w:color w:val="auto"/>
              </w:rPr>
              <w:t>Investments:</w:t>
            </w:r>
          </w:p>
        </w:tc>
        <w:tc>
          <w:tcPr>
            <w:tcW w:w="220" w:type="dxa"/>
            <w:vAlign w:val="bottom"/>
            <w:shd w:val="clear" w:color="auto" w:fill="CCEEFF"/>
          </w:tcPr>
          <w:p>
            <w:pPr>
              <w:spacing w:after="0"/>
              <w:rPr>
                <w:sz w:val="19"/>
                <w:szCs w:val="19"/>
                <w:color w:val="auto"/>
              </w:rPr>
            </w:pPr>
          </w:p>
        </w:tc>
        <w:tc>
          <w:tcPr>
            <w:tcW w:w="594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8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820" w:type="dxa"/>
            <w:vAlign w:val="bottom"/>
            <w:shd w:val="clear" w:color="auto" w:fill="CCEEFF"/>
          </w:tcPr>
          <w:p>
            <w:pPr>
              <w:spacing w:after="0"/>
              <w:rPr>
                <w:sz w:val="19"/>
                <w:szCs w:val="19"/>
                <w:color w:val="auto"/>
              </w:rPr>
            </w:pPr>
          </w:p>
        </w:tc>
      </w:tr>
      <w:tr>
        <w:trPr>
          <w:trHeight w:val="216"/>
        </w:trPr>
        <w:tc>
          <w:tcPr>
            <w:tcW w:w="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9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5940" w:type="dxa"/>
            <w:vAlign w:val="bottom"/>
          </w:tcPr>
          <w:p>
            <w:pPr>
              <w:spacing w:after="0"/>
              <w:rPr>
                <w:sz w:val="20"/>
                <w:szCs w:val="20"/>
                <w:color w:val="auto"/>
              </w:rPr>
            </w:pPr>
            <w:r>
              <w:rPr>
                <w:rFonts w:ascii="Arial" w:cs="Arial" w:eastAsia="Arial" w:hAnsi="Arial"/>
                <w:sz w:val="18"/>
                <w:szCs w:val="18"/>
                <w:color w:val="auto"/>
              </w:rPr>
              <w:t>Cash – interest bearing</w:t>
            </w:r>
          </w:p>
        </w:tc>
        <w:tc>
          <w:tcPr>
            <w:tcW w:w="200" w:type="dxa"/>
            <w:vAlign w:val="bottom"/>
          </w:tcPr>
          <w:p>
            <w:pPr>
              <w:spacing w:after="0"/>
              <w:rPr>
                <w:sz w:val="18"/>
                <w:szCs w:val="18"/>
                <w:color w:val="auto"/>
              </w:rPr>
            </w:pPr>
          </w:p>
        </w:tc>
        <w:tc>
          <w:tcPr>
            <w:tcW w:w="800" w:type="dxa"/>
            <w:vAlign w:val="bottom"/>
          </w:tcPr>
          <w:p>
            <w:pPr>
              <w:jc w:val="right"/>
              <w:ind w:right="2"/>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1,231</w:t>
            </w:r>
          </w:p>
        </w:tc>
      </w:tr>
      <w:tr>
        <w:trPr>
          <w:trHeight w:val="216"/>
        </w:trPr>
        <w:tc>
          <w:tcPr>
            <w:tcW w:w="20" w:type="dxa"/>
            <w:vAlign w:val="bottom"/>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19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5940" w:type="dxa"/>
            <w:vAlign w:val="bottom"/>
            <w:shd w:val="clear" w:color="auto" w:fill="CCEEFF"/>
          </w:tcPr>
          <w:p>
            <w:pPr>
              <w:spacing w:after="0"/>
              <w:rPr>
                <w:sz w:val="20"/>
                <w:szCs w:val="20"/>
                <w:color w:val="auto"/>
              </w:rPr>
            </w:pPr>
            <w:r>
              <w:rPr>
                <w:rFonts w:ascii="Arial" w:cs="Arial" w:eastAsia="Arial" w:hAnsi="Arial"/>
                <w:sz w:val="18"/>
                <w:szCs w:val="18"/>
                <w:color w:val="auto"/>
              </w:rPr>
              <w:t>* Fidelity Advisor Leveraged Company Stock</w:t>
            </w:r>
          </w:p>
        </w:tc>
        <w:tc>
          <w:tcPr>
            <w:tcW w:w="10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3,545</w:t>
            </w:r>
          </w:p>
        </w:tc>
        <w:tc>
          <w:tcPr>
            <w:tcW w:w="2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98,294</w:t>
            </w:r>
          </w:p>
        </w:tc>
      </w:tr>
      <w:tr>
        <w:trPr>
          <w:trHeight w:val="216"/>
        </w:trPr>
        <w:tc>
          <w:tcPr>
            <w:tcW w:w="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9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5940" w:type="dxa"/>
            <w:vAlign w:val="bottom"/>
          </w:tcPr>
          <w:p>
            <w:pPr>
              <w:spacing w:after="0"/>
              <w:rPr>
                <w:sz w:val="20"/>
                <w:szCs w:val="20"/>
                <w:color w:val="auto"/>
              </w:rPr>
            </w:pPr>
            <w:r>
              <w:rPr>
                <w:rFonts w:ascii="Arial" w:cs="Arial" w:eastAsia="Arial" w:hAnsi="Arial"/>
                <w:sz w:val="18"/>
                <w:szCs w:val="18"/>
                <w:color w:val="auto"/>
              </w:rPr>
              <w:t>* Fidelity Advisor High Income Adv.</w:t>
            </w:r>
          </w:p>
        </w:tc>
        <w:tc>
          <w:tcPr>
            <w:tcW w:w="1000" w:type="dxa"/>
            <w:vAlign w:val="bottom"/>
            <w:gridSpan w:val="2"/>
          </w:tcPr>
          <w:p>
            <w:pPr>
              <w:jc w:val="right"/>
              <w:spacing w:after="0"/>
              <w:rPr>
                <w:sz w:val="20"/>
                <w:szCs w:val="20"/>
                <w:color w:val="auto"/>
              </w:rPr>
            </w:pPr>
            <w:r>
              <w:rPr>
                <w:rFonts w:ascii="Arial" w:cs="Arial" w:eastAsia="Arial" w:hAnsi="Arial"/>
                <w:sz w:val="18"/>
                <w:szCs w:val="18"/>
                <w:color w:val="auto"/>
              </w:rPr>
              <w:t>734</w:t>
            </w: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6,621</w:t>
            </w:r>
          </w:p>
        </w:tc>
      </w:tr>
      <w:tr>
        <w:trPr>
          <w:trHeight w:val="216"/>
        </w:trPr>
        <w:tc>
          <w:tcPr>
            <w:tcW w:w="20" w:type="dxa"/>
            <w:vAlign w:val="bottom"/>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19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5940" w:type="dxa"/>
            <w:vAlign w:val="bottom"/>
            <w:shd w:val="clear" w:color="auto" w:fill="CCEEFF"/>
          </w:tcPr>
          <w:p>
            <w:pPr>
              <w:spacing w:after="0"/>
              <w:rPr>
                <w:sz w:val="20"/>
                <w:szCs w:val="20"/>
                <w:color w:val="auto"/>
              </w:rPr>
            </w:pPr>
            <w:r>
              <w:rPr>
                <w:rFonts w:ascii="Arial" w:cs="Arial" w:eastAsia="Arial" w:hAnsi="Arial"/>
                <w:sz w:val="18"/>
                <w:szCs w:val="18"/>
                <w:color w:val="auto"/>
              </w:rPr>
              <w:t>* Fidelity Advisor Strategic Income</w:t>
            </w:r>
          </w:p>
        </w:tc>
        <w:tc>
          <w:tcPr>
            <w:tcW w:w="10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4,724</w:t>
            </w:r>
          </w:p>
        </w:tc>
        <w:tc>
          <w:tcPr>
            <w:tcW w:w="2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57,297</w:t>
            </w:r>
          </w:p>
        </w:tc>
      </w:tr>
      <w:tr>
        <w:trPr>
          <w:trHeight w:val="216"/>
        </w:trPr>
        <w:tc>
          <w:tcPr>
            <w:tcW w:w="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9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5940" w:type="dxa"/>
            <w:vAlign w:val="bottom"/>
          </w:tcPr>
          <w:p>
            <w:pPr>
              <w:spacing w:after="0"/>
              <w:rPr>
                <w:sz w:val="20"/>
                <w:szCs w:val="20"/>
                <w:color w:val="auto"/>
              </w:rPr>
            </w:pPr>
            <w:r>
              <w:rPr>
                <w:rFonts w:ascii="Arial" w:cs="Arial" w:eastAsia="Arial" w:hAnsi="Arial"/>
                <w:sz w:val="18"/>
                <w:szCs w:val="18"/>
                <w:color w:val="auto"/>
              </w:rPr>
              <w:t>* Fidelity Advisor Freedom 2010</w:t>
            </w:r>
          </w:p>
        </w:tc>
        <w:tc>
          <w:tcPr>
            <w:tcW w:w="1000" w:type="dxa"/>
            <w:vAlign w:val="bottom"/>
            <w:gridSpan w:val="2"/>
          </w:tcPr>
          <w:p>
            <w:pPr>
              <w:jc w:val="right"/>
              <w:spacing w:after="0"/>
              <w:rPr>
                <w:sz w:val="20"/>
                <w:szCs w:val="20"/>
                <w:color w:val="auto"/>
              </w:rPr>
            </w:pPr>
            <w:r>
              <w:rPr>
                <w:rFonts w:ascii="Arial" w:cs="Arial" w:eastAsia="Arial" w:hAnsi="Arial"/>
                <w:sz w:val="18"/>
                <w:szCs w:val="18"/>
                <w:color w:val="auto"/>
              </w:rPr>
              <w:t>75,293</w:t>
            </w: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792,838</w:t>
            </w:r>
          </w:p>
        </w:tc>
      </w:tr>
      <w:tr>
        <w:trPr>
          <w:trHeight w:val="216"/>
        </w:trPr>
        <w:tc>
          <w:tcPr>
            <w:tcW w:w="20" w:type="dxa"/>
            <w:vAlign w:val="bottom"/>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19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5940" w:type="dxa"/>
            <w:vAlign w:val="bottom"/>
            <w:shd w:val="clear" w:color="auto" w:fill="CCEEFF"/>
          </w:tcPr>
          <w:p>
            <w:pPr>
              <w:spacing w:after="0"/>
              <w:rPr>
                <w:sz w:val="20"/>
                <w:szCs w:val="20"/>
                <w:color w:val="auto"/>
              </w:rPr>
            </w:pPr>
            <w:r>
              <w:rPr>
                <w:rFonts w:ascii="Arial" w:cs="Arial" w:eastAsia="Arial" w:hAnsi="Arial"/>
                <w:sz w:val="18"/>
                <w:szCs w:val="18"/>
                <w:color w:val="auto"/>
              </w:rPr>
              <w:t>* Fidelity Advisor Freedom 2020</w:t>
            </w:r>
          </w:p>
        </w:tc>
        <w:tc>
          <w:tcPr>
            <w:tcW w:w="10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38,589</w:t>
            </w:r>
          </w:p>
        </w:tc>
        <w:tc>
          <w:tcPr>
            <w:tcW w:w="2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416,760</w:t>
            </w:r>
          </w:p>
        </w:tc>
      </w:tr>
      <w:tr>
        <w:trPr>
          <w:trHeight w:val="216"/>
        </w:trPr>
        <w:tc>
          <w:tcPr>
            <w:tcW w:w="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9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5940" w:type="dxa"/>
            <w:vAlign w:val="bottom"/>
          </w:tcPr>
          <w:p>
            <w:pPr>
              <w:spacing w:after="0"/>
              <w:rPr>
                <w:sz w:val="20"/>
                <w:szCs w:val="20"/>
                <w:color w:val="auto"/>
              </w:rPr>
            </w:pPr>
            <w:r>
              <w:rPr>
                <w:rFonts w:ascii="Arial" w:cs="Arial" w:eastAsia="Arial" w:hAnsi="Arial"/>
                <w:sz w:val="18"/>
                <w:szCs w:val="18"/>
                <w:color w:val="auto"/>
              </w:rPr>
              <w:t>* Fidelity Advisor Freedom 2030</w:t>
            </w:r>
          </w:p>
        </w:tc>
        <w:tc>
          <w:tcPr>
            <w:tcW w:w="1000" w:type="dxa"/>
            <w:vAlign w:val="bottom"/>
            <w:gridSpan w:val="2"/>
          </w:tcPr>
          <w:p>
            <w:pPr>
              <w:jc w:val="right"/>
              <w:spacing w:after="0"/>
              <w:rPr>
                <w:sz w:val="20"/>
                <w:szCs w:val="20"/>
                <w:color w:val="auto"/>
              </w:rPr>
            </w:pPr>
            <w:r>
              <w:rPr>
                <w:rFonts w:ascii="Arial" w:cs="Arial" w:eastAsia="Arial" w:hAnsi="Arial"/>
                <w:sz w:val="18"/>
                <w:szCs w:val="18"/>
                <w:color w:val="auto"/>
              </w:rPr>
              <w:t>4,002</w:t>
            </w: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43,338</w:t>
            </w:r>
          </w:p>
        </w:tc>
      </w:tr>
      <w:tr>
        <w:trPr>
          <w:trHeight w:val="216"/>
        </w:trPr>
        <w:tc>
          <w:tcPr>
            <w:tcW w:w="20" w:type="dxa"/>
            <w:vAlign w:val="bottom"/>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19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5940" w:type="dxa"/>
            <w:vAlign w:val="bottom"/>
            <w:shd w:val="clear" w:color="auto" w:fill="CCEEFF"/>
          </w:tcPr>
          <w:p>
            <w:pPr>
              <w:spacing w:after="0"/>
              <w:rPr>
                <w:sz w:val="20"/>
                <w:szCs w:val="20"/>
                <w:color w:val="auto"/>
              </w:rPr>
            </w:pPr>
            <w:r>
              <w:rPr>
                <w:rFonts w:ascii="Arial" w:cs="Arial" w:eastAsia="Arial" w:hAnsi="Arial"/>
                <w:sz w:val="18"/>
                <w:szCs w:val="18"/>
                <w:color w:val="auto"/>
              </w:rPr>
              <w:t>* Fidelity Advisor Freedom 2040</w:t>
            </w:r>
          </w:p>
        </w:tc>
        <w:tc>
          <w:tcPr>
            <w:tcW w:w="10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4,904</w:t>
            </w:r>
          </w:p>
        </w:tc>
        <w:tc>
          <w:tcPr>
            <w:tcW w:w="2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53,452</w:t>
            </w:r>
          </w:p>
        </w:tc>
      </w:tr>
      <w:tr>
        <w:trPr>
          <w:trHeight w:val="216"/>
        </w:trPr>
        <w:tc>
          <w:tcPr>
            <w:tcW w:w="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9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5940" w:type="dxa"/>
            <w:vAlign w:val="bottom"/>
          </w:tcPr>
          <w:p>
            <w:pPr>
              <w:spacing w:after="0"/>
              <w:rPr>
                <w:sz w:val="20"/>
                <w:szCs w:val="20"/>
                <w:color w:val="auto"/>
              </w:rPr>
            </w:pPr>
            <w:r>
              <w:rPr>
                <w:rFonts w:ascii="Arial" w:cs="Arial" w:eastAsia="Arial" w:hAnsi="Arial"/>
                <w:sz w:val="18"/>
                <w:szCs w:val="18"/>
                <w:color w:val="auto"/>
              </w:rPr>
              <w:t>* Fidelity Advisor Freedom 2005</w:t>
            </w:r>
          </w:p>
        </w:tc>
        <w:tc>
          <w:tcPr>
            <w:tcW w:w="1000" w:type="dxa"/>
            <w:vAlign w:val="bottom"/>
            <w:gridSpan w:val="2"/>
          </w:tcPr>
          <w:p>
            <w:pPr>
              <w:jc w:val="right"/>
              <w:spacing w:after="0"/>
              <w:rPr>
                <w:sz w:val="20"/>
                <w:szCs w:val="20"/>
                <w:color w:val="auto"/>
              </w:rPr>
            </w:pPr>
            <w:r>
              <w:rPr>
                <w:rFonts w:ascii="Arial" w:cs="Arial" w:eastAsia="Arial" w:hAnsi="Arial"/>
                <w:sz w:val="18"/>
                <w:szCs w:val="18"/>
                <w:color w:val="auto"/>
              </w:rPr>
              <w:t>93,283</w:t>
            </w: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957,083</w:t>
            </w:r>
          </w:p>
        </w:tc>
      </w:tr>
      <w:tr>
        <w:trPr>
          <w:trHeight w:val="216"/>
        </w:trPr>
        <w:tc>
          <w:tcPr>
            <w:tcW w:w="20" w:type="dxa"/>
            <w:vAlign w:val="bottom"/>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19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5940" w:type="dxa"/>
            <w:vAlign w:val="bottom"/>
            <w:shd w:val="clear" w:color="auto" w:fill="CCEEFF"/>
          </w:tcPr>
          <w:p>
            <w:pPr>
              <w:spacing w:after="0"/>
              <w:rPr>
                <w:sz w:val="20"/>
                <w:szCs w:val="20"/>
                <w:color w:val="auto"/>
              </w:rPr>
            </w:pPr>
            <w:r>
              <w:rPr>
                <w:rFonts w:ascii="Arial" w:cs="Arial" w:eastAsia="Arial" w:hAnsi="Arial"/>
                <w:sz w:val="18"/>
                <w:szCs w:val="18"/>
                <w:color w:val="auto"/>
              </w:rPr>
              <w:t>* Fidelity Advisor Freedom 2015</w:t>
            </w:r>
          </w:p>
        </w:tc>
        <w:tc>
          <w:tcPr>
            <w:tcW w:w="10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34,190</w:t>
            </w:r>
          </w:p>
        </w:tc>
        <w:tc>
          <w:tcPr>
            <w:tcW w:w="2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357,626</w:t>
            </w:r>
          </w:p>
        </w:tc>
      </w:tr>
      <w:tr>
        <w:trPr>
          <w:trHeight w:val="216"/>
        </w:trPr>
        <w:tc>
          <w:tcPr>
            <w:tcW w:w="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9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5940" w:type="dxa"/>
            <w:vAlign w:val="bottom"/>
          </w:tcPr>
          <w:p>
            <w:pPr>
              <w:spacing w:after="0"/>
              <w:rPr>
                <w:sz w:val="20"/>
                <w:szCs w:val="20"/>
                <w:color w:val="auto"/>
              </w:rPr>
            </w:pPr>
            <w:r>
              <w:rPr>
                <w:rFonts w:ascii="Arial" w:cs="Arial" w:eastAsia="Arial" w:hAnsi="Arial"/>
                <w:sz w:val="18"/>
                <w:szCs w:val="18"/>
                <w:color w:val="auto"/>
              </w:rPr>
              <w:t>* Fidelity Advisor Freedom 2025</w:t>
            </w:r>
          </w:p>
        </w:tc>
        <w:tc>
          <w:tcPr>
            <w:tcW w:w="1000" w:type="dxa"/>
            <w:vAlign w:val="bottom"/>
            <w:gridSpan w:val="2"/>
          </w:tcPr>
          <w:p>
            <w:pPr>
              <w:jc w:val="right"/>
              <w:spacing w:after="0"/>
              <w:rPr>
                <w:sz w:val="20"/>
                <w:szCs w:val="20"/>
                <w:color w:val="auto"/>
              </w:rPr>
            </w:pPr>
            <w:r>
              <w:rPr>
                <w:rFonts w:ascii="Arial" w:cs="Arial" w:eastAsia="Arial" w:hAnsi="Arial"/>
                <w:sz w:val="18"/>
                <w:szCs w:val="18"/>
                <w:color w:val="auto"/>
              </w:rPr>
              <w:t>5,978</w:t>
            </w: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61,867</w:t>
            </w:r>
          </w:p>
        </w:tc>
      </w:tr>
      <w:tr>
        <w:trPr>
          <w:trHeight w:val="216"/>
        </w:trPr>
        <w:tc>
          <w:tcPr>
            <w:tcW w:w="20" w:type="dxa"/>
            <w:vAlign w:val="bottom"/>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19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5940" w:type="dxa"/>
            <w:vAlign w:val="bottom"/>
            <w:shd w:val="clear" w:color="auto" w:fill="CCEEFF"/>
          </w:tcPr>
          <w:p>
            <w:pPr>
              <w:spacing w:after="0"/>
              <w:rPr>
                <w:sz w:val="20"/>
                <w:szCs w:val="20"/>
                <w:color w:val="auto"/>
              </w:rPr>
            </w:pPr>
            <w:r>
              <w:rPr>
                <w:rFonts w:ascii="Arial" w:cs="Arial" w:eastAsia="Arial" w:hAnsi="Arial"/>
                <w:sz w:val="18"/>
                <w:szCs w:val="18"/>
                <w:color w:val="auto"/>
              </w:rPr>
              <w:t>* Fidelity Advisor Freedom 2035</w:t>
            </w:r>
          </w:p>
        </w:tc>
        <w:tc>
          <w:tcPr>
            <w:tcW w:w="10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3,031</w:t>
            </w:r>
          </w:p>
        </w:tc>
        <w:tc>
          <w:tcPr>
            <w:tcW w:w="2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30,943</w:t>
            </w:r>
          </w:p>
        </w:tc>
      </w:tr>
      <w:tr>
        <w:trPr>
          <w:trHeight w:val="216"/>
        </w:trPr>
        <w:tc>
          <w:tcPr>
            <w:tcW w:w="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9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5940" w:type="dxa"/>
            <w:vAlign w:val="bottom"/>
          </w:tcPr>
          <w:p>
            <w:pPr>
              <w:spacing w:after="0"/>
              <w:rPr>
                <w:sz w:val="20"/>
                <w:szCs w:val="20"/>
                <w:color w:val="auto"/>
              </w:rPr>
            </w:pPr>
            <w:r>
              <w:rPr>
                <w:rFonts w:ascii="Arial" w:cs="Arial" w:eastAsia="Arial" w:hAnsi="Arial"/>
                <w:sz w:val="18"/>
                <w:szCs w:val="18"/>
                <w:color w:val="auto"/>
              </w:rPr>
              <w:t>* Fidelity Advisor Freedom 2045</w:t>
            </w:r>
          </w:p>
        </w:tc>
        <w:tc>
          <w:tcPr>
            <w:tcW w:w="1000" w:type="dxa"/>
            <w:vAlign w:val="bottom"/>
            <w:gridSpan w:val="2"/>
          </w:tcPr>
          <w:p>
            <w:pPr>
              <w:jc w:val="right"/>
              <w:spacing w:after="0"/>
              <w:rPr>
                <w:sz w:val="20"/>
                <w:szCs w:val="20"/>
                <w:color w:val="auto"/>
              </w:rPr>
            </w:pPr>
            <w:r>
              <w:rPr>
                <w:rFonts w:ascii="Arial" w:cs="Arial" w:eastAsia="Arial" w:hAnsi="Arial"/>
                <w:sz w:val="18"/>
                <w:szCs w:val="18"/>
                <w:color w:val="auto"/>
              </w:rPr>
              <w:t>2,437</w:t>
            </w: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20,568</w:t>
            </w:r>
          </w:p>
        </w:tc>
      </w:tr>
      <w:tr>
        <w:trPr>
          <w:trHeight w:val="216"/>
        </w:trPr>
        <w:tc>
          <w:tcPr>
            <w:tcW w:w="20" w:type="dxa"/>
            <w:vAlign w:val="bottom"/>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19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5940" w:type="dxa"/>
            <w:vAlign w:val="bottom"/>
            <w:shd w:val="clear" w:color="auto" w:fill="CCEEFF"/>
          </w:tcPr>
          <w:p>
            <w:pPr>
              <w:spacing w:after="0"/>
              <w:rPr>
                <w:sz w:val="20"/>
                <w:szCs w:val="20"/>
                <w:color w:val="auto"/>
              </w:rPr>
            </w:pPr>
            <w:r>
              <w:rPr>
                <w:rFonts w:ascii="Arial" w:cs="Arial" w:eastAsia="Arial" w:hAnsi="Arial"/>
                <w:sz w:val="18"/>
                <w:szCs w:val="18"/>
                <w:color w:val="auto"/>
              </w:rPr>
              <w:t>* Fidelity Advisor Freedom 2050</w:t>
            </w:r>
          </w:p>
        </w:tc>
        <w:tc>
          <w:tcPr>
            <w:tcW w:w="10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3,422</w:t>
            </w:r>
          </w:p>
        </w:tc>
        <w:tc>
          <w:tcPr>
            <w:tcW w:w="2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28,368</w:t>
            </w:r>
          </w:p>
        </w:tc>
      </w:tr>
      <w:tr>
        <w:trPr>
          <w:trHeight w:val="216"/>
        </w:trPr>
        <w:tc>
          <w:tcPr>
            <w:tcW w:w="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9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5940" w:type="dxa"/>
            <w:vAlign w:val="bottom"/>
          </w:tcPr>
          <w:p>
            <w:pPr>
              <w:spacing w:after="0"/>
              <w:rPr>
                <w:sz w:val="20"/>
                <w:szCs w:val="20"/>
                <w:color w:val="auto"/>
              </w:rPr>
            </w:pPr>
            <w:r>
              <w:rPr>
                <w:rFonts w:ascii="Arial" w:cs="Arial" w:eastAsia="Arial" w:hAnsi="Arial"/>
                <w:sz w:val="18"/>
                <w:szCs w:val="18"/>
                <w:color w:val="auto"/>
              </w:rPr>
              <w:t>Federated Bond Fund</w:t>
            </w:r>
          </w:p>
        </w:tc>
        <w:tc>
          <w:tcPr>
            <w:tcW w:w="1000" w:type="dxa"/>
            <w:vAlign w:val="bottom"/>
            <w:gridSpan w:val="2"/>
          </w:tcPr>
          <w:p>
            <w:pPr>
              <w:jc w:val="right"/>
              <w:spacing w:after="0"/>
              <w:rPr>
                <w:sz w:val="20"/>
                <w:szCs w:val="20"/>
                <w:color w:val="auto"/>
              </w:rPr>
            </w:pPr>
            <w:r>
              <w:rPr>
                <w:rFonts w:ascii="Arial" w:cs="Arial" w:eastAsia="Arial" w:hAnsi="Arial"/>
                <w:sz w:val="18"/>
                <w:szCs w:val="18"/>
                <w:color w:val="auto"/>
              </w:rPr>
              <w:t>43,097</w:t>
            </w: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377,533</w:t>
            </w:r>
          </w:p>
        </w:tc>
      </w:tr>
      <w:tr>
        <w:trPr>
          <w:trHeight w:val="216"/>
        </w:trPr>
        <w:tc>
          <w:tcPr>
            <w:tcW w:w="20" w:type="dxa"/>
            <w:vAlign w:val="bottom"/>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19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5940" w:type="dxa"/>
            <w:vAlign w:val="bottom"/>
            <w:shd w:val="clear" w:color="auto" w:fill="CCEEFF"/>
          </w:tcPr>
          <w:p>
            <w:pPr>
              <w:spacing w:after="0"/>
              <w:rPr>
                <w:sz w:val="20"/>
                <w:szCs w:val="20"/>
                <w:color w:val="auto"/>
              </w:rPr>
            </w:pPr>
            <w:r>
              <w:rPr>
                <w:rFonts w:ascii="Arial" w:cs="Arial" w:eastAsia="Arial" w:hAnsi="Arial"/>
                <w:sz w:val="18"/>
                <w:szCs w:val="18"/>
                <w:color w:val="auto"/>
              </w:rPr>
              <w:t>Columbia Acorn USA</w:t>
            </w:r>
          </w:p>
        </w:tc>
        <w:tc>
          <w:tcPr>
            <w:tcW w:w="10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3,533</w:t>
            </w:r>
          </w:p>
        </w:tc>
        <w:tc>
          <w:tcPr>
            <w:tcW w:w="2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79,253</w:t>
            </w:r>
          </w:p>
        </w:tc>
      </w:tr>
      <w:tr>
        <w:trPr>
          <w:trHeight w:val="216"/>
        </w:trPr>
        <w:tc>
          <w:tcPr>
            <w:tcW w:w="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9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5940" w:type="dxa"/>
            <w:vAlign w:val="bottom"/>
          </w:tcPr>
          <w:p>
            <w:pPr>
              <w:spacing w:after="0"/>
              <w:rPr>
                <w:sz w:val="20"/>
                <w:szCs w:val="20"/>
                <w:color w:val="auto"/>
              </w:rPr>
            </w:pPr>
            <w:r>
              <w:rPr>
                <w:rFonts w:ascii="Arial" w:cs="Arial" w:eastAsia="Arial" w:hAnsi="Arial"/>
                <w:sz w:val="18"/>
                <w:szCs w:val="18"/>
                <w:color w:val="auto"/>
              </w:rPr>
              <w:t>First America Midcap Value</w:t>
            </w:r>
          </w:p>
        </w:tc>
        <w:tc>
          <w:tcPr>
            <w:tcW w:w="1000" w:type="dxa"/>
            <w:vAlign w:val="bottom"/>
            <w:gridSpan w:val="2"/>
          </w:tcPr>
          <w:p>
            <w:pPr>
              <w:jc w:val="right"/>
              <w:spacing w:after="0"/>
              <w:rPr>
                <w:sz w:val="20"/>
                <w:szCs w:val="20"/>
                <w:color w:val="auto"/>
              </w:rPr>
            </w:pPr>
            <w:r>
              <w:rPr>
                <w:rFonts w:ascii="Arial" w:cs="Arial" w:eastAsia="Arial" w:hAnsi="Arial"/>
                <w:sz w:val="18"/>
                <w:szCs w:val="18"/>
                <w:color w:val="auto"/>
              </w:rPr>
              <w:t>1,718</w:t>
            </w: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34,249</w:t>
            </w:r>
          </w:p>
        </w:tc>
      </w:tr>
      <w:tr>
        <w:trPr>
          <w:trHeight w:val="216"/>
        </w:trPr>
        <w:tc>
          <w:tcPr>
            <w:tcW w:w="20" w:type="dxa"/>
            <w:vAlign w:val="bottom"/>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19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5940" w:type="dxa"/>
            <w:vAlign w:val="bottom"/>
            <w:shd w:val="clear" w:color="auto" w:fill="CCEEFF"/>
          </w:tcPr>
          <w:p>
            <w:pPr>
              <w:spacing w:after="0"/>
              <w:rPr>
                <w:sz w:val="20"/>
                <w:szCs w:val="20"/>
                <w:color w:val="auto"/>
              </w:rPr>
            </w:pPr>
            <w:r>
              <w:rPr>
                <w:rFonts w:ascii="Arial" w:cs="Arial" w:eastAsia="Arial" w:hAnsi="Arial"/>
                <w:sz w:val="18"/>
                <w:szCs w:val="18"/>
                <w:color w:val="auto"/>
              </w:rPr>
              <w:t>Columbia Acorn International</w:t>
            </w:r>
          </w:p>
        </w:tc>
        <w:tc>
          <w:tcPr>
            <w:tcW w:w="10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13,658</w:t>
            </w:r>
          </w:p>
        </w:tc>
        <w:tc>
          <w:tcPr>
            <w:tcW w:w="2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466,158</w:t>
            </w:r>
          </w:p>
        </w:tc>
      </w:tr>
      <w:tr>
        <w:trPr>
          <w:trHeight w:val="216"/>
        </w:trPr>
        <w:tc>
          <w:tcPr>
            <w:tcW w:w="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9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5940" w:type="dxa"/>
            <w:vAlign w:val="bottom"/>
          </w:tcPr>
          <w:p>
            <w:pPr>
              <w:spacing w:after="0"/>
              <w:rPr>
                <w:sz w:val="20"/>
                <w:szCs w:val="20"/>
                <w:color w:val="auto"/>
              </w:rPr>
            </w:pPr>
            <w:r>
              <w:rPr>
                <w:rFonts w:ascii="Arial" w:cs="Arial" w:eastAsia="Arial" w:hAnsi="Arial"/>
                <w:sz w:val="18"/>
                <w:szCs w:val="18"/>
                <w:color w:val="auto"/>
              </w:rPr>
              <w:t>Columbia Small Cap Val II</w:t>
            </w:r>
          </w:p>
        </w:tc>
        <w:tc>
          <w:tcPr>
            <w:tcW w:w="1000" w:type="dxa"/>
            <w:vAlign w:val="bottom"/>
            <w:gridSpan w:val="2"/>
          </w:tcPr>
          <w:p>
            <w:pPr>
              <w:jc w:val="right"/>
              <w:spacing w:after="0"/>
              <w:rPr>
                <w:sz w:val="20"/>
                <w:szCs w:val="20"/>
                <w:color w:val="auto"/>
              </w:rPr>
            </w:pPr>
            <w:r>
              <w:rPr>
                <w:rFonts w:ascii="Arial" w:cs="Arial" w:eastAsia="Arial" w:hAnsi="Arial"/>
                <w:sz w:val="18"/>
                <w:szCs w:val="18"/>
                <w:color w:val="auto"/>
              </w:rPr>
              <w:t>3,495</w:t>
            </w: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38,197</w:t>
            </w:r>
          </w:p>
        </w:tc>
      </w:tr>
      <w:tr>
        <w:trPr>
          <w:trHeight w:val="216"/>
        </w:trPr>
        <w:tc>
          <w:tcPr>
            <w:tcW w:w="20" w:type="dxa"/>
            <w:vAlign w:val="bottom"/>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19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5940" w:type="dxa"/>
            <w:vAlign w:val="bottom"/>
            <w:shd w:val="clear" w:color="auto" w:fill="CCEEFF"/>
          </w:tcPr>
          <w:p>
            <w:pPr>
              <w:spacing w:after="0"/>
              <w:rPr>
                <w:sz w:val="20"/>
                <w:szCs w:val="20"/>
                <w:color w:val="auto"/>
              </w:rPr>
            </w:pPr>
            <w:r>
              <w:rPr>
                <w:rFonts w:ascii="Arial" w:cs="Arial" w:eastAsia="Arial" w:hAnsi="Arial"/>
                <w:sz w:val="18"/>
                <w:szCs w:val="18"/>
                <w:color w:val="auto"/>
              </w:rPr>
              <w:t>JP Morgan Equity Index</w:t>
            </w:r>
          </w:p>
        </w:tc>
        <w:tc>
          <w:tcPr>
            <w:tcW w:w="10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37,736</w:t>
            </w:r>
          </w:p>
        </w:tc>
        <w:tc>
          <w:tcPr>
            <w:tcW w:w="2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955,472</w:t>
            </w:r>
          </w:p>
        </w:tc>
      </w:tr>
      <w:tr>
        <w:trPr>
          <w:trHeight w:val="216"/>
        </w:trPr>
        <w:tc>
          <w:tcPr>
            <w:tcW w:w="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9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5940" w:type="dxa"/>
            <w:vAlign w:val="bottom"/>
          </w:tcPr>
          <w:p>
            <w:pPr>
              <w:spacing w:after="0"/>
              <w:rPr>
                <w:sz w:val="20"/>
                <w:szCs w:val="20"/>
                <w:color w:val="auto"/>
              </w:rPr>
            </w:pPr>
            <w:r>
              <w:rPr>
                <w:rFonts w:ascii="Arial" w:cs="Arial" w:eastAsia="Arial" w:hAnsi="Arial"/>
                <w:sz w:val="18"/>
                <w:szCs w:val="18"/>
                <w:color w:val="auto"/>
              </w:rPr>
              <w:t>Columbia Acorn</w:t>
            </w:r>
          </w:p>
        </w:tc>
        <w:tc>
          <w:tcPr>
            <w:tcW w:w="1000" w:type="dxa"/>
            <w:vAlign w:val="bottom"/>
            <w:gridSpan w:val="2"/>
          </w:tcPr>
          <w:p>
            <w:pPr>
              <w:jc w:val="right"/>
              <w:spacing w:after="0"/>
              <w:rPr>
                <w:sz w:val="20"/>
                <w:szCs w:val="20"/>
                <w:color w:val="auto"/>
              </w:rPr>
            </w:pPr>
            <w:r>
              <w:rPr>
                <w:rFonts w:ascii="Arial" w:cs="Arial" w:eastAsia="Arial" w:hAnsi="Arial"/>
                <w:sz w:val="18"/>
                <w:szCs w:val="18"/>
                <w:color w:val="auto"/>
              </w:rPr>
              <w:t>13,763</w:t>
            </w: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330,025</w:t>
            </w:r>
          </w:p>
        </w:tc>
      </w:tr>
      <w:tr>
        <w:trPr>
          <w:trHeight w:val="216"/>
        </w:trPr>
        <w:tc>
          <w:tcPr>
            <w:tcW w:w="20" w:type="dxa"/>
            <w:vAlign w:val="bottom"/>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19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5940" w:type="dxa"/>
            <w:vAlign w:val="bottom"/>
            <w:shd w:val="clear" w:color="auto" w:fill="CCEEFF"/>
          </w:tcPr>
          <w:p>
            <w:pPr>
              <w:spacing w:after="0"/>
              <w:rPr>
                <w:sz w:val="20"/>
                <w:szCs w:val="20"/>
                <w:color w:val="auto"/>
              </w:rPr>
            </w:pPr>
            <w:r>
              <w:rPr>
                <w:rFonts w:ascii="Arial" w:cs="Arial" w:eastAsia="Arial" w:hAnsi="Arial"/>
                <w:sz w:val="18"/>
                <w:szCs w:val="18"/>
                <w:color w:val="auto"/>
              </w:rPr>
              <w:t>Goldman Sachs Large Cap Value</w:t>
            </w:r>
          </w:p>
        </w:tc>
        <w:tc>
          <w:tcPr>
            <w:tcW w:w="10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35,266</w:t>
            </w:r>
          </w:p>
        </w:tc>
        <w:tc>
          <w:tcPr>
            <w:tcW w:w="2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373,111</w:t>
            </w:r>
          </w:p>
        </w:tc>
      </w:tr>
      <w:tr>
        <w:trPr>
          <w:trHeight w:val="216"/>
        </w:trPr>
        <w:tc>
          <w:tcPr>
            <w:tcW w:w="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9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5940" w:type="dxa"/>
            <w:vAlign w:val="bottom"/>
          </w:tcPr>
          <w:p>
            <w:pPr>
              <w:spacing w:after="0"/>
              <w:rPr>
                <w:sz w:val="20"/>
                <w:szCs w:val="20"/>
                <w:color w:val="auto"/>
              </w:rPr>
            </w:pPr>
            <w:r>
              <w:rPr>
                <w:rFonts w:ascii="Arial" w:cs="Arial" w:eastAsia="Arial" w:hAnsi="Arial"/>
                <w:sz w:val="18"/>
                <w:szCs w:val="18"/>
                <w:color w:val="auto"/>
              </w:rPr>
              <w:t>Alliance Bernstein International Value</w:t>
            </w:r>
          </w:p>
        </w:tc>
        <w:tc>
          <w:tcPr>
            <w:tcW w:w="1000" w:type="dxa"/>
            <w:vAlign w:val="bottom"/>
            <w:gridSpan w:val="2"/>
          </w:tcPr>
          <w:p>
            <w:pPr>
              <w:jc w:val="right"/>
              <w:spacing w:after="0"/>
              <w:rPr>
                <w:sz w:val="20"/>
                <w:szCs w:val="20"/>
                <w:color w:val="auto"/>
              </w:rPr>
            </w:pPr>
            <w:r>
              <w:rPr>
                <w:rFonts w:ascii="Arial" w:cs="Arial" w:eastAsia="Arial" w:hAnsi="Arial"/>
                <w:sz w:val="18"/>
                <w:szCs w:val="18"/>
                <w:color w:val="auto"/>
              </w:rPr>
              <w:t>7,543</w:t>
            </w: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102,962</w:t>
            </w:r>
          </w:p>
        </w:tc>
      </w:tr>
      <w:tr>
        <w:trPr>
          <w:trHeight w:val="216"/>
        </w:trPr>
        <w:tc>
          <w:tcPr>
            <w:tcW w:w="20" w:type="dxa"/>
            <w:vAlign w:val="bottom"/>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19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5940" w:type="dxa"/>
            <w:vAlign w:val="bottom"/>
            <w:shd w:val="clear" w:color="auto" w:fill="CCEEFF"/>
          </w:tcPr>
          <w:p>
            <w:pPr>
              <w:spacing w:after="0"/>
              <w:rPr>
                <w:sz w:val="20"/>
                <w:szCs w:val="20"/>
                <w:color w:val="auto"/>
              </w:rPr>
            </w:pPr>
            <w:r>
              <w:rPr>
                <w:rFonts w:ascii="Arial" w:cs="Arial" w:eastAsia="Arial" w:hAnsi="Arial"/>
                <w:sz w:val="18"/>
                <w:szCs w:val="18"/>
                <w:color w:val="auto"/>
              </w:rPr>
              <w:t>T Rowe Price Growth Stock</w:t>
            </w:r>
          </w:p>
        </w:tc>
        <w:tc>
          <w:tcPr>
            <w:tcW w:w="10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22,691</w:t>
            </w:r>
          </w:p>
        </w:tc>
        <w:tc>
          <w:tcPr>
            <w:tcW w:w="2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615,158</w:t>
            </w:r>
          </w:p>
        </w:tc>
      </w:tr>
      <w:tr>
        <w:trPr>
          <w:trHeight w:val="208"/>
        </w:trPr>
        <w:tc>
          <w:tcPr>
            <w:tcW w:w="20" w:type="dxa"/>
            <w:vAlign w:val="bottom"/>
          </w:tcPr>
          <w:p>
            <w:pPr>
              <w:spacing w:after="0"/>
              <w:rPr>
                <w:sz w:val="18"/>
                <w:szCs w:val="18"/>
                <w:color w:val="auto"/>
              </w:rPr>
            </w:pPr>
          </w:p>
        </w:tc>
        <w:tc>
          <w:tcPr>
            <w:tcW w:w="3060" w:type="dxa"/>
            <w:vAlign w:val="bottom"/>
            <w:gridSpan w:val="2"/>
          </w:tcPr>
          <w:p>
            <w:pPr>
              <w:spacing w:after="0"/>
              <w:rPr>
                <w:sz w:val="20"/>
                <w:szCs w:val="20"/>
                <w:color w:val="auto"/>
              </w:rPr>
            </w:pPr>
            <w:r>
              <w:rPr>
                <w:rFonts w:ascii="Arial" w:cs="Arial" w:eastAsia="Arial" w:hAnsi="Arial"/>
                <w:sz w:val="18"/>
                <w:szCs w:val="18"/>
                <w:color w:val="auto"/>
              </w:rPr>
              <w:t>Common Stock held through Fidelity</w:t>
            </w:r>
          </w:p>
        </w:tc>
        <w:tc>
          <w:tcPr>
            <w:tcW w:w="220" w:type="dxa"/>
            <w:vAlign w:val="bottom"/>
          </w:tcPr>
          <w:p>
            <w:pPr>
              <w:spacing w:after="0"/>
              <w:rPr>
                <w:sz w:val="18"/>
                <w:szCs w:val="18"/>
                <w:color w:val="auto"/>
              </w:rPr>
            </w:pPr>
          </w:p>
        </w:tc>
        <w:tc>
          <w:tcPr>
            <w:tcW w:w="59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20" w:type="dxa"/>
            <w:vAlign w:val="bottom"/>
          </w:tcPr>
          <w:p>
            <w:pPr>
              <w:spacing w:after="0"/>
              <w:rPr>
                <w:sz w:val="18"/>
                <w:szCs w:val="18"/>
                <w:color w:val="auto"/>
              </w:rPr>
            </w:pPr>
          </w:p>
        </w:tc>
      </w:tr>
      <w:tr>
        <w:trPr>
          <w:trHeight w:val="222"/>
        </w:trPr>
        <w:tc>
          <w:tcPr>
            <w:tcW w:w="20" w:type="dxa"/>
            <w:vAlign w:val="bottom"/>
          </w:tcPr>
          <w:p>
            <w:pPr>
              <w:spacing w:after="0"/>
              <w:rPr>
                <w:sz w:val="19"/>
                <w:szCs w:val="19"/>
                <w:color w:val="auto"/>
              </w:rPr>
            </w:pPr>
          </w:p>
        </w:tc>
        <w:tc>
          <w:tcPr>
            <w:tcW w:w="3060" w:type="dxa"/>
            <w:vAlign w:val="bottom"/>
            <w:gridSpan w:val="2"/>
          </w:tcPr>
          <w:p>
            <w:pPr>
              <w:ind w:left="200"/>
              <w:spacing w:after="0"/>
              <w:rPr>
                <w:sz w:val="20"/>
                <w:szCs w:val="20"/>
                <w:color w:val="auto"/>
              </w:rPr>
            </w:pPr>
            <w:r>
              <w:rPr>
                <w:rFonts w:ascii="Arial" w:cs="Arial" w:eastAsia="Arial" w:hAnsi="Arial"/>
                <w:sz w:val="18"/>
                <w:szCs w:val="18"/>
                <w:color w:val="auto"/>
              </w:rPr>
              <w:t>Investments:</w:t>
            </w:r>
          </w:p>
        </w:tc>
        <w:tc>
          <w:tcPr>
            <w:tcW w:w="220" w:type="dxa"/>
            <w:vAlign w:val="bottom"/>
          </w:tcPr>
          <w:p>
            <w:pPr>
              <w:spacing w:after="0"/>
              <w:rPr>
                <w:sz w:val="19"/>
                <w:szCs w:val="19"/>
                <w:color w:val="auto"/>
              </w:rPr>
            </w:pPr>
          </w:p>
        </w:tc>
        <w:tc>
          <w:tcPr>
            <w:tcW w:w="5940" w:type="dxa"/>
            <w:vAlign w:val="bottom"/>
          </w:tcPr>
          <w:p>
            <w:pPr>
              <w:spacing w:after="0"/>
              <w:rPr>
                <w:sz w:val="20"/>
                <w:szCs w:val="20"/>
                <w:color w:val="auto"/>
              </w:rPr>
            </w:pPr>
            <w:r>
              <w:rPr>
                <w:rFonts w:ascii="Arial" w:cs="Arial" w:eastAsia="Arial" w:hAnsi="Arial"/>
                <w:sz w:val="18"/>
                <w:szCs w:val="18"/>
                <w:color w:val="auto"/>
              </w:rPr>
              <w:t>* Casual Male Retail Group, Inc.</w:t>
            </w:r>
          </w:p>
        </w:tc>
        <w:tc>
          <w:tcPr>
            <w:tcW w:w="1000" w:type="dxa"/>
            <w:vAlign w:val="bottom"/>
            <w:gridSpan w:val="2"/>
          </w:tcPr>
          <w:p>
            <w:pPr>
              <w:jc w:val="right"/>
              <w:spacing w:after="0"/>
              <w:rPr>
                <w:sz w:val="20"/>
                <w:szCs w:val="20"/>
                <w:color w:val="auto"/>
              </w:rPr>
            </w:pPr>
            <w:r>
              <w:rPr>
                <w:rFonts w:ascii="Arial" w:cs="Arial" w:eastAsia="Arial" w:hAnsi="Arial"/>
                <w:sz w:val="18"/>
                <w:szCs w:val="18"/>
                <w:color w:val="auto"/>
              </w:rPr>
              <w:t>42,720</w:t>
            </w:r>
          </w:p>
        </w:tc>
        <w:tc>
          <w:tcPr>
            <w:tcW w:w="2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99,536</w:t>
            </w:r>
          </w:p>
        </w:tc>
      </w:tr>
      <w:tr>
        <w:trPr>
          <w:trHeight w:val="218"/>
        </w:trPr>
        <w:tc>
          <w:tcPr>
            <w:tcW w:w="20" w:type="dxa"/>
            <w:vAlign w:val="bottom"/>
          </w:tcPr>
          <w:p>
            <w:pPr>
              <w:spacing w:after="0"/>
              <w:rPr>
                <w:sz w:val="18"/>
                <w:szCs w:val="18"/>
                <w:color w:val="auto"/>
              </w:rPr>
            </w:pPr>
          </w:p>
        </w:tc>
        <w:tc>
          <w:tcPr>
            <w:tcW w:w="30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 Participant loans</w:t>
            </w:r>
          </w:p>
        </w:tc>
        <w:tc>
          <w:tcPr>
            <w:tcW w:w="6160" w:type="dxa"/>
            <w:vAlign w:val="bottom"/>
            <w:gridSpan w:val="2"/>
            <w:shd w:val="clear" w:color="auto" w:fill="CCEEFF"/>
          </w:tcPr>
          <w:p>
            <w:pPr>
              <w:ind w:left="220"/>
              <w:spacing w:after="0"/>
              <w:rPr>
                <w:sz w:val="20"/>
                <w:szCs w:val="20"/>
                <w:color w:val="auto"/>
              </w:rPr>
            </w:pPr>
            <w:r>
              <w:rPr>
                <w:rFonts w:ascii="Arial" w:cs="Arial" w:eastAsia="Arial" w:hAnsi="Arial"/>
                <w:sz w:val="18"/>
                <w:szCs w:val="18"/>
                <w:color w:val="auto"/>
              </w:rPr>
              <w:t>4.75% - 9.25%</w:t>
            </w:r>
          </w:p>
        </w:tc>
        <w:tc>
          <w:tcPr>
            <w:tcW w:w="20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346,581</w:t>
            </w:r>
          </w:p>
        </w:tc>
      </w:tr>
      <w:tr>
        <w:trPr>
          <w:trHeight w:val="222"/>
        </w:trPr>
        <w:tc>
          <w:tcPr>
            <w:tcW w:w="2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19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59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3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20" w:type="dxa"/>
            <w:vAlign w:val="bottom"/>
          </w:tcPr>
          <w:p>
            <w:pPr>
              <w:jc w:val="right"/>
              <w:spacing w:after="0"/>
              <w:rPr>
                <w:sz w:val="20"/>
                <w:szCs w:val="20"/>
                <w:color w:val="auto"/>
              </w:rPr>
            </w:pPr>
            <w:r>
              <w:rPr>
                <w:rFonts w:ascii="Arial" w:cs="Arial" w:eastAsia="Arial" w:hAnsi="Arial"/>
                <w:sz w:val="18"/>
                <w:szCs w:val="18"/>
                <w:color w:val="auto"/>
                <w:w w:val="88"/>
              </w:rPr>
              <w:t>11,119,161</w:t>
            </w:r>
          </w:p>
        </w:tc>
      </w:tr>
      <w:tr>
        <w:trPr>
          <w:trHeight w:val="20"/>
        </w:trPr>
        <w:tc>
          <w:tcPr>
            <w:tcW w:w="2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19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59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r>
      <w:tr>
        <w:trPr>
          <w:trHeight w:val="103"/>
        </w:trPr>
        <w:tc>
          <w:tcPr>
            <w:tcW w:w="20" w:type="dxa"/>
            <w:vAlign w:val="bottom"/>
          </w:tcPr>
          <w:p>
            <w:pPr>
              <w:spacing w:after="0"/>
              <w:rPr>
                <w:sz w:val="8"/>
                <w:szCs w:val="8"/>
                <w:color w:val="auto"/>
              </w:rPr>
            </w:pPr>
          </w:p>
        </w:tc>
        <w:tc>
          <w:tcPr>
            <w:tcW w:w="1140" w:type="dxa"/>
            <w:vAlign w:val="bottom"/>
            <w:tcBorders>
              <w:bottom w:val="single" w:sz="8" w:color="auto"/>
            </w:tcBorders>
          </w:tcPr>
          <w:p>
            <w:pPr>
              <w:spacing w:after="0"/>
              <w:rPr>
                <w:sz w:val="8"/>
                <w:szCs w:val="8"/>
                <w:color w:val="auto"/>
              </w:rPr>
            </w:pPr>
          </w:p>
        </w:tc>
        <w:tc>
          <w:tcPr>
            <w:tcW w:w="1920" w:type="dxa"/>
            <w:vAlign w:val="bottom"/>
          </w:tcPr>
          <w:p>
            <w:pPr>
              <w:spacing w:after="0"/>
              <w:rPr>
                <w:sz w:val="8"/>
                <w:szCs w:val="8"/>
                <w:color w:val="auto"/>
              </w:rPr>
            </w:pPr>
          </w:p>
        </w:tc>
        <w:tc>
          <w:tcPr>
            <w:tcW w:w="220" w:type="dxa"/>
            <w:vAlign w:val="bottom"/>
          </w:tcPr>
          <w:p>
            <w:pPr>
              <w:spacing w:after="0"/>
              <w:rPr>
                <w:sz w:val="8"/>
                <w:szCs w:val="8"/>
                <w:color w:val="auto"/>
              </w:rPr>
            </w:pPr>
          </w:p>
        </w:tc>
        <w:tc>
          <w:tcPr>
            <w:tcW w:w="5940" w:type="dxa"/>
            <w:vAlign w:val="bottom"/>
          </w:tcPr>
          <w:p>
            <w:pPr>
              <w:spacing w:after="0"/>
              <w:rPr>
                <w:sz w:val="8"/>
                <w:szCs w:val="8"/>
                <w:color w:val="auto"/>
              </w:rPr>
            </w:pPr>
          </w:p>
        </w:tc>
        <w:tc>
          <w:tcPr>
            <w:tcW w:w="200" w:type="dxa"/>
            <w:vAlign w:val="bottom"/>
          </w:tcPr>
          <w:p>
            <w:pPr>
              <w:spacing w:after="0"/>
              <w:rPr>
                <w:sz w:val="8"/>
                <w:szCs w:val="8"/>
                <w:color w:val="auto"/>
              </w:rPr>
            </w:pPr>
          </w:p>
        </w:tc>
        <w:tc>
          <w:tcPr>
            <w:tcW w:w="800" w:type="dxa"/>
            <w:vAlign w:val="bottom"/>
          </w:tcPr>
          <w:p>
            <w:pPr>
              <w:spacing w:after="0"/>
              <w:rPr>
                <w:sz w:val="8"/>
                <w:szCs w:val="8"/>
                <w:color w:val="auto"/>
              </w:rPr>
            </w:pPr>
          </w:p>
        </w:tc>
        <w:tc>
          <w:tcPr>
            <w:tcW w:w="220" w:type="dxa"/>
            <w:vAlign w:val="bottom"/>
          </w:tcPr>
          <w:p>
            <w:pPr>
              <w:spacing w:after="0"/>
              <w:rPr>
                <w:sz w:val="8"/>
                <w:szCs w:val="8"/>
                <w:color w:val="auto"/>
              </w:rPr>
            </w:pPr>
          </w:p>
        </w:tc>
        <w:tc>
          <w:tcPr>
            <w:tcW w:w="140" w:type="dxa"/>
            <w:vAlign w:val="bottom"/>
          </w:tcPr>
          <w:p>
            <w:pPr>
              <w:spacing w:after="0"/>
              <w:rPr>
                <w:sz w:val="8"/>
                <w:szCs w:val="8"/>
                <w:color w:val="auto"/>
              </w:rPr>
            </w:pPr>
          </w:p>
        </w:tc>
        <w:tc>
          <w:tcPr>
            <w:tcW w:w="820" w:type="dxa"/>
            <w:vAlign w:val="bottom"/>
          </w:tcPr>
          <w:p>
            <w:pPr>
              <w:spacing w:after="0"/>
              <w:rPr>
                <w:sz w:val="8"/>
                <w:szCs w:val="8"/>
                <w:color w:val="auto"/>
              </w:rPr>
            </w:pPr>
          </w:p>
        </w:tc>
      </w:tr>
    </w:tbl>
    <w:p>
      <w:pPr>
        <w:spacing w:after="0" w:line="19" w:lineRule="exact"/>
        <w:rPr>
          <w:sz w:val="20"/>
          <w:szCs w:val="20"/>
          <w:color w:val="auto"/>
        </w:rPr>
      </w:pPr>
    </w:p>
    <w:p>
      <w:pPr>
        <w:ind w:left="460" w:hanging="452"/>
        <w:spacing w:after="0"/>
        <w:tabs>
          <w:tab w:leader="none" w:pos="460" w:val="left"/>
        </w:tabs>
        <w:numPr>
          <w:ilvl w:val="0"/>
          <w:numId w:val="3"/>
        </w:numPr>
        <w:rPr>
          <w:rFonts w:ascii="Arial" w:cs="Arial" w:eastAsia="Arial" w:hAnsi="Arial"/>
          <w:sz w:val="18"/>
          <w:szCs w:val="18"/>
          <w:color w:val="auto"/>
        </w:rPr>
      </w:pPr>
      <w:r>
        <w:rPr>
          <w:rFonts w:ascii="Arial" w:cs="Arial" w:eastAsia="Arial" w:hAnsi="Arial"/>
          <w:sz w:val="18"/>
          <w:szCs w:val="18"/>
          <w:color w:val="auto"/>
        </w:rPr>
        <w:t>Indicates party-in-interest to the Plan.</w:t>
      </w:r>
    </w:p>
    <w:p>
      <w:pPr>
        <w:spacing w:after="0" w:line="15" w:lineRule="exact"/>
        <w:rPr>
          <w:sz w:val="20"/>
          <w:szCs w:val="20"/>
          <w:color w:val="auto"/>
        </w:rPr>
      </w:pPr>
    </w:p>
    <w:p>
      <w:pPr>
        <w:ind w:left="5620" w:right="2380" w:hanging="5612"/>
        <w:spacing w:after="0" w:line="433" w:lineRule="auto"/>
        <w:tabs>
          <w:tab w:leader="none" w:pos="448" w:val="left"/>
        </w:tabs>
        <w:numPr>
          <w:ilvl w:val="0"/>
          <w:numId w:val="4"/>
        </w:numPr>
        <w:rPr>
          <w:rFonts w:ascii="Arial" w:cs="Arial" w:eastAsia="Arial" w:hAnsi="Arial"/>
          <w:sz w:val="18"/>
          <w:szCs w:val="18"/>
          <w:color w:val="auto"/>
        </w:rPr>
      </w:pPr>
      <w:r>
        <w:rPr>
          <w:rFonts w:ascii="Arial" w:cs="Arial" w:eastAsia="Arial" w:hAnsi="Arial"/>
          <w:sz w:val="18"/>
          <w:szCs w:val="18"/>
          <w:color w:val="auto"/>
        </w:rPr>
        <w:t>Includes $1,039 of nonparticipant-directed, unallocated forfeitures for which historical cost approximates to current value. 15</w:t>
      </w:r>
    </w:p>
    <w:p>
      <w:pPr>
        <w:sectPr>
          <w:pgSz w:w="11900" w:h="16838" w:orient="portrait"/>
          <w:cols w:equalWidth="0" w:num="1">
            <w:col w:w="11420"/>
          </w:cols>
          <w:pgMar w:left="240" w:top="459" w:right="239" w:bottom="1440" w:gutter="0" w:footer="0" w:header="0"/>
        </w:sectPr>
      </w:pPr>
    </w:p>
    <w:bookmarkStart w:id="17" w:name="page18"/>
    <w:bookmarkEnd w:id="1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5080"/>
        <w:spacing w:after="0"/>
        <w:rPr>
          <w:sz w:val="20"/>
          <w:szCs w:val="20"/>
          <w:color w:val="auto"/>
        </w:rPr>
      </w:pPr>
      <w:r>
        <w:rPr>
          <w:rFonts w:ascii="Arial" w:cs="Arial" w:eastAsia="Arial" w:hAnsi="Arial"/>
          <w:sz w:val="18"/>
          <w:szCs w:val="18"/>
          <w:b w:val="1"/>
          <w:bCs w:val="1"/>
          <w:color w:val="auto"/>
        </w:rPr>
        <w:t>Index to Exhibits</w:t>
      </w:r>
    </w:p>
    <w:p>
      <w:pPr>
        <w:spacing w:after="0" w:line="218" w:lineRule="exact"/>
        <w:rPr>
          <w:sz w:val="20"/>
          <w:szCs w:val="20"/>
          <w:color w:val="auto"/>
        </w:rPr>
      </w:pPr>
    </w:p>
    <w:p>
      <w:pPr>
        <w:spacing w:after="0"/>
        <w:tabs>
          <w:tab w:leader="none" w:pos="680" w:val="left"/>
        </w:tabs>
        <w:rPr>
          <w:sz w:val="20"/>
          <w:szCs w:val="20"/>
          <w:color w:val="auto"/>
        </w:rPr>
      </w:pPr>
      <w:r>
        <w:rPr>
          <w:rFonts w:ascii="Arial" w:cs="Arial" w:eastAsia="Arial" w:hAnsi="Arial"/>
          <w:sz w:val="18"/>
          <w:szCs w:val="18"/>
          <w:color w:val="auto"/>
        </w:rPr>
        <w:t>23.1</w:t>
      </w:r>
      <w:r>
        <w:rPr>
          <w:sz w:val="20"/>
          <w:szCs w:val="20"/>
          <w:color w:val="auto"/>
        </w:rPr>
        <w:tab/>
      </w:r>
      <w:r>
        <w:rPr>
          <w:rFonts w:ascii="Arial" w:cs="Arial" w:eastAsia="Arial" w:hAnsi="Arial"/>
          <w:sz w:val="16"/>
          <w:szCs w:val="16"/>
          <w:color w:val="auto"/>
        </w:rPr>
        <w:t>Consent of Independent Registered Public Accounting Firm</w:t>
      </w:r>
    </w:p>
    <w:p>
      <w:pPr>
        <w:spacing w:after="0" w:line="117" w:lineRule="exact"/>
        <w:rPr>
          <w:sz w:val="20"/>
          <w:szCs w:val="20"/>
          <w:color w:val="auto"/>
        </w:rPr>
      </w:pPr>
    </w:p>
    <w:p>
      <w:pPr>
        <w:spacing w:after="0"/>
        <w:tabs>
          <w:tab w:leader="none" w:pos="680" w:val="left"/>
        </w:tabs>
        <w:rPr>
          <w:sz w:val="20"/>
          <w:szCs w:val="20"/>
          <w:color w:val="auto"/>
        </w:rPr>
      </w:pPr>
      <w:r>
        <w:rPr>
          <w:rFonts w:ascii="Arial" w:cs="Arial" w:eastAsia="Arial" w:hAnsi="Arial"/>
          <w:sz w:val="18"/>
          <w:szCs w:val="18"/>
          <w:color w:val="auto"/>
        </w:rPr>
        <w:t>32.1</w:t>
      </w:r>
      <w:r>
        <w:rPr>
          <w:sz w:val="20"/>
          <w:szCs w:val="20"/>
          <w:color w:val="auto"/>
        </w:rPr>
        <w:tab/>
      </w:r>
      <w:r>
        <w:rPr>
          <w:rFonts w:ascii="Arial" w:cs="Arial" w:eastAsia="Arial" w:hAnsi="Arial"/>
          <w:sz w:val="15"/>
          <w:szCs w:val="15"/>
          <w:color w:val="auto"/>
        </w:rPr>
        <w:t>Certification pursuant to 18 U.S.C. Section 1350, as adopted pursuant to Section 906 of the Sarbanes –Oxley Act of 2002</w:t>
      </w:r>
    </w:p>
    <w:p>
      <w:pPr>
        <w:sectPr>
          <w:pgSz w:w="11900" w:h="16838" w:orient="portrait"/>
          <w:cols w:equalWidth="0" w:num="1">
            <w:col w:w="10219"/>
          </w:cols>
          <w:pgMar w:left="240" w:top="459" w:right="1440" w:bottom="1440" w:gutter="0" w:footer="0" w:header="0"/>
        </w:sectPr>
      </w:pPr>
    </w:p>
    <w:bookmarkStart w:id="18" w:name="page19"/>
    <w:bookmarkEnd w:id="1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Signatures</w:t>
      </w:r>
    </w:p>
    <w:p>
      <w:pPr>
        <w:spacing w:after="0" w:line="177" w:lineRule="exact"/>
        <w:rPr>
          <w:sz w:val="20"/>
          <w:szCs w:val="20"/>
          <w:color w:val="auto"/>
        </w:rPr>
      </w:pPr>
    </w:p>
    <w:p>
      <w:pPr>
        <w:ind w:right="280"/>
        <w:spacing w:after="0" w:line="268" w:lineRule="auto"/>
        <w:rPr>
          <w:sz w:val="20"/>
          <w:szCs w:val="20"/>
          <w:color w:val="auto"/>
        </w:rPr>
      </w:pPr>
      <w:r>
        <w:rPr>
          <w:rFonts w:ascii="Arial" w:cs="Arial" w:eastAsia="Arial" w:hAnsi="Arial"/>
          <w:sz w:val="18"/>
          <w:szCs w:val="18"/>
          <w:i w:val="1"/>
          <w:iCs w:val="1"/>
          <w:color w:val="auto"/>
        </w:rPr>
        <w:t xml:space="preserve">The Plan. </w:t>
      </w:r>
      <w:r>
        <w:rPr>
          <w:rFonts w:ascii="Arial" w:cs="Arial" w:eastAsia="Arial" w:hAnsi="Arial"/>
          <w:sz w:val="18"/>
          <w:szCs w:val="18"/>
          <w:color w:val="auto"/>
        </w:rPr>
        <w:t>Pursuant to the requirements of the Securities Exchange Act of 1934, the trustees (or other persons who administer the employee benefit plan) have</w:t>
      </w:r>
      <w:r>
        <w:rPr>
          <w:rFonts w:ascii="Arial" w:cs="Arial" w:eastAsia="Arial" w:hAnsi="Arial"/>
          <w:sz w:val="18"/>
          <w:szCs w:val="18"/>
          <w:i w:val="1"/>
          <w:iCs w:val="1"/>
          <w:color w:val="auto"/>
        </w:rPr>
        <w:t xml:space="preserve"> </w:t>
      </w:r>
      <w:r>
        <w:rPr>
          <w:rFonts w:ascii="Arial" w:cs="Arial" w:eastAsia="Arial" w:hAnsi="Arial"/>
          <w:sz w:val="18"/>
          <w:szCs w:val="18"/>
          <w:color w:val="auto"/>
        </w:rPr>
        <w:t>duly caused this annual report to be signed on its behalf by the undersigned hereunto duly authorized.</w:t>
      </w:r>
    </w:p>
    <w:p>
      <w:pPr>
        <w:spacing w:after="0" w:line="172" w:lineRule="exact"/>
        <w:rPr>
          <w:sz w:val="20"/>
          <w:szCs w:val="20"/>
          <w:color w:val="auto"/>
        </w:rPr>
      </w:pPr>
    </w:p>
    <w:p>
      <w:pPr>
        <w:ind w:left="6860"/>
        <w:spacing w:after="0"/>
        <w:rPr>
          <w:sz w:val="20"/>
          <w:szCs w:val="20"/>
          <w:color w:val="auto"/>
        </w:rPr>
      </w:pPr>
      <w:r>
        <w:rPr>
          <w:rFonts w:ascii="Arial" w:cs="Arial" w:eastAsia="Arial" w:hAnsi="Arial"/>
          <w:sz w:val="16"/>
          <w:szCs w:val="16"/>
          <w:color w:val="auto"/>
        </w:rPr>
        <w:t>Casual Male Retail Group, Inc. 401(k) Hourly Savings plan</w:t>
      </w:r>
    </w:p>
    <w:p>
      <w:pPr>
        <w:spacing w:after="0" w:line="248" w:lineRule="exact"/>
        <w:rPr>
          <w:sz w:val="20"/>
          <w:szCs w:val="20"/>
          <w:color w:val="auto"/>
        </w:rPr>
      </w:pPr>
    </w:p>
    <w:p>
      <w:pPr>
        <w:ind w:left="6860"/>
        <w:spacing w:after="0"/>
        <w:tabs>
          <w:tab w:leader="none" w:pos="8160" w:val="left"/>
          <w:tab w:leader="none" w:pos="850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/s/</w:t>
      </w:r>
      <w:r>
        <w:rPr>
          <w:sz w:val="20"/>
          <w:szCs w:val="20"/>
          <w:color w:val="auto"/>
        </w:rPr>
        <w:tab/>
      </w:r>
      <w:r>
        <w:rPr>
          <w:rFonts w:ascii="Arial" w:cs="Arial" w:eastAsia="Arial" w:hAnsi="Arial"/>
          <w:sz w:val="16"/>
          <w:szCs w:val="16"/>
          <w:color w:val="auto"/>
        </w:rPr>
        <w:t>D</w:t>
      </w:r>
      <w:r>
        <w:rPr>
          <w:rFonts w:ascii="Arial" w:cs="Arial" w:eastAsia="Arial" w:hAnsi="Arial"/>
          <w:sz w:val="13"/>
          <w:szCs w:val="13"/>
          <w:color w:val="auto"/>
        </w:rPr>
        <w:t>ENNIS</w:t>
      </w:r>
      <w:r>
        <w:rPr>
          <w:rFonts w:ascii="Arial" w:cs="Arial" w:eastAsia="Arial" w:hAnsi="Arial"/>
          <w:sz w:val="16"/>
          <w:szCs w:val="16"/>
          <w:color w:val="auto"/>
        </w:rPr>
        <w:t xml:space="preserve"> R. H</w:t>
      </w:r>
      <w:r>
        <w:rPr>
          <w:rFonts w:ascii="Arial" w:cs="Arial" w:eastAsia="Arial" w:hAnsi="Arial"/>
          <w:sz w:val="13"/>
          <w:szCs w:val="13"/>
          <w:color w:val="auto"/>
        </w:rPr>
        <w:t>ERNREICH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4533265</wp:posOffset>
            </wp:positionH>
            <wp:positionV relativeFrom="paragraph">
              <wp:posOffset>10795</wp:posOffset>
            </wp:positionV>
            <wp:extent cx="2718435" cy="889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2718435" cy="8890"/>
                    </a:xfrm>
                    <a:prstGeom prst="rect">
                      <a:avLst/>
                    </a:prstGeom>
                    <a:noFill/>
                  </pic:spPr>
                </pic:pic>
              </a:graphicData>
            </a:graphic>
          </wp:anchor>
        </w:drawing>
      </w:r>
    </w:p>
    <w:p>
      <w:pPr>
        <w:jc w:val="center"/>
        <w:ind w:left="6840"/>
        <w:spacing w:after="0"/>
        <w:rPr>
          <w:sz w:val="20"/>
          <w:szCs w:val="20"/>
          <w:color w:val="auto"/>
        </w:rPr>
      </w:pPr>
      <w:r>
        <w:rPr>
          <w:rFonts w:ascii="Arial" w:cs="Arial" w:eastAsia="Arial" w:hAnsi="Arial"/>
          <w:sz w:val="14"/>
          <w:szCs w:val="14"/>
          <w:b w:val="1"/>
          <w:bCs w:val="1"/>
          <w:color w:val="auto"/>
        </w:rPr>
        <w:t>Dennis R. Hernreich,</w:t>
      </w:r>
    </w:p>
    <w:p>
      <w:pPr>
        <w:spacing w:after="0" w:line="2" w:lineRule="exact"/>
        <w:rPr>
          <w:sz w:val="20"/>
          <w:szCs w:val="20"/>
          <w:color w:val="auto"/>
        </w:rPr>
      </w:pPr>
    </w:p>
    <w:p>
      <w:pPr>
        <w:jc w:val="center"/>
        <w:ind w:left="6840"/>
        <w:spacing w:after="0"/>
        <w:rPr>
          <w:sz w:val="20"/>
          <w:szCs w:val="20"/>
          <w:color w:val="auto"/>
        </w:rPr>
      </w:pPr>
      <w:r>
        <w:rPr>
          <w:rFonts w:ascii="Arial" w:cs="Arial" w:eastAsia="Arial" w:hAnsi="Arial"/>
          <w:sz w:val="12"/>
          <w:szCs w:val="12"/>
          <w:b w:val="1"/>
          <w:bCs w:val="1"/>
          <w:color w:val="auto"/>
        </w:rPr>
        <w:t>Executive Vice President, Chief Financial Officer and Chief Operating Officer</w:t>
      </w:r>
    </w:p>
    <w:p>
      <w:pPr>
        <w:spacing w:after="0" w:line="10" w:lineRule="exact"/>
        <w:rPr>
          <w:sz w:val="20"/>
          <w:szCs w:val="20"/>
          <w:color w:val="auto"/>
        </w:rPr>
      </w:pPr>
    </w:p>
    <w:p>
      <w:pPr>
        <w:jc w:val="center"/>
        <w:ind w:left="6840"/>
        <w:spacing w:after="0"/>
        <w:rPr>
          <w:sz w:val="20"/>
          <w:szCs w:val="20"/>
          <w:color w:val="auto"/>
        </w:rPr>
      </w:pPr>
      <w:r>
        <w:rPr>
          <w:rFonts w:ascii="Arial" w:cs="Arial" w:eastAsia="Arial" w:hAnsi="Arial"/>
          <w:sz w:val="14"/>
          <w:szCs w:val="14"/>
          <w:b w:val="1"/>
          <w:bCs w:val="1"/>
          <w:color w:val="auto"/>
        </w:rPr>
        <w:t>of Casual Male Retail Group, Inc., the Plan Administrator</w:t>
      </w:r>
    </w:p>
    <w:p>
      <w:pPr>
        <w:spacing w:after="0" w:line="154" w:lineRule="exact"/>
        <w:rPr>
          <w:sz w:val="20"/>
          <w:szCs w:val="20"/>
          <w:color w:val="auto"/>
        </w:rPr>
      </w:pPr>
    </w:p>
    <w:p>
      <w:pPr>
        <w:spacing w:after="0"/>
        <w:rPr>
          <w:sz w:val="20"/>
          <w:szCs w:val="20"/>
          <w:color w:val="auto"/>
        </w:rPr>
      </w:pPr>
      <w:r>
        <w:rPr>
          <w:rFonts w:ascii="Arial" w:cs="Arial" w:eastAsia="Arial" w:hAnsi="Arial"/>
          <w:sz w:val="18"/>
          <w:szCs w:val="18"/>
          <w:color w:val="auto"/>
        </w:rPr>
        <w:t>June 29, 2010</w:t>
      </w:r>
    </w:p>
    <w:p>
      <w:pPr>
        <w:sectPr>
          <w:pgSz w:w="11900" w:h="16838" w:orient="portrait"/>
          <w:cols w:equalWidth="0" w:num="1">
            <w:col w:w="11380"/>
          </w:cols>
          <w:pgMar w:left="240" w:top="459" w:right="279" w:bottom="1440" w:gutter="0" w:footer="0" w:header="0"/>
        </w:sectPr>
      </w:pPr>
    </w:p>
    <w:bookmarkStart w:id="19" w:name="page20"/>
    <w:bookmarkEnd w:id="19"/>
    <w:p>
      <w:pPr>
        <w:jc w:val="right"/>
        <w:spacing w:after="0"/>
        <w:rPr>
          <w:sz w:val="20"/>
          <w:szCs w:val="20"/>
          <w:color w:val="auto"/>
        </w:rPr>
      </w:pPr>
      <w:r>
        <w:rPr>
          <w:rFonts w:ascii="Arial" w:cs="Arial" w:eastAsia="Arial" w:hAnsi="Arial"/>
          <w:sz w:val="18"/>
          <w:szCs w:val="18"/>
          <w:color w:val="auto"/>
        </w:rPr>
        <w:t>Exhibit 23.1</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color w:val="auto"/>
        </w:rPr>
        <w:t>Consent of Independent Registered Public Accounting Firm</w:t>
      </w:r>
    </w:p>
    <w:p>
      <w:pPr>
        <w:spacing w:after="0" w:line="171" w:lineRule="exact"/>
        <w:rPr>
          <w:sz w:val="20"/>
          <w:szCs w:val="20"/>
          <w:color w:val="auto"/>
        </w:rPr>
      </w:pPr>
    </w:p>
    <w:p>
      <w:pPr>
        <w:jc w:val="both"/>
        <w:ind w:right="380"/>
        <w:spacing w:after="0" w:line="259" w:lineRule="auto"/>
        <w:rPr>
          <w:sz w:val="20"/>
          <w:szCs w:val="20"/>
          <w:color w:val="auto"/>
        </w:rPr>
      </w:pPr>
      <w:r>
        <w:rPr>
          <w:rFonts w:ascii="Arial" w:cs="Arial" w:eastAsia="Arial" w:hAnsi="Arial"/>
          <w:sz w:val="18"/>
          <w:szCs w:val="18"/>
          <w:color w:val="auto"/>
        </w:rPr>
        <w:t>We consent to the incorporation by reference in the Registration Statement (Form S-8, Reg. No. 333-112218) of Casual Male Retail Group, Inc. of our report dated June 29, 2010, with respect to the financial statements and schedule of the Casual Male Retail Group, Inc. 401(k) Hourly Savings Plan included in this Annual Report (Form 11-K) for the year ended December 31, 2009.</w:t>
      </w:r>
    </w:p>
    <w:p>
      <w:pPr>
        <w:spacing w:after="0" w:line="181" w:lineRule="exact"/>
        <w:rPr>
          <w:sz w:val="20"/>
          <w:szCs w:val="20"/>
          <w:color w:val="auto"/>
        </w:rPr>
      </w:pPr>
    </w:p>
    <w:p>
      <w:pPr>
        <w:ind w:left="7920"/>
        <w:spacing w:after="0"/>
        <w:rPr>
          <w:sz w:val="20"/>
          <w:szCs w:val="20"/>
          <w:color w:val="auto"/>
        </w:rPr>
      </w:pPr>
      <w:r>
        <w:rPr>
          <w:rFonts w:ascii="Arial" w:cs="Arial" w:eastAsia="Arial" w:hAnsi="Arial"/>
          <w:sz w:val="18"/>
          <w:szCs w:val="18"/>
          <w:color w:val="auto"/>
        </w:rPr>
        <w:t>/s/ Mayer Hoffman McCann CPAs</w:t>
      </w:r>
    </w:p>
    <w:p>
      <w:pPr>
        <w:spacing w:after="0" w:line="15" w:lineRule="exact"/>
        <w:rPr>
          <w:sz w:val="20"/>
          <w:szCs w:val="20"/>
          <w:color w:val="auto"/>
        </w:rPr>
      </w:pPr>
    </w:p>
    <w:p>
      <w:pPr>
        <w:ind w:left="6860"/>
        <w:spacing w:after="0"/>
        <w:rPr>
          <w:sz w:val="20"/>
          <w:szCs w:val="20"/>
          <w:color w:val="auto"/>
        </w:rPr>
      </w:pPr>
      <w:r>
        <w:rPr>
          <w:rFonts w:ascii="Arial" w:cs="Arial" w:eastAsia="Arial" w:hAnsi="Arial"/>
          <w:sz w:val="16"/>
          <w:szCs w:val="16"/>
          <w:color w:val="auto"/>
        </w:rPr>
        <w:t>(The New York Practice of Mayer Hoffman McCann P.C.)</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color w:val="auto"/>
        </w:rPr>
        <w:t>New York, New York</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color w:val="auto"/>
        </w:rPr>
        <w:t>June 29, 2010</w:t>
      </w:r>
    </w:p>
    <w:p>
      <w:pPr>
        <w:sectPr>
          <w:pgSz w:w="11900" w:h="16838" w:orient="portrait"/>
          <w:cols w:equalWidth="0" w:num="1">
            <w:col w:w="11420"/>
          </w:cols>
          <w:pgMar w:left="240" w:top="131" w:right="239" w:bottom="1440" w:gutter="0" w:footer="0" w:header="0"/>
        </w:sectPr>
      </w:pPr>
    </w:p>
    <w:bookmarkStart w:id="20" w:name="page21"/>
    <w:bookmarkEnd w:id="20"/>
    <w:p>
      <w:pPr>
        <w:jc w:val="right"/>
        <w:spacing w:after="0"/>
        <w:rPr>
          <w:sz w:val="20"/>
          <w:szCs w:val="20"/>
          <w:color w:val="auto"/>
        </w:rPr>
      </w:pPr>
      <w:r>
        <w:rPr>
          <w:rFonts w:ascii="Arial" w:cs="Arial" w:eastAsia="Arial" w:hAnsi="Arial"/>
          <w:sz w:val="18"/>
          <w:szCs w:val="18"/>
          <w:color w:val="auto"/>
        </w:rPr>
        <w:t>Exhibit 32.1</w:t>
      </w:r>
    </w:p>
    <w:p>
      <w:pPr>
        <w:spacing w:after="0" w:line="171" w:lineRule="exact"/>
        <w:rPr>
          <w:sz w:val="20"/>
          <w:szCs w:val="20"/>
          <w:color w:val="auto"/>
        </w:rPr>
      </w:pPr>
    </w:p>
    <w:p>
      <w:pPr>
        <w:ind w:left="4860"/>
        <w:spacing w:after="0"/>
        <w:rPr>
          <w:sz w:val="20"/>
          <w:szCs w:val="20"/>
          <w:color w:val="auto"/>
        </w:rPr>
      </w:pPr>
      <w:r>
        <w:rPr>
          <w:rFonts w:ascii="Arial" w:cs="Arial" w:eastAsia="Arial" w:hAnsi="Arial"/>
          <w:sz w:val="18"/>
          <w:szCs w:val="18"/>
          <w:color w:val="auto"/>
        </w:rPr>
        <w:t>Certification Pursuant to</w:t>
      </w:r>
    </w:p>
    <w:p>
      <w:pPr>
        <w:spacing w:after="0" w:line="15" w:lineRule="exact"/>
        <w:rPr>
          <w:sz w:val="20"/>
          <w:szCs w:val="20"/>
          <w:color w:val="auto"/>
        </w:rPr>
      </w:pPr>
    </w:p>
    <w:p>
      <w:pPr>
        <w:ind w:left="4860"/>
        <w:spacing w:after="0"/>
        <w:rPr>
          <w:sz w:val="20"/>
          <w:szCs w:val="20"/>
          <w:color w:val="auto"/>
        </w:rPr>
      </w:pPr>
      <w:r>
        <w:rPr>
          <w:rFonts w:ascii="Arial" w:cs="Arial" w:eastAsia="Arial" w:hAnsi="Arial"/>
          <w:sz w:val="18"/>
          <w:szCs w:val="18"/>
          <w:color w:val="auto"/>
        </w:rPr>
        <w:t>18 U.S.C. Section 1350,</w:t>
      </w:r>
    </w:p>
    <w:p>
      <w:pPr>
        <w:spacing w:after="0" w:line="9" w:lineRule="exact"/>
        <w:rPr>
          <w:sz w:val="20"/>
          <w:szCs w:val="20"/>
          <w:color w:val="auto"/>
        </w:rPr>
      </w:pPr>
    </w:p>
    <w:p>
      <w:pPr>
        <w:ind w:left="4440"/>
        <w:spacing w:after="0"/>
        <w:rPr>
          <w:sz w:val="20"/>
          <w:szCs w:val="20"/>
          <w:color w:val="auto"/>
        </w:rPr>
      </w:pPr>
      <w:r>
        <w:rPr>
          <w:rFonts w:ascii="Arial" w:cs="Arial" w:eastAsia="Arial" w:hAnsi="Arial"/>
          <w:sz w:val="18"/>
          <w:szCs w:val="18"/>
          <w:color w:val="auto"/>
        </w:rPr>
        <w:t>As Adopted Pursuant to Section 906</w:t>
      </w:r>
    </w:p>
    <w:p>
      <w:pPr>
        <w:spacing w:after="0" w:line="9" w:lineRule="exact"/>
        <w:rPr>
          <w:sz w:val="20"/>
          <w:szCs w:val="20"/>
          <w:color w:val="auto"/>
        </w:rPr>
      </w:pPr>
    </w:p>
    <w:p>
      <w:pPr>
        <w:ind w:left="4460"/>
        <w:spacing w:after="0"/>
        <w:rPr>
          <w:sz w:val="20"/>
          <w:szCs w:val="20"/>
          <w:color w:val="auto"/>
        </w:rPr>
      </w:pPr>
      <w:r>
        <w:rPr>
          <w:rFonts w:ascii="Arial" w:cs="Arial" w:eastAsia="Arial" w:hAnsi="Arial"/>
          <w:sz w:val="18"/>
          <w:szCs w:val="18"/>
          <w:color w:val="auto"/>
        </w:rPr>
        <w:t>Of the Sarbanes-Oxley Act of 2002</w:t>
      </w:r>
    </w:p>
    <w:p>
      <w:pPr>
        <w:spacing w:after="0" w:line="165" w:lineRule="exact"/>
        <w:rPr>
          <w:sz w:val="20"/>
          <w:szCs w:val="20"/>
          <w:color w:val="auto"/>
        </w:rPr>
      </w:pPr>
    </w:p>
    <w:p>
      <w:pPr>
        <w:ind w:right="220"/>
        <w:spacing w:after="0" w:line="256" w:lineRule="auto"/>
        <w:rPr>
          <w:sz w:val="20"/>
          <w:szCs w:val="20"/>
          <w:color w:val="auto"/>
        </w:rPr>
      </w:pPr>
      <w:r>
        <w:rPr>
          <w:rFonts w:ascii="Arial" w:cs="Arial" w:eastAsia="Arial" w:hAnsi="Arial"/>
          <w:sz w:val="18"/>
          <w:szCs w:val="18"/>
          <w:color w:val="auto"/>
        </w:rPr>
        <w:t>In connection with the Annual Report on Form 11-K of the Casual Male Retail Group, Inc. 401(k) Hourly Saving Plan (the “Plan”) for the period ending December 31, 2009 as filed with the Securities and Exchange Commission on the date hereof (the “Report”), I, Dennis R. Hernreich, Executive Vice President, Chief Financial Officer and Chief Operating Officer of Casual Male Retail Group, Inc., the Plan Administrator, certify pursuant to 18 U.S.C. Section 1350, as adopted pursuant to Section 906 of the Sarbanes-Oxley Act of 2002, that:</w:t>
      </w:r>
    </w:p>
    <w:p>
      <w:pPr>
        <w:spacing w:after="0" w:line="62" w:lineRule="exact"/>
        <w:rPr>
          <w:sz w:val="20"/>
          <w:szCs w:val="20"/>
          <w:color w:val="auto"/>
        </w:rPr>
      </w:pPr>
    </w:p>
    <w:p>
      <w:pPr>
        <w:ind w:left="900" w:hanging="446"/>
        <w:spacing w:after="0"/>
        <w:tabs>
          <w:tab w:leader="none" w:pos="900" w:val="left"/>
        </w:tabs>
        <w:numPr>
          <w:ilvl w:val="0"/>
          <w:numId w:val="5"/>
        </w:numPr>
        <w:rPr>
          <w:rFonts w:ascii="Arial" w:cs="Arial" w:eastAsia="Arial" w:hAnsi="Arial"/>
          <w:sz w:val="16"/>
          <w:szCs w:val="16"/>
          <w:color w:val="auto"/>
        </w:rPr>
      </w:pPr>
      <w:r>
        <w:rPr>
          <w:rFonts w:ascii="Arial" w:cs="Arial" w:eastAsia="Arial" w:hAnsi="Arial"/>
          <w:sz w:val="16"/>
          <w:szCs w:val="16"/>
          <w:color w:val="auto"/>
        </w:rPr>
        <w:t>The Report fully complies with the requirements of Section 15(d) of the Securities Exchange Act of 1934, as amended (the “Exchange Act”); and</w:t>
      </w:r>
    </w:p>
    <w:p>
      <w:pPr>
        <w:spacing w:after="0" w:line="113" w:lineRule="exact"/>
        <w:rPr>
          <w:rFonts w:ascii="Arial" w:cs="Arial" w:eastAsia="Arial" w:hAnsi="Arial"/>
          <w:sz w:val="16"/>
          <w:szCs w:val="16"/>
          <w:color w:val="auto"/>
        </w:rPr>
      </w:pPr>
    </w:p>
    <w:p>
      <w:pPr>
        <w:ind w:left="900" w:right="580" w:hanging="446"/>
        <w:spacing w:after="0" w:line="268" w:lineRule="auto"/>
        <w:tabs>
          <w:tab w:leader="none" w:pos="900" w:val="left"/>
        </w:tabs>
        <w:numPr>
          <w:ilvl w:val="0"/>
          <w:numId w:val="5"/>
        </w:numPr>
        <w:rPr>
          <w:rFonts w:ascii="Arial" w:cs="Arial" w:eastAsia="Arial" w:hAnsi="Arial"/>
          <w:sz w:val="18"/>
          <w:szCs w:val="18"/>
          <w:color w:val="auto"/>
        </w:rPr>
      </w:pPr>
      <w:r>
        <w:rPr>
          <w:rFonts w:ascii="Arial" w:cs="Arial" w:eastAsia="Arial" w:hAnsi="Arial"/>
          <w:sz w:val="18"/>
          <w:szCs w:val="18"/>
          <w:color w:val="auto"/>
        </w:rPr>
        <w:t>The information contained in the Report fairly presents, in all material respects, the net assets available for benefits, and changes in net assets available for benefits of the Plan.</w:t>
      </w:r>
    </w:p>
    <w:p>
      <w:pPr>
        <w:spacing w:after="0" w:line="132" w:lineRule="exact"/>
        <w:rPr>
          <w:sz w:val="20"/>
          <w:szCs w:val="20"/>
          <w:color w:val="auto"/>
        </w:rPr>
      </w:pPr>
    </w:p>
    <w:p>
      <w:pPr>
        <w:jc w:val="both"/>
        <w:ind w:right="280"/>
        <w:spacing w:after="0" w:line="306" w:lineRule="auto"/>
        <w:rPr>
          <w:sz w:val="20"/>
          <w:szCs w:val="20"/>
          <w:color w:val="auto"/>
        </w:rPr>
      </w:pPr>
      <w:r>
        <w:rPr>
          <w:rFonts w:ascii="Arial" w:cs="Arial" w:eastAsia="Arial" w:hAnsi="Arial"/>
          <w:sz w:val="16"/>
          <w:szCs w:val="16"/>
          <w:color w:val="auto"/>
        </w:rPr>
        <w:t>A signed original of this written statement required by Section 906, or other document authenticating, acknowledging, or otherwise adopting the signature that appears in typed form within the electronic version of this written statement required by Section 906, has been provided to Casual Male Retail Group, Inc. and will be retained by Casual Male Retail Group, Inc. and furnished to the Securities and Exchange Commission or its staff upon request.</w:t>
      </w:r>
    </w:p>
    <w:p>
      <w:pPr>
        <w:spacing w:after="0" w:line="147"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/s/ Dennis R. Hernreich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4352925</wp:posOffset>
            </wp:positionH>
            <wp:positionV relativeFrom="paragraph">
              <wp:posOffset>10795</wp:posOffset>
            </wp:positionV>
            <wp:extent cx="2898775" cy="889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2898775" cy="8890"/>
                    </a:xfrm>
                    <a:prstGeom prst="rect">
                      <a:avLst/>
                    </a:prstGeom>
                    <a:noFill/>
                  </pic:spPr>
                </pic:pic>
              </a:graphicData>
            </a:graphic>
          </wp:anchor>
        </w:drawing>
      </w:r>
    </w:p>
    <w:p>
      <w:pPr>
        <w:spacing w:after="0" w:line="3"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Dennis R. Hernreich</w:t>
      </w:r>
    </w:p>
    <w:p>
      <w:pPr>
        <w:spacing w:after="0" w:line="15"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Executive Vice President, Chief Financial Officer,</w:t>
      </w:r>
    </w:p>
    <w:p>
      <w:pPr>
        <w:spacing w:after="0" w:line="9"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Chief Operating Officer of Casual Male Retail</w:t>
      </w:r>
    </w:p>
    <w:p>
      <w:pPr>
        <w:spacing w:after="0" w:line="9"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Group, Inc., the Plan Administrator</w:t>
      </w:r>
    </w:p>
    <w:p>
      <w:pPr>
        <w:spacing w:after="0" w:line="178" w:lineRule="exact"/>
        <w:rPr>
          <w:sz w:val="20"/>
          <w:szCs w:val="20"/>
          <w:color w:val="auto"/>
        </w:rPr>
      </w:pPr>
    </w:p>
    <w:p>
      <w:pPr>
        <w:spacing w:after="0"/>
        <w:rPr>
          <w:sz w:val="20"/>
          <w:szCs w:val="20"/>
          <w:color w:val="auto"/>
        </w:rPr>
      </w:pPr>
      <w:r>
        <w:rPr>
          <w:rFonts w:ascii="Arial" w:cs="Arial" w:eastAsia="Arial" w:hAnsi="Arial"/>
          <w:sz w:val="18"/>
          <w:szCs w:val="18"/>
          <w:color w:val="auto"/>
        </w:rPr>
        <w:t>June 29, 2010</w:t>
      </w:r>
    </w:p>
    <w:sectPr>
      <w:pgSz w:w="11900" w:h="16838" w:orient="portrait"/>
      <w:cols w:equalWidth="0" w:num="1">
        <w:col w:w="11420"/>
      </w:cols>
      <w:pgMar w:left="240" w:top="131"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19495CFF"/>
    <w:multiLevelType w:val="hybridMultilevel"/>
    <w:lvl w:ilvl="0">
      <w:lvlJc w:val="left"/>
      <w:lvlText w:val="☒"/>
      <w:numFmt w:val="bullet"/>
      <w:start w:val="1"/>
    </w:lvl>
  </w:abstractNum>
  <w:abstractNum w:abstractNumId="1">
    <w:nsid w:val="2AE8944A"/>
    <w:multiLevelType w:val="hybridMultilevel"/>
    <w:lvl w:ilvl="0">
      <w:lvlJc w:val="left"/>
      <w:lvlText w:val="☐"/>
      <w:numFmt w:val="bullet"/>
      <w:start w:val="1"/>
    </w:lvl>
  </w:abstractNum>
  <w:abstractNum w:abstractNumId="2">
    <w:nsid w:val="625558EC"/>
    <w:multiLevelType w:val="hybridMultilevel"/>
    <w:lvl w:ilvl="0">
      <w:lvlJc w:val="left"/>
      <w:lvlText w:val="*"/>
      <w:numFmt w:val="bullet"/>
      <w:start w:val="1"/>
    </w:lvl>
  </w:abstractNum>
  <w:abstractNum w:abstractNumId="3">
    <w:nsid w:val="238E1F29"/>
    <w:multiLevelType w:val="hybridMultilevel"/>
    <w:lvl w:ilvl="0">
      <w:lvlJc w:val="left"/>
      <w:lvlText w:val="(%1)"/>
      <w:numFmt w:val="decimal"/>
      <w:start w:val="1"/>
    </w:lvl>
  </w:abstractNum>
  <w:abstractNum w:abstractNumId="4">
    <w:nsid w:val="46E87CCD"/>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2019-12-10T07:25:38Z</dcterms:created>
  <dcterms:modified xsi:type="dcterms:W3CDTF">2019-12-10T07:25:38Z</dcterms:modified>
</cp:coreProperties>
</file>