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287655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307340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317"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333"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or</w:t>
      </w:r>
    </w:p>
    <w:p>
      <w:pPr>
        <w:spacing w:after="0" w:line="36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35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313"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297815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(Full title of the plan)</w:t>
      </w:r>
    </w:p>
    <w:p>
      <w:pPr>
        <w:spacing w:after="0" w:line="3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DESTINATION XL GROUP, INC.</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(formerly Casual Male Retail Group, Inc.)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(Name of issuer of the securities held pursuant to the plan and the address</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780" w:type="dxa"/>
            <w:vAlign w:val="bottom"/>
            <w:gridSpan w:val="5"/>
          </w:tcPr>
          <w:p>
            <w:pPr>
              <w:jc w:val="center"/>
              <w:ind w:left="1372"/>
              <w:spacing w:after="0"/>
              <w:rPr>
                <w:sz w:val="20"/>
                <w:szCs w:val="20"/>
                <w:color w:val="auto"/>
              </w:rPr>
            </w:pPr>
            <w:r>
              <w:rPr>
                <w:rFonts w:ascii="Arial" w:cs="Arial" w:eastAsia="Arial" w:hAnsi="Arial"/>
                <w:sz w:val="18"/>
                <w:szCs w:val="18"/>
                <w:color w:val="auto"/>
                <w:w w:val="89"/>
              </w:rPr>
              <w:t>Casual Male Retail Group, Inc. 401(k) Hourly Savings Plan</w:t>
            </w:r>
          </w:p>
        </w:tc>
        <w:tc>
          <w:tcPr>
            <w:tcW w:w="3440" w:type="dxa"/>
            <w:vAlign w:val="bottom"/>
          </w:tcPr>
          <w:p>
            <w:pPr>
              <w:spacing w:after="0"/>
              <w:rPr>
                <w:sz w:val="19"/>
                <w:szCs w:val="19"/>
                <w:color w:val="auto"/>
              </w:rPr>
            </w:pPr>
          </w:p>
        </w:tc>
      </w:tr>
      <w:tr>
        <w:trPr>
          <w:trHeight w:val="372"/>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80" w:type="dxa"/>
            <w:vAlign w:val="bottom"/>
            <w:gridSpan w:val="5"/>
          </w:tcPr>
          <w:p>
            <w:pPr>
              <w:jc w:val="center"/>
              <w:ind w:left="1352"/>
              <w:spacing w:after="0"/>
              <w:rPr>
                <w:sz w:val="20"/>
                <w:szCs w:val="20"/>
                <w:color w:val="auto"/>
              </w:rPr>
            </w:pPr>
            <w:r>
              <w:rPr>
                <w:rFonts w:ascii="Arial" w:cs="Arial" w:eastAsia="Arial" w:hAnsi="Arial"/>
                <w:sz w:val="18"/>
                <w:szCs w:val="18"/>
                <w:color w:val="auto"/>
                <w:w w:val="86"/>
              </w:rPr>
              <w:t>Financial Statements and Supplemental Schedules</w:t>
            </w:r>
          </w:p>
        </w:tc>
        <w:tc>
          <w:tcPr>
            <w:tcW w:w="3440" w:type="dxa"/>
            <w:vAlign w:val="bottom"/>
          </w:tcPr>
          <w:p>
            <w:pPr>
              <w:spacing w:after="0"/>
              <w:rPr>
                <w:sz w:val="24"/>
                <w:szCs w:val="24"/>
                <w:color w:val="auto"/>
              </w:rPr>
            </w:pPr>
          </w:p>
        </w:tc>
      </w:tr>
      <w:tr>
        <w:trPr>
          <w:trHeight w:val="222"/>
        </w:trPr>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760" w:type="dxa"/>
            <w:vAlign w:val="bottom"/>
            <w:gridSpan w:val="4"/>
          </w:tcPr>
          <w:p>
            <w:pPr>
              <w:jc w:val="center"/>
              <w:ind w:right="560"/>
              <w:spacing w:after="0"/>
              <w:rPr>
                <w:sz w:val="20"/>
                <w:szCs w:val="20"/>
                <w:color w:val="auto"/>
              </w:rPr>
            </w:pPr>
            <w:r>
              <w:rPr>
                <w:rFonts w:ascii="Arial" w:cs="Arial" w:eastAsia="Arial" w:hAnsi="Arial"/>
                <w:sz w:val="18"/>
                <w:szCs w:val="18"/>
                <w:color w:val="auto"/>
                <w:w w:val="86"/>
              </w:rPr>
              <w:t>Year Ended December 31, 2012</w:t>
            </w:r>
          </w:p>
        </w:tc>
        <w:tc>
          <w:tcPr>
            <w:tcW w:w="3440" w:type="dxa"/>
            <w:vAlign w:val="bottom"/>
          </w:tcPr>
          <w:p>
            <w:pPr>
              <w:spacing w:after="0"/>
              <w:rPr>
                <w:sz w:val="19"/>
                <w:szCs w:val="19"/>
                <w:color w:val="auto"/>
              </w:rPr>
            </w:pPr>
          </w:p>
        </w:tc>
      </w:tr>
      <w:tr>
        <w:trPr>
          <w:trHeight w:val="378"/>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6"/>
              </w:rPr>
              <w:t>Table of Contents</w:t>
            </w:r>
          </w:p>
        </w:tc>
        <w:tc>
          <w:tcPr>
            <w:tcW w:w="3440" w:type="dxa"/>
            <w:vAlign w:val="bottom"/>
          </w:tcPr>
          <w:p>
            <w:pPr>
              <w:spacing w:after="0"/>
              <w:rPr>
                <w:sz w:val="24"/>
                <w:szCs w:val="24"/>
                <w:color w:val="auto"/>
              </w:rPr>
            </w:pPr>
          </w:p>
        </w:tc>
      </w:tr>
      <w:tr>
        <w:trPr>
          <w:trHeight w:val="380"/>
        </w:trPr>
        <w:tc>
          <w:tcPr>
            <w:tcW w:w="78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3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7880" w:type="dxa"/>
            <w:vAlign w:val="bottom"/>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2012 and 2011</w:t>
              </w:r>
            </w:hyperlink>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Statement of Changes in Net Assets Available for Benefits for the Year Ended December 31, 2012</w:t>
              </w:r>
            </w:hyperlink>
          </w:p>
        </w:tc>
        <w:tc>
          <w:tcPr>
            <w:tcW w:w="960" w:type="dxa"/>
            <w:vAlign w:val="bottom"/>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88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4-16</w:t>
            </w:r>
          </w:p>
        </w:tc>
      </w:tr>
      <w:tr>
        <w:trPr>
          <w:trHeight w:val="196"/>
        </w:trPr>
        <w:tc>
          <w:tcPr>
            <w:tcW w:w="21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Supplemental Schedules</w:t>
              </w:r>
            </w:hyperlink>
          </w:p>
        </w:tc>
        <w:tc>
          <w:tcPr>
            <w:tcW w:w="5780" w:type="dxa"/>
            <w:vAlign w:val="bottom"/>
            <w:gridSpan w:val="5"/>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720" w:type="dxa"/>
            <w:vAlign w:val="bottom"/>
            <w:shd w:val="clear" w:color="auto" w:fill="0000EE"/>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7880" w:type="dxa"/>
            <w:vAlign w:val="bottom"/>
            <w:gridSpan w:val="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Schedule H, Line 4i – Schedule of Assets (Held at End of Year) as of December 31, 2012</w:t>
              </w:r>
            </w:hyperlink>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6280" w:type="dxa"/>
            <w:vAlign w:val="bottom"/>
            <w:gridSpan w:val="5"/>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78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Schedule H, Line 4a – Schedule of Delinquent Participant Contributions for the Year Ended December 31, 2012</w:t>
              </w:r>
            </w:hyperlink>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Hourly Savings Plan</w:t>
      </w:r>
    </w:p>
    <w:p>
      <w:pPr>
        <w:spacing w:after="0" w:line="84"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Casual Male Retail Group, Inc. 401(k) Hourly Savings Plan (the “Plan”) as of December 31, 2012 and 2011, and the related statement of changes in net assets available for benefits for the year ended December 31, 2012.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2012 and 2011, and the changes in net assets available for benefits for the year ended December 31, 2012, in conformity with accounting principles generally accepted in the United States of America.</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audits were performed for the purpose of forming an opinion on the basic financial statements taken as a whole. The supplemental Schedule of Assets (Held at End of Year) as of December 31, 2012 and Schedule of Delinquent Participant Contributions for the year ended December 31, 2012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CPAs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New York Practice of Mayer Hoffman McCann P.C.)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 (Notes 3, 4 and 5)</w:t>
            </w:r>
          </w:p>
        </w:tc>
        <w:tc>
          <w:tcPr>
            <w:tcW w:w="900" w:type="dxa"/>
            <w:vAlign w:val="bottom"/>
          </w:tcPr>
          <w:p>
            <w:pPr>
              <w:jc w:val="right"/>
              <w:spacing w:after="0"/>
              <w:rPr>
                <w:sz w:val="20"/>
                <w:szCs w:val="20"/>
                <w:color w:val="auto"/>
              </w:rPr>
            </w:pPr>
            <w:r>
              <w:rPr>
                <w:rFonts w:ascii="Arial" w:cs="Arial" w:eastAsia="Arial" w:hAnsi="Arial"/>
                <w:sz w:val="18"/>
                <w:szCs w:val="18"/>
                <w:color w:val="auto"/>
                <w:w w:val="83"/>
              </w:rPr>
              <w:t>$ 11,319,293</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$10,616,780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Participants’ contributions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275,648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Notes receivable from participants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403,460</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679,158</w:t>
            </w: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 reflecting investments at fair value</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11,998,451</w:t>
            </w:r>
          </w:p>
        </w:tc>
        <w:tc>
          <w:tcPr>
            <w:tcW w:w="3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11,242,178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(131,234)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(136,411)</w:t>
            </w:r>
          </w:p>
        </w:tc>
        <w:tc>
          <w:tcPr>
            <w:tcW w:w="0" w:type="dxa"/>
            <w:vAlign w:val="bottom"/>
          </w:tcPr>
          <w:p>
            <w:pPr>
              <w:spacing w:after="0"/>
              <w:rPr>
                <w:sz w:val="1"/>
                <w:szCs w:val="1"/>
                <w:color w:val="auto"/>
              </w:rPr>
            </w:pPr>
          </w:p>
        </w:tc>
      </w:tr>
      <w:tr>
        <w:trPr>
          <w:trHeight w:val="330"/>
        </w:trPr>
        <w:tc>
          <w:tcPr>
            <w:tcW w:w="92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11,867,217</w:t>
            </w:r>
          </w:p>
        </w:tc>
        <w:tc>
          <w:tcPr>
            <w:tcW w:w="32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11,105,767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left="1726"/>
        <w:spacing w:after="0"/>
        <w:rPr>
          <w:sz w:val="20"/>
          <w:szCs w:val="20"/>
          <w:color w:val="auto"/>
        </w:rPr>
      </w:pPr>
      <w:r>
        <w:rPr>
          <w:rFonts w:ascii="Arial" w:cs="Arial" w:eastAsia="Arial" w:hAnsi="Arial"/>
          <w:sz w:val="16"/>
          <w:szCs w:val="16"/>
          <w:color w:val="auto"/>
        </w:rPr>
        <w:t>Casual Male Retail Group, Inc. 401(k) Hourly Savings Plan</w:t>
      </w:r>
    </w:p>
    <w:p>
      <w:pPr>
        <w:spacing w:after="0" w:line="38" w:lineRule="exact"/>
        <w:rPr>
          <w:sz w:val="20"/>
          <w:szCs w:val="20"/>
          <w:color w:val="auto"/>
        </w:rPr>
      </w:pPr>
    </w:p>
    <w:p>
      <w:pPr>
        <w:jc w:val="center"/>
        <w:ind w:left="1726"/>
        <w:spacing w:after="0"/>
        <w:rPr>
          <w:sz w:val="20"/>
          <w:szCs w:val="20"/>
          <w:color w:val="auto"/>
        </w:rPr>
      </w:pPr>
      <w:r>
        <w:rPr>
          <w:rFonts w:ascii="Arial" w:cs="Arial" w:eastAsia="Arial" w:hAnsi="Arial"/>
          <w:sz w:val="16"/>
          <w:szCs w:val="16"/>
          <w:color w:val="auto"/>
        </w:rPr>
        <w:t>Statement of Changes in Net Assets Available for Benefits</w:t>
      </w:r>
    </w:p>
    <w:p>
      <w:pPr>
        <w:spacing w:after="0" w:line="32" w:lineRule="exact"/>
        <w:rPr>
          <w:sz w:val="20"/>
          <w:szCs w:val="20"/>
          <w:color w:val="auto"/>
        </w:rPr>
      </w:pPr>
    </w:p>
    <w:p>
      <w:pPr>
        <w:jc w:val="center"/>
        <w:ind w:left="1726"/>
        <w:spacing w:after="0"/>
        <w:rPr>
          <w:sz w:val="20"/>
          <w:szCs w:val="20"/>
          <w:color w:val="auto"/>
        </w:rPr>
      </w:pPr>
      <w:r>
        <w:rPr>
          <w:rFonts w:ascii="Arial" w:cs="Arial" w:eastAsia="Arial" w:hAnsi="Arial"/>
          <w:sz w:val="18"/>
          <w:szCs w:val="18"/>
          <w:color w:val="auto"/>
        </w:rPr>
        <w:t>For the Year Ended December 31,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appreciation in fair value of investments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notes receivable from participants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Participants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Transfers into the Plan (Note 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Benefits paid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Transfers out of the Plan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deductions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beginning of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6" w:hanging="326"/>
        <w:spacing w:after="0"/>
        <w:tabs>
          <w:tab w:leader="none" w:pos="326" w:val="left"/>
        </w:tabs>
        <w:numPr>
          <w:ilvl w:val="0"/>
          <w:numId w:val="3"/>
        </w:numPr>
        <w:rPr>
          <w:rFonts w:ascii="Arial" w:cs="Arial" w:eastAsia="Arial" w:hAnsi="Arial"/>
          <w:sz w:val="15"/>
          <w:szCs w:val="15"/>
          <w:color w:val="auto"/>
        </w:rPr>
      </w:pPr>
      <w:r>
        <w:rPr>
          <w:rFonts w:ascii="Arial" w:cs="Arial" w:eastAsia="Arial" w:hAnsi="Arial"/>
          <w:sz w:val="15"/>
          <w:szCs w:val="15"/>
          <w:color w:val="auto"/>
        </w:rPr>
        <w:t>699,931</w:t>
      </w:r>
    </w:p>
    <w:p>
      <w:pPr>
        <w:spacing w:after="0" w:line="49" w:lineRule="exact"/>
        <w:rPr>
          <w:rFonts w:ascii="Arial" w:cs="Arial" w:eastAsia="Arial" w:hAnsi="Arial"/>
          <w:sz w:val="15"/>
          <w:szCs w:val="15"/>
          <w:color w:val="auto"/>
        </w:rPr>
      </w:pPr>
    </w:p>
    <w:p>
      <w:pPr>
        <w:ind w:left="326"/>
        <w:spacing w:after="0"/>
        <w:rPr>
          <w:rFonts w:ascii="Arial" w:cs="Arial" w:eastAsia="Arial" w:hAnsi="Arial"/>
          <w:sz w:val="15"/>
          <w:szCs w:val="15"/>
          <w:color w:val="auto"/>
        </w:rPr>
      </w:pPr>
      <w:r>
        <w:rPr>
          <w:rFonts w:ascii="Arial" w:cs="Arial" w:eastAsia="Arial" w:hAnsi="Arial"/>
          <w:sz w:val="15"/>
          <w:szCs w:val="15"/>
          <w:color w:val="auto"/>
        </w:rPr>
        <w:t>216,928</w:t>
      </w:r>
    </w:p>
    <w:p>
      <w:pPr>
        <w:spacing w:after="0" w:line="64" w:lineRule="exact"/>
        <w:rPr>
          <w:rFonts w:ascii="Arial" w:cs="Arial" w:eastAsia="Arial" w:hAnsi="Arial"/>
          <w:sz w:val="15"/>
          <w:szCs w:val="15"/>
          <w:color w:val="auto"/>
        </w:rPr>
      </w:pPr>
    </w:p>
    <w:p>
      <w:pPr>
        <w:ind w:left="326"/>
        <w:spacing w:after="0"/>
        <w:rPr>
          <w:rFonts w:ascii="Arial" w:cs="Arial" w:eastAsia="Arial" w:hAnsi="Arial"/>
          <w:sz w:val="15"/>
          <w:szCs w:val="15"/>
          <w:color w:val="auto"/>
        </w:rPr>
      </w:pPr>
      <w:r>
        <w:rPr>
          <w:rFonts w:ascii="Arial" w:cs="Arial" w:eastAsia="Arial" w:hAnsi="Arial"/>
          <w:sz w:val="15"/>
          <w:szCs w:val="15"/>
          <w:color w:val="auto"/>
        </w:rPr>
        <w:t>916,859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565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17,367</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595,200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276,230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65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933,356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288,784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2,156,366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1,325,516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46,888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65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1,394,916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761,450</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auto"/>
        </w:rPr>
        <w:t>11,105,767</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5"/>
          <w:szCs w:val="15"/>
          <w:u w:val="single" w:color="auto"/>
          <w:color w:val="auto"/>
        </w:rPr>
        <w:t>$ 11,867,217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5657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2">
            <w:col w:w="9714" w:space="720"/>
            <w:col w:w="886"/>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description of Casual Male Retail Group, Inc. 401(k) Hourly Savings Plan (the “Plan”) provides only general information. Participants should refer to the Plan document for a more complete description of the Plan’s provisions.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Plan is a defined contribution plan covering eligible employees of Destination XL Group, Inc. (formerly Casual Male Retail Group, Inc.)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Plan is subject to the provisions of the Employee Retirement Income Security Act of 1974 (“ERISA”).</w:t>
      </w:r>
    </w:p>
    <w:p>
      <w:pPr>
        <w:spacing w:after="0" w:line="16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Plan is administered by the Company’s Investment Committee (“Committee”), which is a committee made of members of management of the Company. The Committee has overall responsibility for the operation and administration of the Plan. The Committee, along with its investment advisors and trustee, has developed an investment policy to determine the appropriateness of the Plan’s investment offerings, monitors investment performance and reports to the Company’s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All hourly employees of the Company who have completed one year of employment, worked 1,000 hours in one year, and are at least 21 years of age are eligible to participate in the Plan. After completing age and service requirements, the employee can enter the Plan on the first day of any subsequent month.</w:t>
      </w:r>
    </w:p>
    <w:p>
      <w:pPr>
        <w:spacing w:after="0" w:line="8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transferred to the Casual Male Retail Group, Inc. 401(k) Salaried Savings Plan during the year ended December 31, 2012 were $46,888. Assets transferred from the Casual Male Retail Group, Inc. 401(k) Salaried Savings Plan during the year ended December 31, 2012 were $288,784.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year, participants may contribute up to 80% of annual compensation as defined in the Plan. The participants can elect their contributions to be on a before tax and/or after tax basis. Participants may also contribute amounts representing distributions from other qualified defined benefit or defined contributions plans. Additionally, participants who have attained age 50 before the end of the plan year are eligible to make catch-up contributions. Contributions are subject to certain Internal Revenue Code (“Code”) limitations.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 (continued)</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Safe Harbor Matching provisions permitted under the Pension Protection Act of 2006, the Company matches 100% of the participant’s elective deferral for the first 1% of eligible compensation plus 50% of the participant’s elective deferral for the next 5% of eligible compensation. Additional amounts may be contributed at the discretion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Each employee who has satisfied the eligibility requirements shall be automatically enrolled and shall have an amount equal to 3% of their compensation automatically deducted unless the employee affirmatively elects a different elective deferral contribution percentage (including a zero percent election). Unless an eligible employee affirmatively elects not to contribute or changes his or her deferral rate, the pre-tax deferral will increase annually by 1% not to exceed 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participant’s account is credited with the participant’s contributions, the Company’s matching and discretionary contribution, plan earnings and charged with an allocation of plan expenses. The plan expenses are divided equally to all participants. The benefits to which a participant is entitled are the benefits that can be provided from the participant’s vested account.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each participant’s years of continuous service. A participant is 100% vested after two years of credited service.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17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Amounts forfeited under the Plan are used to reduce future employer contributions and administrative expenses. At December 31, 2012 and 2011, forfeited non-vested accounts totaled $21,965 and $2,474 respectively. In March 2013, $21,000 of this balance was used to reduce employer contributions.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participants may direct their elective contribution and Company contributions into various investment options offered by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Participants may borrow the lesser of $50,000 reduced by the individual’s highest outstanding loan balance during the preceding twelve months or 50% of the individual’s vested balance with a minimum of $1,000 per loan. Loans are secured by the balance in the participant’s account and bear interest at rates which are commensurate with local prevailing rates as determined by the Plan Administrator. Loan terms range from one to five years unless the loan is used to purchase a primary residence, in which case the loan may be repaid over a ten-year period. Other restrictions, as specified in the Plan agreement, may apply to a participant’s loan transaction. Principal and interest is paid ratably through payroll deductions.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Distribution can be made if requested due to disability, retirement, or termination of employment. On termination of service for any reason, a participant may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Beneficiaries may request a distribution of the vested account balance in the event of death. The account balance will continue to increase or decrease, as appropriate, based on the investment returns until it is distributed.</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Distribution can be deferred to a later date, however, it cannot be postponed if the vested account balance is $5,000 or less; in which case the Plan Administrator will direct the Trustee that any amount exceeding $1,000 be distributed to an Individual Retirement Account or Annuity (“IRA”). If the vested account balance is $1,000 or less, the Plan Administrator will direct the Trustee to distribute it as a lump sum distribution without the participant’s consent. Prior to such distribution, participants still have the right to request that the amount be distributed directly to them in the form of a lump sum payment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 (continued)</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to request that it be rolled-over to a different IRA provider or another retirement plan eligible to receive rollover contributions. If the participant fails to request a different treatment of an automatic distribution under the Plan’s cash-out provision, the distribution will be paid over to an IRA provider chosen by the Plan Administrator and invested in a product designed to preserve the principal of that distribution while still providing a reasonable rate of return and preserving liquidity. The fees assessed against this newly established IRA by its provider will be paid by the participant.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17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Investments are stated at fair value. Fair value is the price that would be received to sell an asset or paid to transfer a liability in an orderly transaction between market participants at the measurement date. The Committee determines the Plan’s valuation policies utilizing information provided by the investment advisers and trustee. See Note 5 for further discussion of fair value measurements.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 (continued)</w:t>
      </w:r>
    </w:p>
    <w:p>
      <w:pPr>
        <w:spacing w:after="0" w:line="15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17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Notes receivable from participants are measured at their unpaid principal balance plus accrued but unpaid interest. Interest income is recorded on the accrual basis. Related fees are recorded as administrative expenses and are expensed when they are incurred. No allowance for credit losses has been recorded as of December 31, 2012 and 2011. If a participant ceases to make loan repayments and the Plan Administrator deems the participant loan to be in default, the participant loan balance is reduced and a benefit payment is recorded.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 Values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Individual participant accounts for the Fidelity Advisor Stable Value Fund, a common/collective trust fund, are maintained on a unit value basis. Participants do not have beneficial ownership in the specific underlying securities or other assets in the fund, but do have an interest therein represented by units valued daily. The fund earns dividends and interest which are automatically reinvested in additional units. Generally, contributions to and withdrawals from each fund are converted to units by dividing the amounts of such transactions by the unit values as last determined, and the participants’ accounts are charged or credited with the number of units properly attributable to each participant.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17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accordance with the Plan, all administrative expenses may be paid out of the Plan unless paid by the Company. During 2012, there were no expenses paid by the Company. Fees related to the administration of notes receivable from participants are charged directly to the participant’s account and are included in administrative expenses. Investment related expenses are included in net appreciation of fair value of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Fair value measurements</w:t>
      </w:r>
      <w:r>
        <w:rPr>
          <w:rFonts w:ascii="Arial" w:cs="Arial" w:eastAsia="Arial" w:hAnsi="Arial"/>
          <w:sz w:val="18"/>
          <w:szCs w:val="18"/>
          <w:color w:val="auto"/>
        </w:rPr>
        <w:t xml:space="preserve"> – In May 2011, the Financial Accounting Standards Board (“FASB”) issued guidance which amends Accounting Standards Codification (“ASC”) 820. This guidance requires the categorization by level for items that are only required to be disclosed at fair value and information about transfers between Level 1 and Level 2. In addition, it provides guidance on measuring the fair value of financial instruments managed within a portfolio and the application of premiums and discounts on fair value measurements. The guidance requires additional disclosure for Level 3 measurements regarding the sensitivity of fair value to changes in unobservable inputs and any interrelationships between those inputs. The new guidance is effective for reporting periods beginning after December 15, 2011. Net assets available for benefits and changes in net assets available for benefits of the Plan were not affected by the adoption of the new guidance.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 </w:t>
      </w:r>
      <w:r>
        <w:rPr>
          <w:rFonts w:ascii="Arial" w:cs="Arial" w:eastAsia="Arial" w:hAnsi="Arial"/>
          <w:sz w:val="18"/>
          <w:szCs w:val="18"/>
          <w:u w:val="single" w:color="auto"/>
          <w:color w:val="auto"/>
        </w:rPr>
        <w:t>Investments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During 2012, the Plan’s investments (including gains and losses on investments bought and sold, as well as held during the year) appreciated in fair value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20"/>
                <w:szCs w:val="20"/>
                <w:color w:val="auto"/>
              </w:rPr>
            </w:pPr>
            <w:r>
              <w:rPr>
                <w:rFonts w:ascii="Arial" w:cs="Arial" w:eastAsia="Arial" w:hAnsi="Arial"/>
                <w:sz w:val="18"/>
                <w:szCs w:val="18"/>
                <w:color w:val="auto"/>
              </w:rPr>
              <w:t>Common Stock</w:t>
            </w:r>
          </w:p>
        </w:tc>
        <w:tc>
          <w:tcPr>
            <w:tcW w:w="4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699,931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520" w:type="dxa"/>
            <w:vAlign w:val="bottom"/>
            <w:vMerge w:val="restart"/>
          </w:tcPr>
          <w:p>
            <w:pPr>
              <w:jc w:val="right"/>
              <w:ind w:right="2972"/>
              <w:spacing w:after="0"/>
              <w:rPr>
                <w:sz w:val="20"/>
                <w:szCs w:val="20"/>
                <w:color w:val="auto"/>
              </w:rPr>
            </w:pPr>
            <w:r>
              <w:rPr>
                <w:rFonts w:ascii="Arial" w:cs="Arial" w:eastAsia="Arial" w:hAnsi="Arial"/>
                <w:sz w:val="18"/>
                <w:szCs w:val="18"/>
                <w:color w:val="auto"/>
              </w:rPr>
              <w:t>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46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 </w:t>
      </w:r>
      <w:r>
        <w:rPr>
          <w:rFonts w:ascii="Arial" w:cs="Arial" w:eastAsia="Arial" w:hAnsi="Arial"/>
          <w:sz w:val="18"/>
          <w:szCs w:val="18"/>
          <w:u w:val="single" w:color="auto"/>
          <w:color w:val="auto"/>
        </w:rPr>
        <w:t>Investments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2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54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2012</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Fidelity Advisor Stable Value Fund *</w:t>
            </w:r>
          </w:p>
        </w:tc>
        <w:tc>
          <w:tcPr>
            <w:tcW w:w="17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$3,787,201</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$4,136,530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Fidelity Advisor Freedom 2005</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884,613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979,165</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JP Morgan Equity Index</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1,018,056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993,485</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Fidelity Advisor Freedom 2010</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722,654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760,934</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Federated Bond Fund</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596,150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41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The amount represents contract value for this investment.</w:t>
            </w: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Not applicable, investment amount is below 5%.</w:t>
            </w:r>
          </w:p>
        </w:tc>
        <w:tc>
          <w:tcPr>
            <w:tcW w:w="1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 </w:t>
      </w:r>
      <w:r>
        <w:rPr>
          <w:rFonts w:ascii="Arial" w:cs="Arial" w:eastAsia="Arial" w:hAnsi="Arial"/>
          <w:sz w:val="18"/>
          <w:szCs w:val="18"/>
          <w:u w:val="single" w:color="auto"/>
          <w:color w:val="auto"/>
        </w:rPr>
        <w:t>Non Participant Directed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Information about the net assets and the significant components of the changes in net assets relating to the non participant directed investments are as follows:</w:t>
      </w:r>
    </w:p>
    <w:p>
      <w:pPr>
        <w:spacing w:after="0" w:line="242"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December 31,</w:t>
      </w:r>
    </w:p>
    <w:p>
      <w:pPr>
        <w:ind w:left="8600"/>
        <w:spacing w:after="0" w:line="230" w:lineRule="auto"/>
        <w:tabs>
          <w:tab w:leader="none" w:pos="956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-2540</wp:posOffset>
            </wp:positionV>
            <wp:extent cx="55054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202"/>
        </w:trPr>
        <w:tc>
          <w:tcPr>
            <w:tcW w:w="5000" w:type="dxa"/>
            <w:vAlign w:val="bottom"/>
          </w:tcPr>
          <w:p>
            <w:pPr>
              <w:spacing w:after="0" w:line="202" w:lineRule="exact"/>
              <w:rPr>
                <w:sz w:val="20"/>
                <w:szCs w:val="20"/>
                <w:color w:val="auto"/>
              </w:rPr>
            </w:pPr>
            <w:r>
              <w:rPr>
                <w:rFonts w:ascii="Arial" w:cs="Arial" w:eastAsia="Arial" w:hAnsi="Arial"/>
                <w:sz w:val="18"/>
                <w:szCs w:val="18"/>
                <w:color w:val="auto"/>
              </w:rPr>
              <w:t>Net Assets:</w:t>
            </w:r>
          </w:p>
        </w:tc>
        <w:tc>
          <w:tcPr>
            <w:tcW w:w="28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5000" w:type="dxa"/>
            <w:vAlign w:val="bottom"/>
          </w:tcPr>
          <w:p>
            <w:pPr>
              <w:ind w:left="440"/>
              <w:spacing w:after="0"/>
              <w:rPr>
                <w:sz w:val="20"/>
                <w:szCs w:val="20"/>
                <w:color w:val="auto"/>
              </w:rPr>
            </w:pPr>
            <w:r>
              <w:rPr>
                <w:rFonts w:ascii="Arial" w:cs="Arial" w:eastAsia="Arial" w:hAnsi="Arial"/>
                <w:sz w:val="18"/>
                <w:szCs w:val="18"/>
                <w:color w:val="auto"/>
              </w:rPr>
              <w:t>Fidelity Advisor Stable Value Fund</w:t>
            </w:r>
          </w:p>
        </w:tc>
        <w:tc>
          <w:tcPr>
            <w:tcW w:w="2860" w:type="dxa"/>
            <w:vAlign w:val="bottom"/>
          </w:tcPr>
          <w:p>
            <w:pPr>
              <w:jc w:val="right"/>
              <w:ind w:right="132"/>
              <w:spacing w:after="0"/>
              <w:rPr>
                <w:sz w:val="20"/>
                <w:szCs w:val="20"/>
                <w:color w:val="auto"/>
              </w:rPr>
            </w:pPr>
            <w:r>
              <w:rPr>
                <w:rFonts w:ascii="Arial" w:cs="Arial" w:eastAsia="Arial" w:hAnsi="Arial"/>
                <w:sz w:val="18"/>
                <w:szCs w:val="18"/>
                <w:color w:val="auto"/>
              </w:rPr>
              <w:t>$21,965</w:t>
            </w:r>
          </w:p>
        </w:tc>
        <w:tc>
          <w:tcPr>
            <w:tcW w:w="720" w:type="dxa"/>
            <w:vAlign w:val="bottom"/>
          </w:tcPr>
          <w:p>
            <w:pPr>
              <w:jc w:val="right"/>
              <w:spacing w:after="0"/>
              <w:rPr>
                <w:sz w:val="20"/>
                <w:szCs w:val="20"/>
                <w:color w:val="auto"/>
              </w:rPr>
            </w:pPr>
            <w:r>
              <w:rPr>
                <w:rFonts w:ascii="Arial" w:cs="Arial" w:eastAsia="Arial" w:hAnsi="Arial"/>
                <w:sz w:val="18"/>
                <w:szCs w:val="18"/>
                <w:color w:val="auto"/>
              </w:rPr>
              <w:t>$2,474</w:t>
            </w:r>
          </w:p>
        </w:tc>
      </w:tr>
    </w:tbl>
    <w:p>
      <w:pPr>
        <w:spacing w:after="0" w:line="192" w:lineRule="exact"/>
        <w:rPr>
          <w:sz w:val="20"/>
          <w:szCs w:val="20"/>
          <w:color w:val="auto"/>
        </w:rPr>
      </w:pP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Dividend income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Current year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5"/>
          <w:szCs w:val="15"/>
          <w:color w:val="auto"/>
        </w:rPr>
        <w:t>Forfeitures used to reduce prior year employer match</w:t>
      </w:r>
    </w:p>
    <w:p>
      <w:pPr>
        <w:spacing w:after="0" w:line="4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Administrative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w:t>
      </w:r>
    </w:p>
    <w:p>
      <w:pPr>
        <w:spacing w:after="0" w:line="20" w:lineRule="exact"/>
        <w:rPr>
          <w:sz w:val="20"/>
          <w:szCs w:val="20"/>
          <w:color w:val="auto"/>
        </w:rPr>
      </w:pPr>
      <w:r>
        <w:rPr>
          <w:sz w:val="20"/>
          <w:szCs w:val="20"/>
          <w:color w:val="auto"/>
        </w:rPr>
        <w:br w:type="column"/>
      </w:r>
    </w:p>
    <w:p>
      <w:pPr>
        <w:jc w:val="center"/>
        <w:ind w:right="1460"/>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jc w:val="center"/>
        <w:ind w:right="1460"/>
        <w:spacing w:after="0"/>
        <w:rPr>
          <w:sz w:val="20"/>
          <w:szCs w:val="20"/>
          <w:color w:val="auto"/>
        </w:rPr>
      </w:pPr>
      <w:r>
        <w:rPr>
          <w:rFonts w:ascii="Arial" w:cs="Arial" w:eastAsia="Arial" w:hAnsi="Arial"/>
          <w:sz w:val="12"/>
          <w:szCs w:val="12"/>
          <w:b w:val="1"/>
          <w:bCs w:val="1"/>
          <w:color w:val="auto"/>
        </w:rPr>
        <w:t>December 31,</w:t>
      </w:r>
    </w:p>
    <w:p>
      <w:pPr>
        <w:spacing w:after="0" w:line="10"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2012</w:t>
      </w:r>
    </w:p>
    <w:p>
      <w:pPr>
        <w:spacing w:after="0" w:line="195" w:lineRule="exact"/>
        <w:rPr>
          <w:sz w:val="20"/>
          <w:szCs w:val="20"/>
          <w:color w:val="auto"/>
        </w:rPr>
      </w:pPr>
    </w:p>
    <w:p>
      <w:pPr>
        <w:ind w:left="620" w:hanging="616"/>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40</w:t>
      </w:r>
    </w:p>
    <w:p>
      <w:pPr>
        <w:spacing w:after="0" w:line="1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6"/>
          <w:szCs w:val="16"/>
          <w:color w:val="auto"/>
        </w:rPr>
        <w:t>21,458</w:t>
      </w:r>
    </w:p>
    <w:p>
      <w:pPr>
        <w:spacing w:after="0" w:line="3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(2,000)</w:t>
      </w:r>
    </w:p>
    <w:p>
      <w:pPr>
        <w:spacing w:after="0" w:line="3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5060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33" w:lineRule="exact"/>
        <w:rPr>
          <w:sz w:val="20"/>
          <w:szCs w:val="20"/>
          <w:color w:val="auto"/>
        </w:rPr>
      </w:pPr>
    </w:p>
    <w:p>
      <w:pPr>
        <w:ind w:left="320" w:hanging="316"/>
        <w:spacing w:after="0"/>
        <w:tabs>
          <w:tab w:leader="none" w:pos="320" w:val="left"/>
        </w:tabs>
        <w:numPr>
          <w:ilvl w:val="0"/>
          <w:numId w:val="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19,491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5060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626" w:lineRule="exact"/>
        <w:rPr>
          <w:sz w:val="20"/>
          <w:szCs w:val="20"/>
          <w:color w:val="auto"/>
        </w:rPr>
      </w:pPr>
    </w:p>
    <w:p>
      <w:pPr>
        <w:sectPr>
          <w:pgSz w:w="11900" w:h="16838" w:orient="portrait"/>
          <w:cols w:equalWidth="0" w:num="2">
            <w:col w:w="8420" w:space="720"/>
            <w:col w:w="2260"/>
          </w:cols>
          <w:pgMar w:left="240" w:top="459" w:right="259" w:bottom="1440" w:gutter="0" w:footer="0" w:header="0"/>
          <w:type w:val="continuous"/>
        </w:sectPr>
      </w:pPr>
    </w:p>
    <w:p>
      <w:pPr>
        <w:spacing w:after="0" w:line="256" w:lineRule="auto"/>
        <w:rPr>
          <w:sz w:val="20"/>
          <w:szCs w:val="20"/>
          <w:color w:val="auto"/>
        </w:rPr>
      </w:pPr>
      <w:r>
        <w:rPr>
          <w:rFonts w:ascii="Arial" w:cs="Arial" w:eastAsia="Arial" w:hAnsi="Arial"/>
          <w:sz w:val="18"/>
          <w:szCs w:val="18"/>
          <w:color w:val="auto"/>
        </w:rPr>
        <w:t xml:space="preserve">The Plan measures fair value in accordance with FASB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which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spacing w:after="0" w:line="62" w:lineRule="exact"/>
        <w:rPr>
          <w:sz w:val="20"/>
          <w:szCs w:val="20"/>
          <w:color w:val="auto"/>
        </w:rPr>
      </w:pPr>
    </w:p>
    <w:p>
      <w:pPr>
        <w:ind w:left="680" w:right="520" w:hanging="674"/>
        <w:spacing w:after="0" w:line="268" w:lineRule="auto"/>
        <w:tabs>
          <w:tab w:leader="none" w:pos="660"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Plan has the ability to access.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90" w:lineRule="exact"/>
        <w:rPr>
          <w:sz w:val="20"/>
          <w:szCs w:val="20"/>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15"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marker data by correlation or other means.</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If the asset or liability has a specified (contractual) term, the Level 2 input must be observable for substantially the full term or the asset or liability.</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to the valuation methodology are unobservable and significant to the fair value measurement.</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8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2012 and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the closing price reported on the active market on which the individual securities are traded.</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daily closing price as reported by the fund. Mutual funds held by the Plan are open-end mutual funds that are registered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These funds are required to publish their daily Net Asset Value (“NAV”) and to transact at that price. The mutual funds held by the Plan are deemed to be actively traded.</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Common/collective trust fund: </w:t>
      </w:r>
      <w:r>
        <w:rPr>
          <w:rFonts w:ascii="Arial" w:cs="Arial" w:eastAsia="Arial" w:hAnsi="Arial"/>
          <w:sz w:val="16"/>
          <w:szCs w:val="16"/>
          <w:color w:val="auto"/>
        </w:rPr>
        <w:t>Valued at the NAV of units of a bank collective trust. The NAV, as provided by the trustee, is used as a practical expedient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fair value. The NAV is based on the fair value of the underlying investments held by the fund less its liabilities. This practical expedient is not used when it is determined to be probable that the fund will sell the investment for an amount different than the reported NAV.</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15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by level, within the fair value hierarchy, the Plan’s investments at fair value as of December 31, 2012 and 2011:</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Investments at Fair Value as of December 31, 2012</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26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$1,902,896</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1,902,896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395,690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129,145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520,488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3,252,558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3,252,558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2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1,111,299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1,111,299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60" w:type="dxa"/>
            <w:vAlign w:val="bottom"/>
          </w:tcPr>
          <w:p>
            <w:pPr>
              <w:ind w:left="860"/>
              <w:spacing w:after="0"/>
              <w:rPr>
                <w:sz w:val="20"/>
                <w:szCs w:val="20"/>
                <w:color w:val="auto"/>
              </w:rPr>
            </w:pPr>
            <w:r>
              <w:rPr>
                <w:rFonts w:ascii="Arial" w:cs="Arial" w:eastAsia="Arial" w:hAnsi="Arial"/>
                <w:sz w:val="18"/>
                <w:szCs w:val="18"/>
                <w:color w:val="auto"/>
              </w:rPr>
              <w:t>Total mutual funds</w:t>
            </w:r>
          </w:p>
        </w:tc>
        <w:tc>
          <w:tcPr>
            <w:tcW w:w="26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7,312,076</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7,312,076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Retail</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88,782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w:t>
            </w:r>
          </w:p>
        </w:tc>
        <w:tc>
          <w:tcPr>
            <w:tcW w:w="2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26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3,918,435</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3,918,435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7,400,858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3,918,435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11,319,293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40" w:type="dxa"/>
            <w:vAlign w:val="bottom"/>
            <w:vMerge w:val="restart"/>
          </w:tcPr>
          <w:p>
            <w:pPr>
              <w:jc w:val="right"/>
              <w:ind w:right="892"/>
              <w:spacing w:after="0"/>
              <w:rPr>
                <w:sz w:val="20"/>
                <w:szCs w:val="20"/>
                <w:color w:val="auto"/>
              </w:rPr>
            </w:pPr>
            <w:r>
              <w:rPr>
                <w:rFonts w:ascii="Arial" w:cs="Arial" w:eastAsia="Arial" w:hAnsi="Arial"/>
                <w:sz w:val="18"/>
                <w:szCs w:val="18"/>
                <w:color w:val="auto"/>
              </w:rPr>
              <w:t>12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Investments at Fair Value as of December 31, 2011</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jc w:val="right"/>
              <w:ind w:right="99"/>
              <w:spacing w:after="0"/>
              <w:rPr>
                <w:sz w:val="20"/>
                <w:szCs w:val="20"/>
                <w:color w:val="auto"/>
              </w:rPr>
            </w:pPr>
            <w:r>
              <w:rPr>
                <w:rFonts w:ascii="Arial" w:cs="Arial" w:eastAsia="Arial" w:hAnsi="Arial"/>
                <w:sz w:val="14"/>
                <w:szCs w:val="14"/>
                <w:color w:val="auto"/>
              </w:rPr>
              <w:t>Level 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Level 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2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$1,715,978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1,715,978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324,058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175,212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436,242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2,869,288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2,869,288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20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718,860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40" w:type="dxa"/>
            <w:vAlign w:val="bottom"/>
          </w:tcPr>
          <w:p>
            <w:pPr>
              <w:ind w:left="860"/>
              <w:spacing w:after="0"/>
              <w:rPr>
                <w:sz w:val="20"/>
                <w:szCs w:val="20"/>
                <w:color w:val="auto"/>
              </w:rPr>
            </w:pPr>
            <w:r>
              <w:rPr>
                <w:rFonts w:ascii="Arial" w:cs="Arial" w:eastAsia="Arial" w:hAnsi="Arial"/>
                <w:sz w:val="18"/>
                <w:szCs w:val="18"/>
                <w:color w:val="auto"/>
              </w:rPr>
              <w:t>Total mutual funds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6,239,638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6,239,638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104,201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20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4,272,941</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4,272,941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6,343,839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4,272,941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10,616,780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 </w:t>
      </w:r>
      <w:r>
        <w:rPr>
          <w:rFonts w:ascii="Arial" w:cs="Arial" w:eastAsia="Arial" w:hAnsi="Arial"/>
          <w:sz w:val="18"/>
          <w:szCs w:val="18"/>
          <w:u w:val="single" w:color="auto"/>
          <w:color w:val="auto"/>
        </w:rPr>
        <w:t>Common Collective Trust Fund</w:t>
      </w:r>
    </w:p>
    <w:p>
      <w:pPr>
        <w:spacing w:after="0" w:line="171"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The Fidelity Advisor Stable Value Fund is a common/collective trust fund that is considered to be a stable value fund with underlying investments in investment contracts and is valued at fair value and then adjusted by the issuer to contract value. The net asset value of the stable value fund is the fair market value of its underlying investments and contract value is principal plus accrued interest. The Fidelity Advisor Stable Value Fund is a stable value fund that is an open-end commingled pool dedicated exclusively to the management of assets of defined contribution plans. The Fidelity Advisor Stable Value Fund’s Investment objective is to seek preservation of capital and a competitive level of income over time. To achieve its investment objective, the Fidelity Advisor Stable Value Fund invests in underlying assets (typically fixed income securities or bond funds and may include derivative instruments such as futures contracts and swap agreements) and enters into a “wrapper” contract issued by a third party. Participants may ordinarily direct the withdrawal or transfer of all or a portion of their investment at contract value. However, certain events limit the ability of the Plan to transact at contract with the issuer. Such events include the following:</w:t>
      </w:r>
    </w:p>
    <w:p>
      <w:pPr>
        <w:spacing w:after="0" w:line="6" w:lineRule="exact"/>
        <w:rPr>
          <w:sz w:val="20"/>
          <w:szCs w:val="20"/>
          <w:color w:val="auto"/>
        </w:rPr>
      </w:pPr>
    </w:p>
    <w:p>
      <w:pPr>
        <w:ind w:firstLine="8"/>
        <w:spacing w:after="0" w:line="302"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amendment to the Plan document (including complete or partial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 </w:t>
      </w:r>
      <w:r>
        <w:rPr>
          <w:rFonts w:ascii="Arial" w:cs="Arial" w:eastAsia="Arial" w:hAnsi="Arial"/>
          <w:sz w:val="18"/>
          <w:szCs w:val="18"/>
          <w:u w:val="single" w:color="auto"/>
          <w:color w:val="auto"/>
        </w:rPr>
        <w:t>Common Collective Trust Fund (continued)</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taxes or any required prohibited transaction exemption under ERISA. The Plan Administrator does not believe that any events which would limit the Plan’s ability to transact at contract value with Plan participants are probable of occurring. Contract value represents contributions made to the fund, plus earnings, less participant withdrawals.</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common/collective trust fund has certain restrictions on withdrawals and transfers as follows: Withdrawals directed by the Company must be preceded by twelve months written notice to the Trustee; provided, however, that the Trustee may, in its discretion complete any plan-level withdrawals before the expiration of such twelve month period. Withdrawals made in order to accommodate distribution to participants, whether in-service or following termination of employment may be made on any business day. Withdrawals made in order to accommodate a participant-directed exchange to another investment option may be made on any business day, provided that the exchange is not directed to a competing fund (money market funds or certain other types of fixed income funds). Transferred amounts must be held in a non-competing investment option for 90 days before subsequent transfers to a competing fund can occur.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 </w:t>
      </w:r>
      <w:r>
        <w:rPr>
          <w:rFonts w:ascii="Arial" w:cs="Arial" w:eastAsia="Arial" w:hAnsi="Arial"/>
          <w:sz w:val="18"/>
          <w:szCs w:val="18"/>
          <w:u w:val="single" w:color="auto"/>
          <w:color w:val="auto"/>
        </w:rPr>
        <w:t>Related Party and Party-In-Interest Transactions</w:t>
      </w:r>
    </w:p>
    <w:p>
      <w:pPr>
        <w:spacing w:after="0" w:line="17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Plan owned 21,139 and 30,468 shares of Destination XL Group, Inc. valued at $88,782 and $104,201 at December 31, 2012 and 2011, respectively. Additionally, certain Plan investments are shares of mutual funds and units in the Fidelity Advisor Stable Value Fund managed by Fidelity Management Trust Company who is the Trustee as defined by the Plan, and therefore, these transactions qualify as party-in-interest transactions. Fees incurred by the Plan for the investment management services are included in net appreciation in fair value of the investments, as they are paid through revenue sharing, rather than a direct payment.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 </w:t>
      </w:r>
      <w:r>
        <w:rPr>
          <w:rFonts w:ascii="Arial" w:cs="Arial" w:eastAsia="Arial" w:hAnsi="Arial"/>
          <w:sz w:val="18"/>
          <w:szCs w:val="18"/>
          <w:u w:val="single" w:color="auto"/>
          <w:color w:val="auto"/>
        </w:rPr>
        <w:t>Risks and Uncertainties</w:t>
      </w:r>
    </w:p>
    <w:p>
      <w:pPr>
        <w:spacing w:after="0" w:line="17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 </w:t>
      </w:r>
      <w:r>
        <w:rPr>
          <w:rFonts w:ascii="Arial" w:cs="Arial" w:eastAsia="Arial" w:hAnsi="Arial"/>
          <w:sz w:val="18"/>
          <w:szCs w:val="18"/>
          <w:u w:val="single" w:color="auto"/>
          <w:color w:val="auto"/>
        </w:rPr>
        <w:t>Income Tax Status</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March 31, 2008 stating that the form of the Plan is qualified under Section 401 of the Code and, therefore, the related trust tax-exempt. In accordance with Revenue Procedure 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tax position that more likely than not would not be sustained upon examination by the taxing authorities. The Plan Administrator has analyzed the tax positions taken by the Plan, and has concluded that as of December 31, 2012, there are no uncertain positions taken or expected to be taken that would require recognition of a liability (or asset) or disclosure in the financial statements. The Plan is subject to routine audits by taxing jurisdiction; however, there are currently no audits for any tax periods in progress. The Plan Administrator believes it is no longer subject to income tax examinations for years prior to 2009.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 </w:t>
      </w:r>
      <w:r>
        <w:rPr>
          <w:rFonts w:ascii="Arial" w:cs="Arial" w:eastAsia="Arial" w:hAnsi="Arial"/>
          <w:sz w:val="18"/>
          <w:szCs w:val="18"/>
          <w:u w:val="single" w:color="auto"/>
          <w:color w:val="auto"/>
        </w:rPr>
        <w:t>Delinquent Participant Contributions</w:t>
      </w:r>
    </w:p>
    <w:p>
      <w:pPr>
        <w:spacing w:after="0" w:line="17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Defined contribution plans are required to remit employee contributions to the Plan as soon as they can be reasonably segregated from the employer’s general assets. While the Company remitted all employee contributions to the Plan, contributions of $50 were not remitted within the required time period for the year ended December 31, 2012. The Company has remitted these delinquent employee contributions, including any lost earnings as a result subsequent to December 31, 2012.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11 – </w:t>
      </w:r>
      <w:r>
        <w:rPr>
          <w:rFonts w:ascii="Arial" w:cs="Arial" w:eastAsia="Arial" w:hAnsi="Arial"/>
          <w:sz w:val="18"/>
          <w:szCs w:val="18"/>
          <w:u w:val="single" w:color="auto"/>
          <w:color w:val="auto"/>
        </w:rPr>
        <w:t>Reconciliation of Financial Statement to Form 5500</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as of December 31, 2012 and 2011:</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120" w:type="dxa"/>
            <w:vAlign w:val="bottom"/>
            <w:gridSpan w:val="2"/>
          </w:tcPr>
          <w:p>
            <w:pPr>
              <w:jc w:val="right"/>
              <w:ind w:right="232"/>
              <w:spacing w:after="0"/>
              <w:rPr>
                <w:sz w:val="20"/>
                <w:szCs w:val="20"/>
                <w:color w:val="auto"/>
              </w:rPr>
            </w:pPr>
            <w:r>
              <w:rPr>
                <w:rFonts w:ascii="Arial" w:cs="Arial" w:eastAsia="Arial" w:hAnsi="Arial"/>
                <w:sz w:val="14"/>
                <w:szCs w:val="14"/>
                <w:color w:val="auto"/>
              </w:rPr>
              <w:t>2012</w:t>
            </w:r>
          </w:p>
        </w:tc>
        <w:tc>
          <w:tcPr>
            <w:tcW w:w="1320" w:type="dxa"/>
            <w:vAlign w:val="bottom"/>
            <w:gridSpan w:val="2"/>
          </w:tcPr>
          <w:p>
            <w:pPr>
              <w:jc w:val="right"/>
              <w:ind w:right="23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$ 11,867,217</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$ 11,105,767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3"/>
              </w:rPr>
              <w:t>Adjustment from fair value to contract value for fully benefit-responsive investment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contract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131,234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136,411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11,998,451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11,242,178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is a reconciliation of net appreciation in fair value of investments, dividend income, and interest on notes receivable from participants for the year ended December 31, 2012 per the financial statements to Form 5500:</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6"/>
              </w:rPr>
              <w:t>Net appreciation in fair value of investments, dividend income, and interest income on</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receivable from participants per the financial statements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$ 934,226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620" w:type="dxa"/>
            <w:vAlign w:val="bottom"/>
            <w:gridSpan w:val="2"/>
          </w:tcPr>
          <w:p>
            <w:pPr>
              <w:spacing w:after="0"/>
              <w:rPr>
                <w:sz w:val="20"/>
                <w:szCs w:val="20"/>
                <w:color w:val="auto"/>
              </w:rPr>
            </w:pPr>
            <w:r>
              <w:rPr>
                <w:rFonts w:ascii="Arial" w:cs="Arial" w:eastAsia="Arial" w:hAnsi="Arial"/>
                <w:sz w:val="18"/>
                <w:szCs w:val="18"/>
                <w:color w:val="auto"/>
                <w:w w:val="94"/>
              </w:rPr>
              <w:t>Add: Adjustment from fair value to contract value for fully benefit-responsive investment</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contracts in 2012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131,234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Adjustment from fair value to contract value for fully benefit-responsive investment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in 2011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(136,411)</w:t>
            </w:r>
          </w:p>
        </w:tc>
        <w:tc>
          <w:tcPr>
            <w:tcW w:w="0" w:type="dxa"/>
            <w:vAlign w:val="bottom"/>
          </w:tcPr>
          <w:p>
            <w:pPr>
              <w:spacing w:after="0"/>
              <w:rPr>
                <w:sz w:val="1"/>
                <w:szCs w:val="1"/>
                <w:color w:val="auto"/>
              </w:rPr>
            </w:pPr>
          </w:p>
        </w:tc>
      </w:tr>
      <w:tr>
        <w:trPr>
          <w:trHeight w:val="323"/>
        </w:trPr>
        <w:tc>
          <w:tcPr>
            <w:tcW w:w="6620" w:type="dxa"/>
            <w:vAlign w:val="bottom"/>
            <w:gridSpan w:val="2"/>
          </w:tcPr>
          <w:p>
            <w:pPr>
              <w:spacing w:after="0"/>
              <w:rPr>
                <w:sz w:val="20"/>
                <w:szCs w:val="20"/>
                <w:color w:val="auto"/>
              </w:rPr>
            </w:pPr>
            <w:r>
              <w:rPr>
                <w:rFonts w:ascii="Arial" w:cs="Arial" w:eastAsia="Arial" w:hAnsi="Arial"/>
                <w:sz w:val="18"/>
                <w:szCs w:val="18"/>
                <w:color w:val="auto"/>
                <w:w w:val="96"/>
              </w:rPr>
              <w:t>Net appreciation in fair value of investments, dividend income, and interest income on</w:t>
            </w:r>
          </w:p>
        </w:tc>
        <w:tc>
          <w:tcPr>
            <w:tcW w:w="3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notes receivable from participants per Form 5500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$ 929,049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jc w:val="right"/>
              <w:ind w:right="2572"/>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2399"/>
        <w:spacing w:after="0"/>
        <w:rPr>
          <w:sz w:val="20"/>
          <w:szCs w:val="20"/>
          <w:color w:val="auto"/>
        </w:rPr>
      </w:pPr>
      <w:r>
        <w:rPr>
          <w:rFonts w:ascii="Arial" w:cs="Arial" w:eastAsia="Arial" w:hAnsi="Arial"/>
          <w:sz w:val="18"/>
          <w:szCs w:val="18"/>
          <w:color w:val="auto"/>
        </w:rPr>
        <w:t>Casual Male Retail Group, Inc. 401(k) Hourly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SUPPLEMENTAL SCHEDULES</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5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4i—Schedule of Assets (Held at End of Year)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Identity of Issue,</w:t>
            </w:r>
          </w:p>
        </w:tc>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Borrower, Lessor,</w:t>
            </w:r>
          </w:p>
        </w:tc>
        <w:tc>
          <w:tcPr>
            <w:tcW w:w="7940" w:type="dxa"/>
            <w:vAlign w:val="bottom"/>
            <w:gridSpan w:val="2"/>
          </w:tcPr>
          <w:p>
            <w:pPr>
              <w:ind w:left="2480"/>
              <w:spacing w:after="0" w:line="149" w:lineRule="exact"/>
              <w:rPr>
                <w:sz w:val="20"/>
                <w:szCs w:val="20"/>
                <w:color w:val="auto"/>
              </w:rPr>
            </w:pPr>
            <w:r>
              <w:rPr>
                <w:rFonts w:ascii="Arial" w:cs="Arial" w:eastAsia="Arial" w:hAnsi="Arial"/>
                <w:sz w:val="14"/>
                <w:szCs w:val="14"/>
                <w:b w:val="1"/>
                <w:bCs w:val="1"/>
                <w:color w:val="auto"/>
              </w:rPr>
              <w:t>Description of investment including maturity date,</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or Similar Party</w:t>
            </w:r>
          </w:p>
        </w:tc>
        <w:tc>
          <w:tcPr>
            <w:tcW w:w="7940" w:type="dxa"/>
            <w:vAlign w:val="bottom"/>
            <w:gridSpan w:val="2"/>
          </w:tcPr>
          <w:p>
            <w:pPr>
              <w:ind w:left="2540"/>
              <w:spacing w:after="0"/>
              <w:rPr>
                <w:sz w:val="20"/>
                <w:szCs w:val="20"/>
                <w:color w:val="auto"/>
              </w:rPr>
            </w:pPr>
            <w:r>
              <w:rPr>
                <w:rFonts w:ascii="Arial" w:cs="Arial" w:eastAsia="Arial" w:hAnsi="Arial"/>
                <w:sz w:val="14"/>
                <w:szCs w:val="14"/>
                <w:b w:val="1"/>
                <w:bCs w:val="1"/>
                <w:color w:val="auto"/>
              </w:rPr>
              <w:t>rate of interest, collateral, par, or maturity value</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Shares/Units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Current Value</w:t>
            </w:r>
          </w:p>
        </w:tc>
      </w:tr>
      <w:tr>
        <w:trPr>
          <w:trHeight w:val="210"/>
        </w:trPr>
        <w:tc>
          <w:tcPr>
            <w:tcW w:w="9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Commingled funds held through Fidelity Investments:</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Stable Value Fund (1)</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3,787,201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3,918,435</w:t>
            </w:r>
          </w:p>
        </w:tc>
        <w:tc>
          <w:tcPr>
            <w:tcW w:w="100" w:type="dxa"/>
            <w:vAlign w:val="bottom"/>
          </w:tcPr>
          <w:p>
            <w:pPr>
              <w:spacing w:after="0"/>
              <w:rPr>
                <w:sz w:val="18"/>
                <w:szCs w:val="18"/>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held through Fidelity Investments: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Cash – interest bearing</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*Fidelity Advisor Leveraged Company Stock</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189,556</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Freedom 2010</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60,021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722,654</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*Fidelity Advisor Freedom 2020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24,540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306,991</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Freedom 2030</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81,163</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*Fidelity Advisor Freedom 2040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9,326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119,373</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 Fidelity Advisor Freedom Income</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25,194</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Fidelity Advisor New Insights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25,808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587,143</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Freedom 2005</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76,457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884,613</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*Fidelity Advisor Freedom 2015</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44,834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538,010</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Freedom 2025</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15,662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189,355</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*Fidelity Advisor Freedom 2035</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8,842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106,015</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Freedom 2045</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10,474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102,858</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*Fidelity Advisor Freedom 2050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15,903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154,894</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Freedom 2055</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21,438</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Templeton Global Bond Fund</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5,041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67,456</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Federated Bond Fund</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61,970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596,150</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Columbia Acorn International</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408,060</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Pioneer Equity Income</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10,640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297,697</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Prudential Jennison Mid Cap Growth Fund</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4,573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142,829</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Allianz NFJ International Value</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112,428</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American Century Investment Mid Cap Value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63,305</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Pioneer Oak Ridge Small Cap Growth Fund</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75,450</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JP Morgan High Yield Fund</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30,468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246,790</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JP Morgan Equity Index</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31,480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1,018,056</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Perkins Small Cap Value Fund</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53,695</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Franklin Strategic Income</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14,049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150,048</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Blackrock Inflation Protected Bond Fund</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49,607</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gridSpan w:val="3"/>
          </w:tcPr>
          <w:p>
            <w:pPr>
              <w:spacing w:after="0"/>
              <w:rPr>
                <w:sz w:val="20"/>
                <w:szCs w:val="20"/>
                <w:color w:val="auto"/>
              </w:rPr>
            </w:pPr>
            <w:r>
              <w:rPr>
                <w:rFonts w:ascii="Arial" w:cs="Arial" w:eastAsia="Arial" w:hAnsi="Arial"/>
                <w:sz w:val="18"/>
                <w:szCs w:val="18"/>
                <w:color w:val="auto"/>
              </w:rPr>
              <w:t>Common Stock held through Fidelity Investments:</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Destination XL Group, Inc.</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21,139</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88,782</w:t>
            </w:r>
          </w:p>
        </w:tc>
        <w:tc>
          <w:tcPr>
            <w:tcW w:w="100" w:type="dxa"/>
            <w:vAlign w:val="bottom"/>
            <w:shd w:val="clear" w:color="auto" w:fill="CCEEFF"/>
          </w:tcPr>
          <w:p>
            <w:pPr>
              <w:spacing w:after="0"/>
              <w:rPr>
                <w:sz w:val="18"/>
                <w:szCs w:val="18"/>
                <w:color w:val="auto"/>
              </w:rPr>
            </w:pPr>
          </w:p>
        </w:tc>
      </w:tr>
      <w:tr>
        <w:trPr>
          <w:trHeight w:val="221"/>
        </w:trPr>
        <w:tc>
          <w:tcPr>
            <w:tcW w:w="130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11,319,293</w:t>
            </w:r>
          </w:p>
        </w:tc>
        <w:tc>
          <w:tcPr>
            <w:tcW w:w="100" w:type="dxa"/>
            <w:vAlign w:val="bottom"/>
          </w:tcPr>
          <w:p>
            <w:pPr>
              <w:spacing w:after="0"/>
              <w:rPr>
                <w:sz w:val="19"/>
                <w:szCs w:val="19"/>
                <w:color w:val="auto"/>
              </w:rPr>
            </w:pPr>
          </w:p>
        </w:tc>
      </w:tr>
      <w:tr>
        <w:trPr>
          <w:trHeight w:val="218"/>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Notes receivable from participants: 4.75% – 9.25%</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403,460</w:t>
            </w:r>
          </w:p>
        </w:tc>
        <w:tc>
          <w:tcPr>
            <w:tcW w:w="100" w:type="dxa"/>
            <w:vAlign w:val="bottom"/>
            <w:shd w:val="clear" w:color="auto" w:fill="CCEEFF"/>
          </w:tcPr>
          <w:p>
            <w:pPr>
              <w:spacing w:after="0"/>
              <w:rPr>
                <w:sz w:val="18"/>
                <w:szCs w:val="18"/>
                <w:color w:val="auto"/>
              </w:rPr>
            </w:pPr>
          </w:p>
        </w:tc>
      </w:tr>
      <w:tr>
        <w:trPr>
          <w:trHeight w:val="222"/>
        </w:trPr>
        <w:tc>
          <w:tcPr>
            <w:tcW w:w="130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11,722,753</w:t>
            </w:r>
          </w:p>
        </w:tc>
        <w:tc>
          <w:tcPr>
            <w:tcW w:w="10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15" w:lineRule="exact"/>
        <w:rPr>
          <w:sz w:val="20"/>
          <w:szCs w:val="20"/>
          <w:color w:val="auto"/>
        </w:rPr>
      </w:pPr>
    </w:p>
    <w:p>
      <w:pPr>
        <w:ind w:left="5620" w:right="2420" w:hanging="5612"/>
        <w:spacing w:after="0" w:line="433" w:lineRule="auto"/>
        <w:tabs>
          <w:tab w:leader="none" w:pos="44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$21,965 of non participant-directed, unallocated forfeitures for which historical cost approximates current value. 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40"/>
        <w:spacing w:after="0"/>
        <w:rPr>
          <w:sz w:val="20"/>
          <w:szCs w:val="20"/>
          <w:color w:val="auto"/>
        </w:rPr>
      </w:pPr>
      <w:r>
        <w:rPr>
          <w:rFonts w:ascii="Arial" w:cs="Arial" w:eastAsia="Arial" w:hAnsi="Arial"/>
          <w:sz w:val="14"/>
          <w:szCs w:val="14"/>
          <w:color w:val="auto"/>
        </w:rPr>
        <w:t>Participant</w:t>
      </w:r>
    </w:p>
    <w:p>
      <w:pPr>
        <w:jc w:val="center"/>
        <w:ind w:right="1040"/>
        <w:spacing w:after="0"/>
        <w:rPr>
          <w:sz w:val="20"/>
          <w:szCs w:val="20"/>
          <w:color w:val="auto"/>
        </w:rPr>
      </w:pPr>
      <w:r>
        <w:rPr>
          <w:rFonts w:ascii="Arial" w:cs="Arial" w:eastAsia="Arial" w:hAnsi="Arial"/>
          <w:sz w:val="12"/>
          <w:szCs w:val="12"/>
          <w:color w:val="auto"/>
        </w:rPr>
        <w:t>Contributions</w:t>
      </w:r>
    </w:p>
    <w:p>
      <w:pPr>
        <w:jc w:val="center"/>
        <w:ind w:right="1040"/>
        <w:spacing w:after="0" w:line="237" w:lineRule="auto"/>
        <w:rPr>
          <w:sz w:val="20"/>
          <w:szCs w:val="20"/>
          <w:color w:val="auto"/>
        </w:rPr>
      </w:pPr>
      <w:r>
        <w:rPr>
          <w:rFonts w:ascii="Arial" w:cs="Arial" w:eastAsia="Arial" w:hAnsi="Arial"/>
          <w:sz w:val="14"/>
          <w:szCs w:val="14"/>
          <w:color w:val="auto"/>
        </w:rPr>
        <w:t>Transferred</w:t>
      </w:r>
    </w:p>
    <w:p>
      <w:pPr>
        <w:jc w:val="center"/>
        <w:ind w:right="1040"/>
        <w:spacing w:after="0" w:line="221" w:lineRule="auto"/>
        <w:rPr>
          <w:sz w:val="20"/>
          <w:szCs w:val="20"/>
          <w:color w:val="auto"/>
        </w:rPr>
      </w:pPr>
      <w:r>
        <w:rPr>
          <w:rFonts w:ascii="Arial" w:cs="Arial" w:eastAsia="Arial" w:hAnsi="Arial"/>
          <w:sz w:val="14"/>
          <w:szCs w:val="14"/>
          <w:color w:val="auto"/>
        </w:rPr>
        <w:t>Late to the</w:t>
      </w:r>
    </w:p>
    <w:p>
      <w:pPr>
        <w:jc w:val="center"/>
        <w:ind w:right="1040"/>
        <w:spacing w:after="0"/>
        <w:rPr>
          <w:sz w:val="20"/>
          <w:szCs w:val="20"/>
          <w:color w:val="auto"/>
        </w:rPr>
      </w:pPr>
      <w:r>
        <w:rPr>
          <w:rFonts w:ascii="Arial" w:cs="Arial" w:eastAsia="Arial" w:hAnsi="Arial"/>
          <w:sz w:val="14"/>
          <w:szCs w:val="14"/>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972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jc w:val="center"/>
        <w:ind w:right="1040"/>
        <w:spacing w:after="0"/>
        <w:rPr>
          <w:sz w:val="20"/>
          <w:szCs w:val="20"/>
          <w:color w:val="auto"/>
        </w:rPr>
      </w:pPr>
      <w:r>
        <w:rPr>
          <w:rFonts w:ascii="Arial" w:cs="Arial" w:eastAsia="Arial" w:hAnsi="Arial"/>
          <w:sz w:val="12"/>
          <w:szCs w:val="12"/>
          <w:color w:val="auto"/>
        </w:rPr>
        <w:t>Check here if</w:t>
      </w:r>
    </w:p>
    <w:p>
      <w:pPr>
        <w:jc w:val="center"/>
        <w:ind w:right="1040"/>
        <w:spacing w:after="0"/>
        <w:rPr>
          <w:sz w:val="20"/>
          <w:szCs w:val="20"/>
          <w:color w:val="auto"/>
        </w:rPr>
      </w:pPr>
      <w:r>
        <w:rPr>
          <w:rFonts w:ascii="Arial" w:cs="Arial" w:eastAsia="Arial" w:hAnsi="Arial"/>
          <w:sz w:val="14"/>
          <w:szCs w:val="14"/>
          <w:color w:val="auto"/>
        </w:rPr>
        <w:t>Late</w:t>
      </w:r>
    </w:p>
    <w:p>
      <w:pPr>
        <w:jc w:val="center"/>
        <w:ind w:right="1040"/>
        <w:spacing w:after="0" w:line="221" w:lineRule="auto"/>
        <w:rPr>
          <w:sz w:val="20"/>
          <w:szCs w:val="20"/>
          <w:color w:val="auto"/>
        </w:rPr>
      </w:pPr>
      <w:r>
        <w:rPr>
          <w:rFonts w:ascii="Arial" w:cs="Arial" w:eastAsia="Arial" w:hAnsi="Arial"/>
          <w:sz w:val="14"/>
          <w:szCs w:val="14"/>
          <w:color w:val="auto"/>
        </w:rPr>
        <w:t>Participant</w:t>
      </w:r>
    </w:p>
    <w:p>
      <w:pPr>
        <w:jc w:val="center"/>
        <w:ind w:right="1040"/>
        <w:spacing w:after="0" w:line="221" w:lineRule="auto"/>
        <w:rPr>
          <w:sz w:val="20"/>
          <w:szCs w:val="20"/>
          <w:color w:val="auto"/>
        </w:rPr>
      </w:pPr>
      <w:r>
        <w:rPr>
          <w:rFonts w:ascii="Arial" w:cs="Arial" w:eastAsia="Arial" w:hAnsi="Arial"/>
          <w:sz w:val="14"/>
          <w:szCs w:val="14"/>
          <w:color w:val="auto"/>
        </w:rPr>
        <w:t>Loan</w:t>
      </w:r>
    </w:p>
    <w:p>
      <w:pPr>
        <w:ind w:left="60"/>
        <w:spacing w:after="0" w:line="222" w:lineRule="auto"/>
        <w:rPr>
          <w:sz w:val="20"/>
          <w:szCs w:val="20"/>
          <w:color w:val="auto"/>
        </w:rPr>
      </w:pPr>
      <w:r>
        <w:rPr>
          <w:rFonts w:ascii="Arial" w:cs="Arial" w:eastAsia="Arial" w:hAnsi="Arial"/>
          <w:sz w:val="14"/>
          <w:szCs w:val="14"/>
          <w:color w:val="auto"/>
        </w:rPr>
        <w:t>Repayments</w:t>
      </w:r>
    </w:p>
    <w:p>
      <w:pPr>
        <w:ind w:left="40"/>
        <w:spacing w:after="0"/>
        <w:rPr>
          <w:sz w:val="20"/>
          <w:szCs w:val="20"/>
          <w:color w:val="auto"/>
        </w:rPr>
      </w:pPr>
      <w:r>
        <w:rPr>
          <w:rFonts w:ascii="Arial" w:cs="Arial" w:eastAsia="Arial" w:hAnsi="Arial"/>
          <w:sz w:val="14"/>
          <w:szCs w:val="14"/>
          <w:color w:val="auto"/>
        </w:rPr>
        <w:t>are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972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center"/>
        <w:ind w:left="620" w:right="2540"/>
        <w:spacing w:after="0" w:line="256" w:lineRule="auto"/>
        <w:rPr>
          <w:sz w:val="20"/>
          <w:szCs w:val="20"/>
          <w:color w:val="auto"/>
        </w:rPr>
      </w:pPr>
      <w:r>
        <w:rPr>
          <w:rFonts w:ascii="Arial" w:cs="Arial" w:eastAsia="Arial" w:hAnsi="Arial"/>
          <w:sz w:val="18"/>
          <w:szCs w:val="18"/>
          <w:color w:val="auto"/>
        </w:rPr>
        <w:t>Casual Male Retail Group, Inc. 401(k) Hourly Savings Plan EIN: 04-2623104/Plan Number: 005 Schedule H, Line 4a—Schedule of Delinquent Participant Contributions Year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-1095375</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380" w:type="dxa"/>
            <w:vAlign w:val="bottom"/>
          </w:tcPr>
          <w:p>
            <w:pPr>
              <w:jc w:val="center"/>
              <w:spacing w:after="0"/>
              <w:rPr>
                <w:sz w:val="20"/>
                <w:szCs w:val="20"/>
                <w:color w:val="auto"/>
              </w:rPr>
            </w:pPr>
            <w:r>
              <w:rPr>
                <w:rFonts w:ascii="Arial" w:cs="Arial" w:eastAsia="Arial" w:hAnsi="Arial"/>
                <w:sz w:val="14"/>
                <w:szCs w:val="14"/>
                <w:color w:val="auto"/>
                <w:w w:val="88"/>
              </w:rPr>
              <w:t>Total that Constitute Non-Exempt Prohibited</w:t>
            </w:r>
          </w:p>
        </w:tc>
        <w:tc>
          <w:tcPr>
            <w:tcW w:w="1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4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Transactions</w:t>
            </w:r>
          </w:p>
        </w:tc>
        <w:tc>
          <w:tcPr>
            <w:tcW w:w="1240" w:type="dxa"/>
            <w:vAlign w:val="bottom"/>
            <w:tcBorders>
              <w:bottom w:val="single" w:sz="8" w:color="auto"/>
            </w:tcBorders>
          </w:tcPr>
          <w:p>
            <w:pPr>
              <w:spacing w:after="0"/>
              <w:rPr>
                <w:sz w:val="13"/>
                <w:szCs w:val="13"/>
                <w:color w:val="auto"/>
              </w:rPr>
            </w:pPr>
          </w:p>
        </w:tc>
        <w:tc>
          <w:tcPr>
            <w:tcW w:w="3000" w:type="dxa"/>
            <w:vAlign w:val="bottom"/>
            <w:vMerge w:val="restart"/>
          </w:tcPr>
          <w:p>
            <w:pPr>
              <w:jc w:val="center"/>
              <w:ind w:left="1692"/>
              <w:spacing w:after="0"/>
              <w:rPr>
                <w:sz w:val="20"/>
                <w:szCs w:val="20"/>
                <w:color w:val="auto"/>
              </w:rPr>
            </w:pPr>
            <w:r>
              <w:rPr>
                <w:rFonts w:ascii="Arial" w:cs="Arial" w:eastAsia="Arial" w:hAnsi="Arial"/>
                <w:sz w:val="14"/>
                <w:szCs w:val="14"/>
                <w:color w:val="auto"/>
                <w:w w:val="89"/>
              </w:rPr>
              <w:t>Total Fully Corrected</w:t>
            </w:r>
          </w:p>
        </w:tc>
        <w:tc>
          <w:tcPr>
            <w:tcW w:w="0" w:type="dxa"/>
            <w:vAlign w:val="bottom"/>
          </w:tcPr>
          <w:p>
            <w:pPr>
              <w:spacing w:after="0"/>
              <w:rPr>
                <w:sz w:val="1"/>
                <w:szCs w:val="1"/>
                <w:color w:val="auto"/>
              </w:rPr>
            </w:pPr>
          </w:p>
        </w:tc>
      </w:tr>
      <w:tr>
        <w:trPr>
          <w:trHeight w:val="131"/>
        </w:trPr>
        <w:tc>
          <w:tcPr>
            <w:tcW w:w="12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0" w:type="dxa"/>
            <w:vAlign w:val="bottom"/>
          </w:tcPr>
          <w:p>
            <w:pPr>
              <w:jc w:val="center"/>
              <w:ind w:left="1712"/>
              <w:spacing w:after="0" w:line="149" w:lineRule="exact"/>
              <w:rPr>
                <w:sz w:val="20"/>
                <w:szCs w:val="20"/>
                <w:color w:val="auto"/>
              </w:rPr>
            </w:pPr>
            <w:r>
              <w:rPr>
                <w:rFonts w:ascii="Arial" w:cs="Arial" w:eastAsia="Arial" w:hAnsi="Arial"/>
                <w:sz w:val="14"/>
                <w:szCs w:val="14"/>
                <w:color w:val="auto"/>
                <w:w w:val="88"/>
              </w:rPr>
              <w:t>Under Voluntary</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40" w:type="dxa"/>
            <w:vAlign w:val="bottom"/>
          </w:tcPr>
          <w:p>
            <w:pPr>
              <w:jc w:val="center"/>
              <w:ind w:left="432"/>
              <w:spacing w:after="0" w:line="149" w:lineRule="exact"/>
              <w:rPr>
                <w:sz w:val="20"/>
                <w:szCs w:val="20"/>
                <w:color w:val="auto"/>
              </w:rPr>
            </w:pPr>
            <w:r>
              <w:rPr>
                <w:rFonts w:ascii="Arial" w:cs="Arial" w:eastAsia="Arial" w:hAnsi="Arial"/>
                <w:sz w:val="14"/>
                <w:szCs w:val="14"/>
                <w:color w:val="auto"/>
                <w:w w:val="89"/>
              </w:rPr>
              <w:t>Contributions</w:t>
            </w:r>
          </w:p>
        </w:tc>
        <w:tc>
          <w:tcPr>
            <w:tcW w:w="3000" w:type="dxa"/>
            <w:vAlign w:val="bottom"/>
          </w:tcPr>
          <w:p>
            <w:pPr>
              <w:jc w:val="center"/>
              <w:ind w:left="1712"/>
              <w:spacing w:after="0" w:line="149" w:lineRule="exact"/>
              <w:rPr>
                <w:sz w:val="20"/>
                <w:szCs w:val="20"/>
                <w:color w:val="auto"/>
              </w:rPr>
            </w:pPr>
            <w:r>
              <w:rPr>
                <w:rFonts w:ascii="Arial" w:cs="Arial" w:eastAsia="Arial" w:hAnsi="Arial"/>
                <w:sz w:val="14"/>
                <w:szCs w:val="14"/>
                <w:color w:val="auto"/>
                <w:w w:val="90"/>
              </w:rPr>
              <w:t>Fiduciary Correction</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color w:val="auto"/>
                <w:w w:val="89"/>
              </w:rPr>
              <w:t>Contributions</w:t>
            </w:r>
          </w:p>
        </w:tc>
        <w:tc>
          <w:tcPr>
            <w:tcW w:w="1240" w:type="dxa"/>
            <w:vAlign w:val="bottom"/>
          </w:tcPr>
          <w:p>
            <w:pPr>
              <w:jc w:val="center"/>
              <w:ind w:left="412"/>
              <w:spacing w:after="0" w:line="149" w:lineRule="exact"/>
              <w:rPr>
                <w:sz w:val="20"/>
                <w:szCs w:val="20"/>
                <w:color w:val="auto"/>
              </w:rPr>
            </w:pPr>
            <w:r>
              <w:rPr>
                <w:rFonts w:ascii="Arial" w:cs="Arial" w:eastAsia="Arial" w:hAnsi="Arial"/>
                <w:sz w:val="14"/>
                <w:szCs w:val="14"/>
                <w:color w:val="auto"/>
                <w:w w:val="85"/>
              </w:rPr>
              <w:t>Pending</w:t>
            </w:r>
          </w:p>
        </w:tc>
        <w:tc>
          <w:tcPr>
            <w:tcW w:w="3000" w:type="dxa"/>
            <w:vAlign w:val="bottom"/>
          </w:tcPr>
          <w:p>
            <w:pPr>
              <w:jc w:val="center"/>
              <w:ind w:left="1692"/>
              <w:spacing w:after="0" w:line="149" w:lineRule="exact"/>
              <w:rPr>
                <w:sz w:val="20"/>
                <w:szCs w:val="20"/>
                <w:color w:val="auto"/>
              </w:rPr>
            </w:pPr>
            <w:r>
              <w:rPr>
                <w:rFonts w:ascii="Arial" w:cs="Arial" w:eastAsia="Arial" w:hAnsi="Arial"/>
                <w:sz w:val="14"/>
                <w:szCs w:val="14"/>
                <w:color w:val="auto"/>
                <w:w w:val="88"/>
              </w:rPr>
              <w:t>Program (VFCP) and</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Contributions</w:t>
            </w:r>
          </w:p>
        </w:tc>
        <w:tc>
          <w:tcPr>
            <w:tcW w:w="3380" w:type="dxa"/>
            <w:vAlign w:val="bottom"/>
          </w:tcPr>
          <w:p>
            <w:pPr>
              <w:jc w:val="center"/>
              <w:spacing w:after="0" w:line="149" w:lineRule="exact"/>
              <w:rPr>
                <w:sz w:val="20"/>
                <w:szCs w:val="20"/>
                <w:color w:val="auto"/>
              </w:rPr>
            </w:pPr>
            <w:r>
              <w:rPr>
                <w:rFonts w:ascii="Arial" w:cs="Arial" w:eastAsia="Arial" w:hAnsi="Arial"/>
                <w:sz w:val="14"/>
                <w:szCs w:val="14"/>
                <w:color w:val="auto"/>
                <w:w w:val="84"/>
              </w:rPr>
              <w:t>Corrected</w:t>
            </w:r>
          </w:p>
        </w:tc>
        <w:tc>
          <w:tcPr>
            <w:tcW w:w="1240" w:type="dxa"/>
            <w:vAlign w:val="bottom"/>
          </w:tcPr>
          <w:p>
            <w:pPr>
              <w:jc w:val="center"/>
              <w:ind w:left="412"/>
              <w:spacing w:after="0" w:line="149" w:lineRule="exact"/>
              <w:rPr>
                <w:sz w:val="20"/>
                <w:szCs w:val="20"/>
                <w:color w:val="auto"/>
              </w:rPr>
            </w:pPr>
            <w:r>
              <w:rPr>
                <w:rFonts w:ascii="Arial" w:cs="Arial" w:eastAsia="Arial" w:hAnsi="Arial"/>
                <w:sz w:val="14"/>
                <w:szCs w:val="14"/>
                <w:color w:val="auto"/>
                <w:w w:val="90"/>
              </w:rPr>
              <w:t>Correction in</w:t>
            </w:r>
          </w:p>
        </w:tc>
        <w:tc>
          <w:tcPr>
            <w:tcW w:w="3000" w:type="dxa"/>
            <w:vAlign w:val="bottom"/>
          </w:tcPr>
          <w:p>
            <w:pPr>
              <w:jc w:val="center"/>
              <w:ind w:left="1712"/>
              <w:spacing w:after="0" w:line="149" w:lineRule="exact"/>
              <w:rPr>
                <w:sz w:val="20"/>
                <w:szCs w:val="20"/>
                <w:color w:val="auto"/>
              </w:rPr>
            </w:pPr>
            <w:r>
              <w:rPr>
                <w:rFonts w:ascii="Arial" w:cs="Arial" w:eastAsia="Arial" w:hAnsi="Arial"/>
                <w:sz w:val="14"/>
                <w:szCs w:val="14"/>
                <w:color w:val="auto"/>
                <w:w w:val="88"/>
              </w:rPr>
              <w:t>prohibited Transaction</w:t>
            </w:r>
          </w:p>
        </w:tc>
        <w:tc>
          <w:tcPr>
            <w:tcW w:w="0" w:type="dxa"/>
            <w:vAlign w:val="bottom"/>
          </w:tcPr>
          <w:p>
            <w:pPr>
              <w:spacing w:after="0"/>
              <w:rPr>
                <w:sz w:val="1"/>
                <w:szCs w:val="1"/>
                <w:color w:val="auto"/>
              </w:rPr>
            </w:pPr>
          </w:p>
        </w:tc>
      </w:tr>
      <w:tr>
        <w:trPr>
          <w:trHeight w:val="172"/>
        </w:trPr>
        <w:tc>
          <w:tcPr>
            <w:tcW w:w="1240" w:type="dxa"/>
            <w:vAlign w:val="bottom"/>
          </w:tcPr>
          <w:p>
            <w:pPr>
              <w:spacing w:after="0"/>
              <w:rPr>
                <w:sz w:val="20"/>
                <w:szCs w:val="20"/>
                <w:color w:val="auto"/>
              </w:rPr>
            </w:pPr>
            <w:r>
              <w:rPr>
                <w:rFonts w:ascii="Arial" w:cs="Arial" w:eastAsia="Arial" w:hAnsi="Arial"/>
                <w:sz w:val="14"/>
                <w:szCs w:val="14"/>
                <w:u w:val="single" w:color="auto"/>
                <w:color w:val="auto"/>
              </w:rPr>
              <w:t>Not Corrected</w:t>
            </w:r>
          </w:p>
        </w:tc>
        <w:tc>
          <w:tcPr>
            <w:tcW w:w="3380" w:type="dxa"/>
            <w:vAlign w:val="bottom"/>
          </w:tcPr>
          <w:p>
            <w:pPr>
              <w:jc w:val="center"/>
              <w:spacing w:after="0"/>
              <w:rPr>
                <w:sz w:val="20"/>
                <w:szCs w:val="20"/>
                <w:color w:val="auto"/>
              </w:rPr>
            </w:pPr>
            <w:r>
              <w:rPr>
                <w:rFonts w:ascii="Arial" w:cs="Arial" w:eastAsia="Arial" w:hAnsi="Arial"/>
                <w:sz w:val="14"/>
                <w:szCs w:val="14"/>
                <w:u w:val="single" w:color="auto"/>
                <w:color w:val="auto"/>
                <w:w w:val="89"/>
              </w:rPr>
              <w:t>Outside VFCP</w:t>
            </w:r>
          </w:p>
        </w:tc>
        <w:tc>
          <w:tcPr>
            <w:tcW w:w="1240" w:type="dxa"/>
            <w:vAlign w:val="bottom"/>
          </w:tcPr>
          <w:p>
            <w:pPr>
              <w:jc w:val="center"/>
              <w:ind w:left="432"/>
              <w:spacing w:after="0"/>
              <w:rPr>
                <w:sz w:val="20"/>
                <w:szCs w:val="20"/>
                <w:color w:val="auto"/>
              </w:rPr>
            </w:pPr>
            <w:r>
              <w:rPr>
                <w:rFonts w:ascii="Arial" w:cs="Arial" w:eastAsia="Arial" w:hAnsi="Arial"/>
                <w:sz w:val="14"/>
                <w:szCs w:val="14"/>
                <w:color w:val="auto"/>
                <w:w w:val="90"/>
              </w:rPr>
              <w:t>VFCP</w:t>
            </w:r>
          </w:p>
        </w:tc>
        <w:tc>
          <w:tcPr>
            <w:tcW w:w="3000" w:type="dxa"/>
            <w:vAlign w:val="bottom"/>
          </w:tcPr>
          <w:p>
            <w:pPr>
              <w:jc w:val="center"/>
              <w:ind w:left="1692"/>
              <w:spacing w:after="0"/>
              <w:rPr>
                <w:sz w:val="20"/>
                <w:szCs w:val="20"/>
                <w:color w:val="auto"/>
              </w:rPr>
            </w:pPr>
            <w:r>
              <w:rPr>
                <w:rFonts w:ascii="Arial" w:cs="Arial" w:eastAsia="Arial" w:hAnsi="Arial"/>
                <w:sz w:val="14"/>
                <w:szCs w:val="14"/>
                <w:color w:val="auto"/>
                <w:w w:val="88"/>
              </w:rPr>
              <w:t>Exemption 2002-51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-7620</wp:posOffset>
            </wp:positionV>
            <wp:extent cx="72466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8"/>
          <w:szCs w:val="18"/>
          <w:color w:val="auto"/>
        </w:rPr>
        <w:t>$50</w:t>
      </w:r>
    </w:p>
    <w:p>
      <w:pPr>
        <w:spacing w:after="0" w:line="150"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19</w:t>
      </w:r>
    </w:p>
    <w:p>
      <w:pPr>
        <w:sectPr>
          <w:pgSz w:w="11900" w:h="16838" w:orient="portrait"/>
          <w:cols w:equalWidth="0" w:num="2">
            <w:col w:w="1840" w:space="720"/>
            <w:col w:w="886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Casual Male Retail Group, Inc. 401(k) Hourly Savings Plan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Dennis R. Hernreich, Executive Vice President,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-114935</wp:posOffset>
            </wp:positionV>
            <wp:extent cx="27184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Officer and Chief Operating Officer of Destination XL Group,</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Inc., the Plan Administrator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Index to Exhibits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ectPr>
          <w:pgSz w:w="11900" w:h="16838" w:orient="portrait"/>
          <w:cols w:equalWidth="0" w:num="1">
            <w:col w:w="10219"/>
          </w:cols>
          <w:pgMar w:left="240" w:top="459"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333-112218) on Form S-8 of our report dated June 28, 2013, relating to the statements of net assets available for benefits of Casual Male Retail Group, Inc. 401(k) Hourly Savings Plan as of December 31, 2012, and 2011, the related statement of changes in net assets available for benefits for the year ended December 31, 2012, and the related supplemental schedules as of and for the year ended December 31, 2012, which reports appear in the December 31, 2012 annual report on Form 11-K of Casual Male Retail Group, Inc. 401(k) Hourly Savings Plan.</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Mayer Hoffman McCann CPAs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New York Practice of Mayer Hoffman McCann P.C.)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2019-12-06T00:38:12Z</dcterms:created>
  <dcterms:modified xsi:type="dcterms:W3CDTF">2019-12-06T00:38:12Z</dcterms:modified>
</cp:coreProperties>
</file>