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-594360</wp:posOffset>
            </wp:positionV>
            <wp:extent cx="8255" cy="594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-602615</wp:posOffset>
            </wp:positionV>
            <wp:extent cx="8255" cy="603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-578485</wp:posOffset>
            </wp:positionV>
            <wp:extent cx="1270000" cy="55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Surette Allison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DESTINATION XL GROUP,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SVP, GMM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203200</wp:posOffset>
            </wp:positionV>
            <wp:extent cx="6970395" cy="86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905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90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06/11/2021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141,155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141,155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141,155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hanging="1"/>
        <w:spacing w:after="0" w:line="24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non-qualified stock options represent the time-based portion of the 2020-2022 Long-Term Incentive Plan award to the Reporting Person. The options become exercisable in four equal installments on June 11, 2021, April 1, 2022, April 1, 2023 and April 1, 2024.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Allison Surette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06/12/2020</w:t>
            </w: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139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2020-06-12T13:03:18Z</dcterms:created>
  <dcterms:modified xsi:type="dcterms:W3CDTF">2020-06-12T13:03:18Z</dcterms:modified>
</cp:coreProperties>
</file>