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70"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1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12"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DESTINATION XL GROUP, INC.</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2"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1354455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1436370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5"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to be held on August 4, 2022</w:t>
      </w:r>
    </w:p>
    <w:p>
      <w:pPr>
        <w:spacing w:after="0" w:line="17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of Destination XL Group, Inc. (the “Company”) will be held at the corporate offices of the Company, 555 Turnpike Street, Canton, Massachusetts 02021 at 11:30 A.M., local time, on Thursday, August 4, 2022 for the following purposes:</w:t>
      </w:r>
    </w:p>
    <w:p>
      <w:pPr>
        <w:spacing w:after="0" w:line="68" w:lineRule="exact"/>
        <w:rPr>
          <w:sz w:val="20"/>
          <w:szCs w:val="20"/>
          <w:color w:val="auto"/>
        </w:rPr>
      </w:pPr>
    </w:p>
    <w:p>
      <w:pPr>
        <w:ind w:left="760" w:right="14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serve until the next Annual Meeting of Stockholders and until their respective successors have been duly elected and qualified.</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named executive officer compensation.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January 28, 2023.</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proposals are more fully described in the Proxy Statement following this Notice.</w:t>
      </w:r>
    </w:p>
    <w:p>
      <w:pPr>
        <w:spacing w:after="0" w:line="21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Board of Directors recommends that you vote FOR the election of all seven nominees to serve as directors of the Company and FOR the approval of all other Proposals being presented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Along with the attached Proxy Statement, we are sending you a copy of our Annual Report on Form 10-K for the fiscal year ended January 29, 2022.</w:t>
      </w:r>
    </w:p>
    <w:p>
      <w:pPr>
        <w:spacing w:after="0" w:line="21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June 13, 2022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13, 2022 will be available for inspection by any of our stockholders for any purpose germane to the Annual Meeting during normal business hours at our principal executive offices, 555 Turnpike Street, Canton, Massachusetts 02021, beginning on July 25, 2022 and at the Annual Meeting.</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4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Special Note Regarding COVID-19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We are following evolving guidance and protocols issued by Centers for Disease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you elect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in person, we ask that you follow the COVID-19 protocols that we may have in place.</w:t>
      </w:r>
    </w:p>
    <w:p>
      <w:pPr>
        <w:spacing w:after="0" w:line="8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ROBERT S. MOLLOY</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ROBERT S. MOLLOY</w:t>
      </w:r>
    </w:p>
    <w:p>
      <w:pPr>
        <w:spacing w:after="0" w:line="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Secretary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1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August 4, 2022: The Proxy Statement and 2022 Annual Report to Stockholders are available at: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TABLE OF CONTENTS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107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Information About the Annual Meeting and Voting</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0720" w:type="dxa"/>
            <w:vAlign w:val="bottom"/>
            <w:gridSpan w:val="20"/>
            <w:vMerge w:val="continue"/>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1: Election of Directors</w:t>
            </w:r>
          </w:p>
        </w:tc>
        <w:tc>
          <w:tcPr>
            <w:tcW w:w="1280" w:type="dxa"/>
            <w:vAlign w:val="bottom"/>
            <w:tcBorders>
              <w:top w:val="single" w:sz="8" w:color="0000FF"/>
            </w:tcBorders>
            <w:gridSpan w:val="6"/>
          </w:tcPr>
          <w:p>
            <w:pPr>
              <w:spacing w:after="0"/>
              <w:rPr>
                <w:sz w:val="17"/>
                <w:szCs w:val="17"/>
                <w:color w:val="auto"/>
              </w:rPr>
            </w:pPr>
          </w:p>
        </w:tc>
        <w:tc>
          <w:tcPr>
            <w:tcW w:w="706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w:t>
            </w:r>
          </w:p>
        </w:tc>
        <w:tc>
          <w:tcPr>
            <w:tcW w:w="90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Director Compensation</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292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Compensation Discussion and Analysis</w:t>
            </w:r>
          </w:p>
        </w:tc>
        <w:tc>
          <w:tcPr>
            <w:tcW w:w="780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Compensation Committee Report</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420" w:type="dxa"/>
            <w:vAlign w:val="bottom"/>
            <w:tcBorders>
              <w:top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Summary Compensation Table</w:t>
            </w:r>
          </w:p>
        </w:tc>
        <w:tc>
          <w:tcPr>
            <w:tcW w:w="83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25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2021 Grants of Plan-Based Awards</w:t>
            </w:r>
          </w:p>
        </w:tc>
        <w:tc>
          <w:tcPr>
            <w:tcW w:w="81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2021 Outstanding Equity Awards at Fiscal Year End</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7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2021 Option Exercises and Stock Vested</w:t>
            </w:r>
          </w:p>
        </w:tc>
        <w:tc>
          <w:tcPr>
            <w:tcW w:w="696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74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2: Advisory Vote to Approve Named Executive Officer Compensation</w:t>
            </w:r>
          </w:p>
        </w:tc>
        <w:tc>
          <w:tcPr>
            <w:tcW w:w="49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Proposal 3: Ratification of Appointment of Independent Registered Public Accounting Firm</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the Audit Committee</w:t>
            </w:r>
          </w:p>
        </w:tc>
        <w:tc>
          <w:tcPr>
            <w:tcW w:w="4360" w:type="dxa"/>
            <w:vAlign w:val="bottom"/>
            <w:tcBorders>
              <w:top w:val="single" w:sz="8" w:color="0000FF"/>
            </w:tcBorders>
            <w:gridSpan w:val="12"/>
          </w:tcPr>
          <w:p>
            <w:pPr>
              <w:spacing w:after="0"/>
              <w:rPr>
                <w:sz w:val="17"/>
                <w:szCs w:val="17"/>
                <w:color w:val="auto"/>
              </w:rPr>
            </w:pPr>
          </w:p>
        </w:tc>
        <w:tc>
          <w:tcPr>
            <w:tcW w:w="4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w:t>
            </w:r>
          </w:p>
        </w:tc>
        <w:tc>
          <w:tcPr>
            <w:tcW w:w="712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Management</w:t>
            </w:r>
          </w:p>
        </w:tc>
        <w:tc>
          <w:tcPr>
            <w:tcW w:w="810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Solicitation</w:t>
            </w:r>
          </w:p>
        </w:tc>
        <w:tc>
          <w:tcPr>
            <w:tcW w:w="2080" w:type="dxa"/>
            <w:vAlign w:val="bottom"/>
            <w:tcBorders>
              <w:top w:val="single" w:sz="8" w:color="0000FF"/>
            </w:tcBorders>
            <w:gridSpan w:val="11"/>
          </w:tcPr>
          <w:p>
            <w:pPr>
              <w:spacing w:after="0"/>
              <w:rPr>
                <w:sz w:val="17"/>
                <w:szCs w:val="17"/>
                <w:color w:val="auto"/>
              </w:rPr>
            </w:pPr>
          </w:p>
        </w:tc>
        <w:tc>
          <w:tcPr>
            <w:tcW w:w="780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3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Delivery of Documents to Stockholders Sharing an Address</w:t>
            </w:r>
          </w:p>
        </w:tc>
        <w:tc>
          <w:tcPr>
            <w:tcW w:w="6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Stockholder Proposals</w:t>
            </w:r>
          </w:p>
        </w:tc>
        <w:tc>
          <w:tcPr>
            <w:tcW w:w="910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7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Stockholder Communications with the Board of Directors</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1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Matters</w:t>
            </w:r>
          </w:p>
        </w:tc>
        <w:tc>
          <w:tcPr>
            <w:tcW w:w="65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5"/>
        </w:trPr>
        <w:tc>
          <w:tcPr>
            <w:tcW w:w="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28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(781) 828-9300</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4, 2022</w:t>
      </w:r>
    </w:p>
    <w:p>
      <w:pPr>
        <w:spacing w:after="0" w:line="20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 AND VOTING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Purpose and Distribution of Proxy Materials</w:t>
      </w:r>
    </w:p>
    <w:p>
      <w:pPr>
        <w:spacing w:after="0" w:line="10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This Proxy Statement and the enclosed form of proxy are being mailed to our stockholders on or about June 30, 2022,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11:30 A.M., local time, on Thursday, August 4, 2022 and at any and all adjournments thereof (the “Annual Meeting”). This Proxy Statement describes the matters to be voted on at the Annual Meeting and contains other required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Entitled to Vote</w:t>
      </w:r>
    </w:p>
    <w:p>
      <w:pPr>
        <w:spacing w:after="0" w:line="10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Only holders of record of our common stock, par value $0.01 per share, at the close of business on June 13, 2022, the record date for the Annual Meeting, will be entitled to notice of, and to vote at, the Annual Meeting. On that date, there were 62,643,335 shares of common stock issued and outstanding. Each share is entitled to one vote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a proxy is returned properly executed, the shares represented will be voted in accordance with the stockholder’s instructions.</w:t>
      </w:r>
    </w:p>
    <w:p>
      <w:pPr>
        <w:spacing w:after="0" w:line="21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Stockholders are encouraged to vote on the matters to be considered. If no instructions have been specified by a stockholder, however, the shares covered by an executed proxy will be voted (i) FOR the election of all seven nominees to serve as directors of the Company, (ii) FOR the approval of all other Proposals described in this Proxy Statement and being presented at the Annual Meeting, and (iii) in the discretion of the proxies serving at the Annual Meeting with respect to any other matters properly brought before the Annual Meeting. We are not aware of any other matter that may be properly presented at the Annual Meeting.</w:t>
      </w:r>
    </w:p>
    <w:p>
      <w:pPr>
        <w:spacing w:after="0" w:line="181"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3 to ratify the appointment of our independent registered public accounting firm,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if you are not the record holder of your shares, it is critical that you provide instructions to your broker or bank if you want your vote to count.</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Revoking Your Proxy or Changing Your Vote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revoke your proxy at any time before it has been exercised as follows:</w:t>
      </w:r>
    </w:p>
    <w:p>
      <w:pPr>
        <w:spacing w:after="0" w:line="104"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and voting in person; or</w:t>
      </w:r>
    </w:p>
    <w:p>
      <w:pPr>
        <w:spacing w:after="0" w:line="10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0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a Proposal</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 majority of the votes properly cast “FOR” a matter is required for all proposals. In addition, as described in more detail in Proposal 2 below, Proposal 2 is an advisory vote and non-binding.</w:t>
      </w:r>
    </w:p>
    <w:p>
      <w:pPr>
        <w:spacing w:after="0" w:line="176"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Votes cast means the votes actually cast “FOR” or “AGAINST” a particular proposal, whether in person or by proxy. With respect to all matters presented at the Annual Meeting, abstentions and non-votes will not be deemed to be votes “cast” with respect to such matters and will not count as votes “FOR” or “AGAINST” such matter. Votes will be tabulated by our transfer agent subject to the supervision of the person designated by the Board of Directors as an inspector.</w:t>
      </w:r>
    </w:p>
    <w:p>
      <w:pPr>
        <w:spacing w:after="0" w:line="16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Special Note Regarding COVID-19</w:t>
      </w:r>
      <w:r>
        <w:rPr>
          <w:rFonts w:ascii="Times New Roman" w:cs="Times New Roman" w:eastAsia="Times New Roman" w:hAnsi="Times New Roman"/>
          <w:sz w:val="18"/>
          <w:szCs w:val="18"/>
          <w:color w:val="auto"/>
        </w:rPr>
        <w:t>: If you elect to attend the Annual Meeting in person, we ask that you follow the COVID-19 protocols that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instituted in our corporate office. If you are not feeling well or think you may have been exposed to COVID-19, we ask that you vote by proxy.</w:t>
      </w: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of Directors, in accordance with our Fourth Amended and Restated By-Laws (the “By-Laws”), has set the number of members of our Board of Directors at seven directors.</w:t>
      </w:r>
    </w:p>
    <w:p>
      <w:pPr>
        <w:spacing w:after="0" w:line="14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At the Annual Meeting, seven nominees will be elected to serve on the Board until the 2023 Annual Meeting of Stockholders and until their respective successors have been duly elected and qualified. Accordingly, the Nominating and Corporate Governance Committee has recommended, and our Board has nominated, Harvey S. Kanter, Carmen R. Bauza, Jack Boyle, Lionel F. Conacher, Willem Mesdag, Ivy Ross and Elaine K. Rubin as nominees, all of whom currently serve as members of our Board.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Unless a proxy shall specify that it is not to be voted for a nominee, it is intended that the shares represented by each duly executed and returned proxy will be voted in favor of the election as directors of Harvey S. Kanter, Carmen R. Bauza, Jack Boyle, Lionel F. Conacher, Willem Mesdag, Ivy Ross and Elaine K. Rubin. Although management expects all nominees to serve if elected, proxies will be voted for a substitute if a nominee is unable or unwilling to accept nomination or election. Cumulative voting is not permitted.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election of each of the nominees.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that you vote “FOR”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election of the seven individuals named above as directors of our Company.</w:t>
      </w:r>
    </w:p>
    <w:p>
      <w:pPr>
        <w:spacing w:after="0" w:line="19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names, ages as of June 13, 2022, and certain other information for each of our current directors, all terms expiring at the Annual Meeting.</w:t>
      </w:r>
    </w:p>
    <w:tbl>
      <w:tblPr>
        <w:tblLayout w:type="fixed"/>
        <w:tblInd w:w="0" w:type="dxa"/>
        <w:tblCellMar>
          <w:top w:w="0" w:type="dxa"/>
          <w:left w:w="0" w:type="dxa"/>
          <w:bottom w:w="0" w:type="dxa"/>
          <w:right w:w="0" w:type="dxa"/>
        </w:tblCellMar>
      </w:tblPr>
      <w:tr>
        <w:trPr>
          <w:trHeight w:val="122"/>
        </w:trPr>
        <w:tc>
          <w:tcPr>
            <w:tcW w:w="4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Nominating and</w:t>
            </w:r>
          </w:p>
        </w:tc>
        <w:tc>
          <w:tcPr>
            <w:tcW w:w="100" w:type="dxa"/>
            <w:vAlign w:val="bottom"/>
          </w:tcPr>
          <w:p>
            <w:pPr>
              <w:spacing w:after="0"/>
              <w:rPr>
                <w:sz w:val="10"/>
                <w:szCs w:val="10"/>
                <w:color w:val="auto"/>
              </w:rPr>
            </w:pP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Cybersecurity</w:t>
            </w:r>
          </w:p>
        </w:tc>
        <w:tc>
          <w:tcPr>
            <w:tcW w:w="0" w:type="dxa"/>
            <w:vAlign w:val="bottom"/>
          </w:tcPr>
          <w:p>
            <w:pPr>
              <w:spacing w:after="0"/>
              <w:rPr>
                <w:sz w:val="1"/>
                <w:szCs w:val="1"/>
                <w:color w:val="auto"/>
              </w:rPr>
            </w:pPr>
          </w:p>
        </w:tc>
      </w:tr>
      <w:tr>
        <w:trPr>
          <w:trHeight w:val="14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6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Age</w:t>
            </w:r>
          </w:p>
        </w:tc>
        <w:tc>
          <w:tcPr>
            <w:tcW w:w="1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2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Governance </w:t>
            </w:r>
            <w:r>
              <w:rPr>
                <w:rFonts w:ascii="Times New Roman" w:cs="Times New Roman" w:eastAsia="Times New Roman" w:hAnsi="Times New Roman"/>
                <w:sz w:val="18"/>
                <w:szCs w:val="18"/>
                <w:b w:val="1"/>
                <w:bCs w:val="1"/>
                <w:color w:val="auto"/>
                <w:w w:val="97"/>
                <w:vertAlign w:val="superscript"/>
              </w:rPr>
              <w:t>(2)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Data Privacy </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 of the Board and Director</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7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Harvey S. Kanter, President and Chief Executive Officer and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Carmen R. Bauza, Director (1)</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 Boyle, Director</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Willem Mesdag, Director</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Ross, Director</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8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2013</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Elaine K. Rubin, Director</w:t>
            </w:r>
          </w:p>
        </w:tc>
        <w:tc>
          <w:tcPr>
            <w:tcW w:w="7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59</w:t>
            </w:r>
          </w:p>
        </w:tc>
        <w:tc>
          <w:tcPr>
            <w:tcW w:w="8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current member and committee chairperson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 current member of the committee</w:t>
      </w:r>
    </w:p>
    <w:p>
      <w:pPr>
        <w:spacing w:after="0" w:line="313"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17, 2021, the Board of Directors expanded the size of the Board to seven members and appointed Ms. Bauza as a director.</w:t>
      </w:r>
    </w:p>
    <w:p>
      <w:pPr>
        <w:spacing w:after="0" w:line="15" w:lineRule="exact"/>
        <w:rPr>
          <w:rFonts w:ascii="Times New Roman" w:cs="Times New Roman" w:eastAsia="Times New Roman" w:hAnsi="Times New Roman"/>
          <w:sz w:val="18"/>
          <w:szCs w:val="18"/>
          <w:color w:val="auto"/>
        </w:rPr>
      </w:pPr>
    </w:p>
    <w:p>
      <w:pPr>
        <w:ind w:left="760" w:right="100" w:hanging="378"/>
        <w:spacing w:after="0" w:line="246"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2022, Ms. Rubin replaced Ms. Ross as a member of the Nominating and Corporate Governance Committee. Ms. Bauza replaced Mr. Boyle as a member of the Cybersecurity and Data Privacy Committee and was added as a member of the Nominating and Corporate Governance Committee.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Board Nominees</w:t>
      </w:r>
    </w:p>
    <w:p>
      <w:pPr>
        <w:spacing w:after="0" w:line="117"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8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Lionel F. Conacher </w:t>
      </w:r>
      <w:r>
        <w:rPr>
          <w:rFonts w:ascii="Times New Roman" w:cs="Times New Roman" w:eastAsia="Times New Roman" w:hAnsi="Times New Roman"/>
          <w:sz w:val="18"/>
          <w:szCs w:val="18"/>
          <w:color w:val="auto"/>
        </w:rPr>
        <w:t>has been a director since June 2018 and became Chairman of the Board on August 12, 2020. Since November 2021, Mr. Conacher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a member of the board of directors and as a member of the audit committee for Better Choice Company, a publicly-traded company.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investee company of ACP, from December 2013 until July 2017. Mr. Conacher previously served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8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Harvey S. Kanter </w:t>
      </w:r>
      <w:r>
        <w:rPr>
          <w:rFonts w:ascii="Times New Roman" w:cs="Times New Roman" w:eastAsia="Times New Roman" w:hAnsi="Times New Roman"/>
          <w:sz w:val="18"/>
          <w:szCs w:val="18"/>
          <w:color w:val="auto"/>
        </w:rPr>
        <w:t>is the President, Chief Executive Officer and a director of the Company. Mr. Kanter joined the Company in February 2019 in a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as Advisor to the Acting CEO and assumed the role of President and Chief Executive Officer and a director of the Company in April 2019. Mr. Kanter currently serves as a non-executive co-chair, Seattle University Center for Leadership Formation, Albers School of Business and Economics. Mr. Kanter served as a director and a member of the compensation committee of Potbelly Corporation, a publicly-traded company, from August 2015 until May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and formerly a publicly-traded company.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He was a former brand ambassador for the Fred Hutch Cancer Research Institute, and previously served as an advisory member to the Seattle University Executive MBA Program. Mr. Kanter brings an extensive knowledge of omni-channel retailing, with strong strategic and operational expertise.</w:t>
      </w:r>
    </w:p>
    <w:p>
      <w:pPr>
        <w:spacing w:after="0" w:line="8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Carmen R. Bauza </w:t>
      </w:r>
      <w:r>
        <w:rPr>
          <w:rFonts w:ascii="Times New Roman" w:cs="Times New Roman" w:eastAsia="Times New Roman" w:hAnsi="Times New Roman"/>
          <w:sz w:val="17"/>
          <w:szCs w:val="17"/>
          <w:color w:val="auto"/>
        </w:rPr>
        <w:t>was appointed a director of the Company in December 2021. In May 2022, Ms. Bauza joined the board of directors of Zumiez, Inc.,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publicly-traded company, and serves as a member of its audit committee. Ms. Bauza also serves as a member of the board of managers of Claire’s Holdings LLC. which she joined in October 2018. Most recently, Ms. Bauza served as the Chief Merchandising Officer at Fanatics, Inc. from January 2019 until April 2021. Prior to that, she was the Chief Merchandising Officer at HSN from November 2016 until December 2017 and the Senior Vice President, General Merchandise Manager Consumables, Health and Wellness at Walmart from June 2007 to October 2016. She previously held roles at Bath &amp; Body Works, Five Below and The Walt Disney Company. Ms. Bauza currently serves as a member of the board of trustees at Seton Hill University and as a member of the advisory board of RoundTable Healthcare Partners Council. Ms. Bauza brings extensive retail and merchandising experience to the Board.</w:t>
      </w:r>
    </w:p>
    <w:p>
      <w:pPr>
        <w:spacing w:after="0" w:line="5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Jack Boyle </w:t>
      </w:r>
      <w:r>
        <w:rPr>
          <w:rFonts w:ascii="Times New Roman" w:cs="Times New Roman" w:eastAsia="Times New Roman" w:hAnsi="Times New Roman"/>
          <w:sz w:val="18"/>
          <w:szCs w:val="18"/>
          <w:color w:val="auto"/>
        </w:rPr>
        <w:t>has been a director since August 2017. Since February 2019, Mr. Boyle has been the global co-president of direct to consumer/omni-channel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Fanatics, Inc., a market leader for officially licensed sports merchandise. Mr. Boyle originally joined Fanatics as president of merchandising in June 2012, and from December 2017 to February 2019, served as co-president of North America direct to consumer/omni-channel.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9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Willem Mesdag </w:t>
      </w:r>
      <w:r>
        <w:rPr>
          <w:rFonts w:ascii="Times New Roman" w:cs="Times New Roman" w:eastAsia="Times New Roman" w:hAnsi="Times New Roman"/>
          <w:sz w:val="18"/>
          <w:szCs w:val="18"/>
          <w:color w:val="auto"/>
        </w:rPr>
        <w:t>has been a director since January 2014. Mr. Mesdag is the managing partner of Red Mountain Capital Partners LLC, an equity-oriented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firm, and a senior advisor of HPS Investment Partners, LLC, a global credit-oriented investment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7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Ivy Ross </w:t>
      </w:r>
      <w:r>
        <w:rPr>
          <w:rFonts w:ascii="Times New Roman" w:cs="Times New Roman" w:eastAsia="Times New Roman" w:hAnsi="Times New Roman"/>
          <w:sz w:val="18"/>
          <w:szCs w:val="18"/>
          <w:color w:val="auto"/>
        </w:rPr>
        <w:t>has been a director since January 2013. In May 2014, Ms. Ross joined Google as head of Glass and is currently a vice president of hardware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 w:name="page8"/>
    <w:bookmarkEnd w:id="7"/>
    <w:p>
      <w:pPr>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Elaine K. Rubin </w:t>
      </w:r>
      <w:r>
        <w:rPr>
          <w:rFonts w:ascii="Times New Roman" w:cs="Times New Roman" w:eastAsia="Times New Roman" w:hAnsi="Times New Roman"/>
          <w:sz w:val="18"/>
          <w:szCs w:val="18"/>
          <w:color w:val="auto"/>
        </w:rPr>
        <w:t>has been a director since April 2021. Since January 2010, Ms. Rubin has been the founder and president of Digital Prophets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a consulting, advisory and placement firm with a network of digital commerce experts that supports the growth of retail and direct-to-consumer businesses. Since October 2013, she has also served as an advisor to Hint, Inc., which produces fruit-infused water. Prior to that, Ms. Rubin previously held leadership positions at 1800flowers.com, iVillage.com and amazon.com. She previously served on the boards of Smart &amp; Final Stores, Inc. and Blue Nile, Inc., both which were formerly publicly-traded companies. Ms. Rubin co-founded shop.org in February 1996 and served as its elected chair of the board of directors from February 1996 to October 2007 and served on the board of the National Retail Federation (NRF) from 2001 until 2010. Ms. Rubin brings extensive knowledge and experience of digital commerce business and provides valuable insight to the Board as the Company continues to grow its direct business.</w:t>
      </w:r>
    </w:p>
    <w:p>
      <w:pPr>
        <w:spacing w:after="0" w:line="7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directors and executive officers.</w:t>
      </w:r>
    </w:p>
    <w:p>
      <w:pPr>
        <w:spacing w:after="0" w:line="1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0"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is currently comprised of seven members and there are no vacancies.</w:t>
      </w:r>
    </w:p>
    <w:p>
      <w:pPr>
        <w:spacing w:after="0" w:line="21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Board met 16 times during our fiscal year ended January 29, 2022 (“fiscal 2021”). All directors attended at least 75% of the Board meetings and meetings of the committees of the Board on which each director served. We believe that it is important for the members of the Board to attend our annual stockholder meetings. All members of the Board then in office attended our 2021 Annual Meeting of Stockholders.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 the value of diversity at the Board level and believe that our Board currently comprises an appropriate mix of background, diversity and expertise. Although we do not have a formal separate written policy, our Nominating and Corporate Governance Committee is required under its charter to recommend nominees that ensure sufficient diversity of backgrounds on our Board.</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August 2021, the SEC approved a Nasdaq Stock Market Rule 5606(f) regarding board diversity and disclosure. The Board Diversity Matrix below presents the composition of our Board by gender identity and demographic background in accordance with Nasdaq Rule 5606(f).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Female</w:t>
            </w:r>
          </w:p>
        </w:tc>
        <w:tc>
          <w:tcPr>
            <w:tcW w:w="120" w:type="dxa"/>
            <w:vAlign w:val="bottom"/>
          </w:tcPr>
          <w:p>
            <w:pPr>
              <w:spacing w:after="0"/>
              <w:rPr>
                <w:sz w:val="15"/>
                <w:szCs w:val="15"/>
                <w:color w:val="auto"/>
              </w:rPr>
            </w:pPr>
          </w:p>
        </w:tc>
        <w:tc>
          <w:tcPr>
            <w:tcW w:w="1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Male</w:t>
            </w: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Non-Binary</w:t>
            </w:r>
          </w:p>
        </w:tc>
        <w:tc>
          <w:tcPr>
            <w:tcW w:w="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Did Not Disclose Gender</w:t>
            </w:r>
          </w:p>
        </w:tc>
      </w:tr>
      <w:tr>
        <w:trPr>
          <w:trHeight w:val="209"/>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number of directors: 7</w:t>
            </w: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 Gender Identity</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Directors</w:t>
            </w:r>
          </w:p>
        </w:tc>
        <w:tc>
          <w:tcPr>
            <w:tcW w:w="1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 Demographic Background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Hispanic or Latinx</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White</w:t>
            </w:r>
          </w:p>
        </w:tc>
        <w:tc>
          <w:tcPr>
            <w:tcW w:w="1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4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LGBTQ+</w:t>
            </w:r>
          </w:p>
        </w:tc>
        <w:tc>
          <w:tcPr>
            <w:tcW w:w="14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4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0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color w:val="auto"/>
        </w:rPr>
        <w:t>We comply with the corporate governance requirements imposed by the Sarbanes-Oxley Act of 2002, the SEC and the Nasdaq Stock Market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41" w:lineRule="exact"/>
        <w:rPr>
          <w:sz w:val="20"/>
          <w:szCs w:val="20"/>
          <w:color w:val="auto"/>
        </w:rPr>
      </w:pPr>
    </w:p>
    <w:p>
      <w:pPr>
        <w:ind w:left="760" w:right="58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Election of Directors. </w:t>
      </w:r>
      <w:r>
        <w:rPr>
          <w:rFonts w:ascii="Times New Roman" w:cs="Times New Roman" w:eastAsia="Times New Roman" w:hAnsi="Times New Roman"/>
          <w:sz w:val="18"/>
          <w:szCs w:val="18"/>
          <w:color w:val="auto"/>
        </w:rPr>
        <w:t>Our directors are elected annually for a term of office to expire at the next Annual Meeting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and qualification of their successors).</w:t>
      </w:r>
    </w:p>
    <w:p>
      <w:pPr>
        <w:spacing w:after="0" w:line="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Size</w:t>
      </w:r>
      <w:r>
        <w:rPr>
          <w:rFonts w:ascii="Times New Roman" w:cs="Times New Roman" w:eastAsia="Times New Roman" w:hAnsi="Times New Roman"/>
          <w:sz w:val="18"/>
          <w:szCs w:val="18"/>
          <w:color w:val="auto"/>
        </w:rPr>
        <w:t>. In December 2021, the Board of Directors expanded the size of the Board to seven members and appointed Ms. Bauza as a director.</w:t>
      </w:r>
    </w:p>
    <w:p>
      <w:pPr>
        <w:spacing w:after="0" w:line="103" w:lineRule="exact"/>
        <w:rPr>
          <w:rFonts w:ascii="Times New Roman" w:cs="Times New Roman" w:eastAsia="Times New Roman" w:hAnsi="Times New Roman"/>
          <w:sz w:val="18"/>
          <w:szCs w:val="18"/>
          <w:color w:val="auto"/>
        </w:rPr>
      </w:pPr>
    </w:p>
    <w:p>
      <w:pPr>
        <w:ind w:left="760" w:right="160" w:hanging="378"/>
        <w:spacing w:after="0" w:line="25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Majority Vote for Uncontested Director Elections. </w:t>
      </w:r>
      <w:r>
        <w:rPr>
          <w:rFonts w:ascii="Times New Roman" w:cs="Times New Roman" w:eastAsia="Times New Roman" w:hAnsi="Times New Roman"/>
          <w:sz w:val="18"/>
          <w:szCs w:val="18"/>
          <w:color w:val="auto"/>
        </w:rPr>
        <w:t>Under our By-Laws, in an uncontested election, a majority of the votes properly cast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760" w:right="940"/>
        <w:spacing w:after="0" w:line="282" w:lineRule="auto"/>
        <w:rPr>
          <w:sz w:val="20"/>
          <w:szCs w:val="20"/>
          <w:color w:val="auto"/>
        </w:rPr>
      </w:pPr>
      <w:r>
        <w:rPr>
          <w:rFonts w:ascii="Times New Roman" w:cs="Times New Roman" w:eastAsia="Times New Roman" w:hAnsi="Times New Roman"/>
          <w:sz w:val="18"/>
          <w:szCs w:val="18"/>
          <w:color w:val="auto"/>
        </w:rPr>
        <w:t>resignation. The Nominating and Corporate Governance Committee of the Board will then consider the resignation offer and make a recommendation to the Board whether to accept or reject the resignation.</w:t>
      </w:r>
    </w:p>
    <w:p>
      <w:pPr>
        <w:spacing w:after="0" w:line="36" w:lineRule="exact"/>
        <w:rPr>
          <w:sz w:val="20"/>
          <w:szCs w:val="20"/>
          <w:color w:val="auto"/>
        </w:rPr>
      </w:pPr>
    </w:p>
    <w:p>
      <w:pPr>
        <w:ind w:left="760" w:right="80" w:hanging="378"/>
        <w:spacing w:after="0" w:line="26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Board and Committees. </w:t>
      </w:r>
      <w:r>
        <w:rPr>
          <w:rFonts w:ascii="Times New Roman" w:cs="Times New Roman" w:eastAsia="Times New Roman" w:hAnsi="Times New Roman"/>
          <w:sz w:val="18"/>
          <w:szCs w:val="18"/>
          <w:color w:val="auto"/>
        </w:rPr>
        <w:t>The majority of our Board is comprised of independent directors. All members of our Board’s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Nominating and Corporate Governance committees are independent directors, and none receives compensation from us other than for service on our Board or its committees.</w:t>
      </w:r>
    </w:p>
    <w:p>
      <w:pPr>
        <w:spacing w:after="0" w:line="56" w:lineRule="exact"/>
        <w:rPr>
          <w:rFonts w:ascii="Times New Roman" w:cs="Times New Roman" w:eastAsia="Times New Roman" w:hAnsi="Times New Roman"/>
          <w:sz w:val="18"/>
          <w:szCs w:val="18"/>
          <w:color w:val="auto"/>
        </w:rPr>
      </w:pPr>
    </w:p>
    <w:p>
      <w:pPr>
        <w:ind w:left="760" w:right="100" w:hanging="378"/>
        <w:spacing w:after="0" w:line="26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Chairperson/Independent Lead Director. </w:t>
      </w:r>
      <w:r>
        <w:rPr>
          <w:rFonts w:ascii="Times New Roman" w:cs="Times New Roman" w:eastAsia="Times New Roman" w:hAnsi="Times New Roman"/>
          <w:sz w:val="18"/>
          <w:szCs w:val="18"/>
          <w:color w:val="auto"/>
        </w:rPr>
        <w:t>We have had an independent Non-Executive Chairman of the Board since January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2019. Our Corporate Governance Guidelines provide that, if the Chairman is not independent, the Board will appoint an independent Lead Director.</w:t>
      </w:r>
    </w:p>
    <w:p>
      <w:pPr>
        <w:spacing w:after="0" w:line="56" w:lineRule="exact"/>
        <w:rPr>
          <w:rFonts w:ascii="Times New Roman" w:cs="Times New Roman" w:eastAsia="Times New Roman" w:hAnsi="Times New Roman"/>
          <w:sz w:val="18"/>
          <w:szCs w:val="18"/>
          <w:color w:val="auto"/>
        </w:rPr>
      </w:pPr>
    </w:p>
    <w:p>
      <w:pPr>
        <w:ind w:left="760" w:right="100" w:hanging="378"/>
        <w:spacing w:after="0" w:line="27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Executive Sessions. </w:t>
      </w:r>
      <w:r>
        <w:rPr>
          <w:rFonts w:ascii="Times New Roman" w:cs="Times New Roman" w:eastAsia="Times New Roman" w:hAnsi="Times New Roman"/>
          <w:sz w:val="18"/>
          <w:szCs w:val="18"/>
          <w:color w:val="auto"/>
        </w:rPr>
        <w:t>Our Board holds independent executive sessions on at least a semi-annual basis, where independent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w:t>
      </w:r>
    </w:p>
    <w:p>
      <w:pPr>
        <w:spacing w:after="0" w:line="45" w:lineRule="exact"/>
        <w:rPr>
          <w:rFonts w:ascii="Times New Roman" w:cs="Times New Roman" w:eastAsia="Times New Roman" w:hAnsi="Times New Roman"/>
          <w:sz w:val="18"/>
          <w:szCs w:val="18"/>
          <w:color w:val="auto"/>
        </w:rPr>
      </w:pPr>
    </w:p>
    <w:p>
      <w:pPr>
        <w:ind w:left="760" w:right="120" w:hanging="378"/>
        <w:spacing w:after="0" w:line="24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Guidelines. </w:t>
      </w:r>
      <w:r>
        <w:rPr>
          <w:rFonts w:ascii="Times New Roman" w:cs="Times New Roman" w:eastAsia="Times New Roman" w:hAnsi="Times New Roman"/>
          <w:sz w:val="18"/>
          <w:szCs w:val="18"/>
          <w:color w:val="auto"/>
        </w:rPr>
        <w:t>In order to preserve share availability under the Company's 2016 Stock Incentive Compensation Plan,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2021, directors were not required to receive any portion of their director compensation in the form of equity, however, each director could voluntarily make such election. In November 2021, the Non-Employee Director Compensation Plan was amended to require that each director, beginning in the first quarter of fiscal 2022, receive 60% of his or her annual retainer in shares of common stock until the value of his or her equity ownership is equal to at least three times the annual retainer. A director may not sell any Required Equity received under the plan while each director is still serving on the Board without the approval of the Board. We encourage our senior management to have meaningful ownership in our Company and through our long-term incentive program provide our senior management team an opportunity to acquire such stock ownership. However, we do not currently have any required stock ownership guidelines for members of senior management.</w:t>
      </w:r>
    </w:p>
    <w:p>
      <w:pPr>
        <w:spacing w:after="0" w:line="71" w:lineRule="exact"/>
        <w:rPr>
          <w:rFonts w:ascii="Times New Roman" w:cs="Times New Roman" w:eastAsia="Times New Roman" w:hAnsi="Times New Roman"/>
          <w:sz w:val="18"/>
          <w:szCs w:val="18"/>
          <w:color w:val="auto"/>
        </w:rPr>
      </w:pPr>
    </w:p>
    <w:p>
      <w:pPr>
        <w:ind w:left="760" w:right="300" w:hanging="378"/>
        <w:spacing w:after="0" w:line="26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Hedging of Company Securities. </w:t>
      </w:r>
      <w:r>
        <w:rPr>
          <w:rFonts w:ascii="Times New Roman" w:cs="Times New Roman" w:eastAsia="Times New Roman" w:hAnsi="Times New Roman"/>
          <w:sz w:val="18"/>
          <w:szCs w:val="18"/>
          <w:color w:val="auto"/>
        </w:rPr>
        <w:t>Our Insider Trading Policy prohibits our directors, officers and employees from engaging in various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hedging activities with Company securities, including short sales and any transaction involving a publicly traded option, such as a put, call or other derivative security.</w:t>
      </w:r>
    </w:p>
    <w:p>
      <w:pPr>
        <w:spacing w:after="0" w:line="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Stockholder Rights Plan. </w:t>
      </w:r>
      <w:r>
        <w:rPr>
          <w:rFonts w:ascii="Times New Roman" w:cs="Times New Roman" w:eastAsia="Times New Roman" w:hAnsi="Times New Roman"/>
          <w:sz w:val="18"/>
          <w:szCs w:val="18"/>
          <w:color w:val="auto"/>
        </w:rPr>
        <w:t>We do not currently have a stockholder rights plan in effect and are not currently considering adopting one.</w:t>
      </w:r>
    </w:p>
    <w:p>
      <w:pPr>
        <w:spacing w:after="0" w:line="103" w:lineRule="exact"/>
        <w:rPr>
          <w:rFonts w:ascii="Times New Roman" w:cs="Times New Roman" w:eastAsia="Times New Roman" w:hAnsi="Times New Roman"/>
          <w:sz w:val="18"/>
          <w:szCs w:val="18"/>
          <w:color w:val="auto"/>
        </w:rPr>
      </w:pPr>
    </w:p>
    <w:p>
      <w:pPr>
        <w:ind w:left="760" w:right="12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Vote Required for Merger or Business Combination</w:t>
      </w:r>
      <w:r>
        <w:rPr>
          <w:rFonts w:ascii="Times New Roman" w:cs="Times New Roman" w:eastAsia="Times New Roman" w:hAnsi="Times New Roman"/>
          <w:sz w:val="18"/>
          <w:szCs w:val="18"/>
          <w:color w:val="auto"/>
        </w:rPr>
        <w:t>. A majority vote of the outstanding shares entitled to vote is needed for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approve a merger or business combination.</w:t>
      </w:r>
    </w:p>
    <w:p>
      <w:pPr>
        <w:spacing w:after="0" w:line="33"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Our employment agreements with members of our senior management and our long-term incentive plans contain claw-back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that provide for remedies in the event we learn, after the senior executive is terminated by us other than for “justifiable cause,” that the senior executive could have been terminated for “justifiable cause.” Since August 2018, we have had an Executive Incentive Pay Clawback Policy (“Clawback Policy”) that permits the Company to recover incentive-based compensation (cash and/or equity) in certain circumstances.</w:t>
      </w:r>
    </w:p>
    <w:p>
      <w:pPr>
        <w:spacing w:after="0" w:line="62" w:lineRule="exact"/>
        <w:rPr>
          <w:rFonts w:ascii="Times New Roman" w:cs="Times New Roman" w:eastAsia="Times New Roman" w:hAnsi="Times New Roman"/>
          <w:sz w:val="18"/>
          <w:szCs w:val="18"/>
          <w:color w:val="auto"/>
        </w:rPr>
      </w:pPr>
    </w:p>
    <w:p>
      <w:pPr>
        <w:ind w:left="760" w:right="540" w:hanging="378"/>
        <w:spacing w:after="0" w:line="27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Overboarding Policy. </w:t>
      </w:r>
      <w:r>
        <w:rPr>
          <w:rFonts w:ascii="Times New Roman" w:cs="Times New Roman" w:eastAsia="Times New Roman" w:hAnsi="Times New Roman"/>
          <w:sz w:val="18"/>
          <w:szCs w:val="18"/>
          <w:color w:val="auto"/>
        </w:rPr>
        <w:t>No director can serve on more than five public company boards. In addition, no director who is a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can serve on more than one public company board besides that of our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Members of our Board and senior management regularly engage with our shareholders throughout the year and welcome their feedback on our practices and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21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majority of the members of the Board are “independent” under the rules of Nasdaq. The Board has determined that the following current directors are independent: Mses. Bauza, Ross and Rubin and Messrs. Boyle, Conacher and Mesdag.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Board has four standing committees: the Nominating and Corporate Governance Committee, the Audit Committee, the Compensation Committee and the Cybersecurity and Data Privacy Committee. Each committee is comprised of directors who are “independent”.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0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The Nominating Committee was established to perform functions related to governance of our Company, including, but not limited to,</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spacing w:after="0" w:line="247" w:lineRule="auto"/>
        <w:rPr>
          <w:sz w:val="20"/>
          <w:szCs w:val="20"/>
          <w:color w:val="auto"/>
        </w:rPr>
      </w:pPr>
      <w:r>
        <w:rPr>
          <w:rFonts w:ascii="Times New Roman" w:cs="Times New Roman" w:eastAsia="Times New Roman" w:hAnsi="Times New Roman"/>
          <w:sz w:val="18"/>
          <w:szCs w:val="18"/>
          <w:color w:val="auto"/>
        </w:rPr>
        <w:t>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Mr. Boyle and Mses. Bauza and Rubin, each of whom is “independent” under the rules of Nasdaq. The Nominating Committee met six times during fiscal 2021.</w:t>
      </w:r>
    </w:p>
    <w:p>
      <w:pPr>
        <w:spacing w:after="0" w:line="1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9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8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40"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reputation for integrity, honesty and adherence to high ethical standards.</w:t>
      </w:r>
    </w:p>
    <w:p>
      <w:pPr>
        <w:spacing w:after="0" w:line="10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40"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a commitment to understand our Company and our industry and to regularly attend and participate in meetings of the Board and its committees.</w:t>
      </w:r>
    </w:p>
    <w:p>
      <w:pPr>
        <w:spacing w:after="0" w:line="67" w:lineRule="exact"/>
        <w:rPr>
          <w:rFonts w:ascii="Times New Roman" w:cs="Times New Roman" w:eastAsia="Times New Roman" w:hAnsi="Times New Roman"/>
          <w:sz w:val="18"/>
          <w:szCs w:val="18"/>
          <w:color w:val="auto"/>
        </w:rPr>
      </w:pPr>
    </w:p>
    <w:p>
      <w:pPr>
        <w:ind w:left="760" w:right="220" w:hanging="378"/>
        <w:spacing w:after="0" w:line="250"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68"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4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current procedures to be followed by stockholders in submitting recommendations for director candidates can be found in Section 4.15 of our By-Laws.</w:t>
      </w:r>
    </w:p>
    <w:p>
      <w:pPr>
        <w:spacing w:after="0" w:line="17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a separately-designated standing Audit Committee established in accordance with section 3(a)(58)(A) of the Exchange Act. The Audit Committee is currently comprised of Messrs. Conacher and Mesdag and Ms. Ross. Each of the members of the Audit Committee is independent, as independence for Audit Committee members is defined under the rules of Nasdaq. Messrs. Conacher and Mesdag each qualifies as an audit committee financial expert under the rules of the SEC.</w:t>
      </w:r>
    </w:p>
    <w:p>
      <w:pPr>
        <w:spacing w:after="0" w:line="1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https://investor.dxl.com.</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2021, the Audit Committee met six times.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 Audit Committee, see the “</w:t>
      </w:r>
      <w:r>
        <w:rPr>
          <w:rFonts w:ascii="Times New Roman" w:cs="Times New Roman" w:eastAsia="Times New Roman" w:hAnsi="Times New Roman"/>
          <w:sz w:val="18"/>
          <w:szCs w:val="18"/>
          <w:i w:val="1"/>
          <w:iCs w:val="1"/>
          <w:color w:val="auto"/>
        </w:rPr>
        <w:t>Report of the Audit Committee</w:t>
      </w:r>
      <w:r>
        <w:rPr>
          <w:rFonts w:ascii="Times New Roman" w:cs="Times New Roman" w:eastAsia="Times New Roman" w:hAnsi="Times New Roman"/>
          <w:sz w:val="18"/>
          <w:szCs w:val="18"/>
          <w:color w:val="auto"/>
        </w:rPr>
        <w:t>” included elsewhere in this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ind w:right="140"/>
        <w:spacing w:after="0" w:line="246" w:lineRule="auto"/>
        <w:rPr>
          <w:sz w:val="20"/>
          <w:szCs w:val="20"/>
          <w:color w:val="auto"/>
        </w:rPr>
      </w:pPr>
      <w:r>
        <w:rPr>
          <w:rFonts w:ascii="Times New Roman" w:cs="Times New Roman" w:eastAsia="Times New Roman" w:hAnsi="Times New Roman"/>
          <w:sz w:val="18"/>
          <w:szCs w:val="18"/>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six times during fiscal 2021. The current members of the Compensation Committee are Messrs. Mesdag, Boyle and Conacher, each of whom is “independent” under the rules of Nasdaq.</w:t>
      </w:r>
    </w:p>
    <w:p>
      <w:pPr>
        <w:spacing w:after="0" w:line="1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The Compensation Committee operates under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and Data Privacy Committee</w:t>
      </w:r>
    </w:p>
    <w:p>
      <w:pPr>
        <w:spacing w:after="0" w:line="10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Mses. Bauza, Ross and Rubin. The Cybersecurity Committee met four times during fiscal 2021.</w:t>
      </w:r>
    </w:p>
    <w:p>
      <w:pPr>
        <w:spacing w:after="0" w:line="16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 Cybersecurity Committee operates under a written charter, which can be found under “Corporate Governance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believes that the Company and its stockholders are best served by maintaining flexibility to have any director serve as Chairperson of the Board.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Corporate Governance Guidelines, if the Chairperson is not independent, the Board appoints an independent Lead Director.</w:t>
      </w:r>
    </w:p>
    <w:p>
      <w:pPr>
        <w:spacing w:after="0" w:line="20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1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9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human capital and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10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At DXL, we recognize the importance of addressing and prioritizing environmental, social and governance (ESG) issues throughout our business. During fiscal 2021, we formed the Sustainability Committee, consisting of a cross-disciplinary team from corporate management that engaged with a third-party firm to assist us in the development of the Company's initial ESG strategy and initiatives. The committee reports to the senior management team of the Company and our full board is involved in the oversight of our initiatives. Our senior management team is working with our Sustainability Committee to develop short- and long-term ESG goals, as well as an action plan. Information regarding our current efforts, and our ongoing ESG initiatives can be found on our corporate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The information included in, referenced to, or otherwise accessible through our website, is not incorporated by reference in, or considered to be part of, this document or any document unless expressly incorporated by reference therein.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08" w:lineRule="exact"/>
        <w:rPr>
          <w:sz w:val="20"/>
          <w:szCs w:val="20"/>
          <w:color w:val="auto"/>
        </w:rPr>
      </w:pPr>
    </w:p>
    <w:p>
      <w:pPr>
        <w:ind w:right="1060"/>
        <w:spacing w:after="0" w:line="266" w:lineRule="auto"/>
        <w:rPr>
          <w:sz w:val="20"/>
          <w:szCs w:val="20"/>
          <w:color w:val="auto"/>
        </w:rPr>
      </w:pPr>
      <w:r>
        <w:rPr>
          <w:rFonts w:ascii="Times New Roman" w:cs="Times New Roman" w:eastAsia="Times New Roman" w:hAnsi="Times New Roman"/>
          <w:sz w:val="18"/>
          <w:szCs w:val="18"/>
          <w:color w:val="auto"/>
        </w:rPr>
        <w:t>The Board has adopted Corporate Governance Guidelines, which set forth our governance principles relating to, among other things, director independence, director qualifications and responsibilities, board structure and meetings, and management succession.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A copy of the Governance Guidelines can be found under “Corporate Governance –Charters &amp; Policies” on the Investor Relations page of our corporate website,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None of the members of the Compensation Committee who served on the Compensation Committee during fiscal 2021 was at any time during fiscal 2021 or at any other time an officer or employee of our Company. During fiscal 2021, none of our executive officers served as a member of the board of directors or compensation committee of any other entity that had one or more executive officers serving as a member of our Board or Compensation Committee.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8" w:right="3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reviewing and making recommendations to our Board with respect to the compensation paid to our non-employee directors.</w:t>
      </w:r>
    </w:p>
    <w:p>
      <w:pPr>
        <w:spacing w:after="0" w:line="5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Company's Non-Employee Director Compensation Plan, as amended to date, sets forth the compensation to be paid to our non-employee directors, including in the form of equity. The plan also permits the Company’s non-employee directors to acquire shares of the Company’s common stock at fair market value by voluntarily electing to receive shares of common stock in lieu of cash fees for service as a director, and currently, there are 1.5 million shares authorized for issuance under the plan for this purpose. The plan is a stand-alone plan and is not a sub-plan under our 2016 Incentive Compensation Plan (the “2016 Plan”). Accordingly, shares issued under the plan for voluntary elections to receive shares of common stock in lieu of cash fees do not reduce the shares available for issuance under the 2016 Plan. However, as described below, beginning in fiscal 2022, directors, whose share ownership does not equal or exceed three times the annual retainer, will be required to receive up to 60% of their annual retainer in the form of shares of our common stock, which shares will come from the 2016 Plan. At January 29, 2022, 797,090 shares remained available for future issuance under the plan to directors that voluntarily elect to receive shares in lieu of cash fees in accordance with the terms of the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Compensation in Fiscal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non-employee directors were compensated under the plan as follows in fiscal 2021:</w:t>
      </w:r>
    </w:p>
    <w:p>
      <w:pPr>
        <w:spacing w:after="0" w:line="10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independent director received a quarterly retainer of $30,000;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Lead Director, as applicable, received a quarterly retainer of $5,000;</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Committee received a quarterly retainer of $2,500;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each other Board committee received a quarterly retainer of $1,250.</w:t>
      </w:r>
    </w:p>
    <w:p>
      <w:pPr>
        <w:spacing w:after="0" w:line="11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 fiscal 2021, non-employee directors were not required to elect 50% of their annual retainer in equity as was previously required under the terms of the plan. The decision to temporarily suspend this requirement was made to preserve the shares available for grant under the 2016 Plan, which is used to support the Company’s employee incentive programs. The terms of the plan in place for fiscal 2021 also limited the number of shares that could be issued each quarter to 250,000 shares (with any shortfall satisfied in cash), removed the requirement for directors to take 50% of their annual retainer in equity and removed the ability for directors to elect deferred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Non-Employee Director Compensation Plan for Fiscal 2022</w:t>
      </w:r>
    </w:p>
    <w:p>
      <w:pPr>
        <w:spacing w:after="0" w:line="1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November 2021, the Compensation Committee engaged Segal to conduct a study comparing the Company's non-employee director compensation, including pay mix and pay practices, to the Company's proxy peers and similarly situated organizations. Based on the results of that study, in December 2021, the Compensation Committee recommended, and the Board of Directors approved, amendments to the Non-Employee Director Compensation Plan that are effective beginning in fiscal 2022. The plan was amended to, among other things, add a minimum equity ownership requirement that requires each director to receive at least 60% of their annual retainers in shares of common stock until the value of their equity ownership is equal to at least three times the annual retainer. Any shares issued to satisfy the minimum equity ownership requirement will be issued under the 2016 Plan, while any additional equity will be satisfied under the Non-Employee Director Compensation Plan and the maximum number of shares that can be issued in any quarter pursuant to the plan remains limited to 250,000 shares in the aggregate. In addition, compensation paid to directors was amended, such that beginning in fiscal 2022, non-employee directors will receive the following compensation: (i) a retainer equal to $33,750 per fiscal quarter, (ii) a fee equal to $10,000 per fiscal quarter for the Board Chair/Lead Director, (iii) a fee equal to $5,000 per fiscal quarter for the chairperson of the audit committee, and (iv) a fee equal to $2,500 per fiscal quarter for the chairperson of any of the Board’s other committees.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following table sets forth the compensation paid to our directors during fiscal 2021. Ms. Rubin become a director on April 14, 2021 and Ms. Bauza became a director on December 17, 2021. Mr. Kanter is not included in the following table as he is a Named Executive Officer and, accordingly, received no compensation for his services as a director. Compensation earned by Mr. Kanter is included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7"/>
              <w:spacing w:after="0" w:line="139" w:lineRule="exact"/>
              <w:rPr>
                <w:sz w:val="20"/>
                <w:szCs w:val="20"/>
                <w:color w:val="auto"/>
              </w:rPr>
            </w:pPr>
            <w:r>
              <w:rPr>
                <w:rFonts w:ascii="Times New Roman" w:cs="Times New Roman" w:eastAsia="Times New Roman" w:hAnsi="Times New Roman"/>
                <w:sz w:val="13"/>
                <w:szCs w:val="13"/>
                <w:b w:val="1"/>
                <w:bCs w:val="1"/>
                <w:color w:val="auto"/>
              </w:rPr>
              <w:t>Paid in Cash</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37"/>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40" w:type="dxa"/>
            <w:vAlign w:val="bottom"/>
          </w:tcPr>
          <w:p>
            <w:pPr>
              <w:spacing w:after="0"/>
              <w:rPr>
                <w:sz w:val="12"/>
                <w:szCs w:val="12"/>
                <w:color w:val="auto"/>
              </w:rPr>
            </w:pP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2"/>
                <w:szCs w:val="12"/>
                <w:color w:val="auto"/>
              </w:rPr>
            </w:pPr>
          </w:p>
        </w:tc>
        <w:tc>
          <w:tcPr>
            <w:tcW w:w="12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r>
      <w:tr>
        <w:trPr>
          <w:trHeight w:val="188"/>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1180" w:type="dxa"/>
            <w:vAlign w:val="bottom"/>
            <w:gridSpan w:val="2"/>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1440" w:type="dxa"/>
            <w:vAlign w:val="bottom"/>
            <w:gridSpan w:val="2"/>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55"/>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r>
      <w:tr>
        <w:trPr>
          <w:trHeight w:val="210"/>
        </w:trPr>
        <w:tc>
          <w:tcPr>
            <w:tcW w:w="4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Lionel F. Conacher, Chairman</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Jack Boyle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4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Carmen R. Bauza</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Willem Mesdag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Mitchell S. Presser, former director</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64,217</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Ivy Ross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40" w:type="dxa"/>
            <w:vAlign w:val="bottom"/>
          </w:tcPr>
          <w:p>
            <w:pPr>
              <w:spacing w:after="0"/>
              <w:rPr>
                <w:sz w:val="18"/>
                <w:szCs w:val="18"/>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2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100" w:type="dxa"/>
            <w:vAlign w:val="bottom"/>
          </w:tcPr>
          <w:p>
            <w:pPr>
              <w:spacing w:after="0"/>
              <w:rPr>
                <w:sz w:val="18"/>
                <w:szCs w:val="18"/>
                <w:color w:val="auto"/>
              </w:rPr>
            </w:pPr>
          </w:p>
        </w:tc>
      </w:tr>
      <w:tr>
        <w:trPr>
          <w:trHeight w:val="21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Elaine K. Rubin</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95,667</w:t>
            </w:r>
          </w:p>
        </w:tc>
        <w:tc>
          <w:tcPr>
            <w:tcW w:w="100" w:type="dxa"/>
            <w:vAlign w:val="bottom"/>
            <w:shd w:val="clear" w:color="auto" w:fill="CFF0FC"/>
          </w:tcPr>
          <w:p>
            <w:pPr>
              <w:spacing w:after="0"/>
              <w:rPr>
                <w:sz w:val="18"/>
                <w:szCs w:val="18"/>
                <w:color w:val="auto"/>
              </w:rPr>
            </w:pPr>
          </w:p>
        </w:tc>
      </w:tr>
    </w:tbl>
    <w:p>
      <w:pPr>
        <w:spacing w:after="0" w:line="265" w:lineRule="exact"/>
        <w:rPr>
          <w:sz w:val="20"/>
          <w:szCs w:val="20"/>
          <w:color w:val="auto"/>
        </w:rPr>
      </w:pPr>
    </w:p>
    <w:p>
      <w:pPr>
        <w:ind w:left="760" w:right="20" w:hanging="378"/>
        <w:spacing w:after="0" w:line="243"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2021, Messrs. Mesdag and Presser elected to receive all compensation in unrestricted shares of common stock. Mr. Presser received a cash payment for the pro-rated third quarter retainer. Mr. Conacher elected to receive 50% of his compensation in unrestricted shares of common stock and 50% in cash. Mr. Boyle elected to receive 75% of his compensation in unrestricted shares of common stock and 25% in cash. Ms. Ross elected to receive 85% of her compensation in cash and 15% in stock. Pursuant to the Non-Employee Director Compensation Plan, because Mses. Bauza and Rubin joined the Board during fiscal 2021 and were not able to make elections, both received all compensation in cash.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78"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each director’s compensation that was paid in the form of equity through the issuance of unrestricted shares of common stock.</w:t>
      </w:r>
    </w:p>
    <w:p>
      <w:pPr>
        <w:ind w:left="760" w:right="460" w:hanging="378"/>
        <w:spacing w:after="0" w:line="243"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 grants to any of the directors in fiscal 2021. The following directors had the respective number of stock options outstanding at January 29, 2022: Mr. Boyle: 15,000; Mr. Conacher: 15,000; Mr. Mesdag: 15,000; and Ms. Ross: 15,000.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a summary of our executive compensation philosophy and programs, and discusses the compensation paid to our Chief Executive Officer (“CEO”), our Chief Financial Officer (“CFO”) and certain of our other executive officers who served in fiscal 2021 (collectively, our “Named Executive Officers”).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fiscal 2021 were:</w:t>
      </w:r>
    </w:p>
    <w:p>
      <w:pPr>
        <w:spacing w:after="0" w:line="212" w:lineRule="exact"/>
        <w:rPr>
          <w:sz w:val="20"/>
          <w:szCs w:val="20"/>
          <w:color w:val="auto"/>
        </w:rPr>
      </w:pPr>
    </w:p>
    <w:p>
      <w:pPr>
        <w:ind w:left="1140" w:hanging="383"/>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Harvey S. Kanter, President, CEO and Director</w:t>
      </w:r>
    </w:p>
    <w:p>
      <w:pPr>
        <w:spacing w:after="0" w:line="15" w:lineRule="exact"/>
        <w:rPr>
          <w:rFonts w:ascii="MS PGothic" w:cs="MS PGothic" w:eastAsia="MS PGothic" w:hAnsi="MS PGothic"/>
          <w:sz w:val="18"/>
          <w:szCs w:val="18"/>
          <w:color w:val="auto"/>
        </w:rPr>
      </w:pPr>
    </w:p>
    <w:p>
      <w:pPr>
        <w:ind w:left="1140" w:hanging="383"/>
        <w:spacing w:after="0" w:line="234" w:lineRule="auto"/>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Peter H. Stratton, Jr., Executive Vice President, CFO and Treasurer</w:t>
      </w:r>
    </w:p>
    <w:p>
      <w:pPr>
        <w:ind w:left="1140" w:hanging="383"/>
        <w:spacing w:after="0" w:line="234" w:lineRule="auto"/>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Ujjwal Dhoot, Chief Marketing Officer</w:t>
      </w:r>
    </w:p>
    <w:p>
      <w:pPr>
        <w:ind w:left="1140" w:hanging="383"/>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Robert S. Molloy, General Counsel and Secretary</w:t>
      </w:r>
    </w:p>
    <w:p>
      <w:pPr>
        <w:spacing w:after="0" w:line="9" w:lineRule="exact"/>
        <w:rPr>
          <w:rFonts w:ascii="MS PGothic" w:cs="MS PGothic" w:eastAsia="MS PGothic" w:hAnsi="MS PGothic"/>
          <w:sz w:val="18"/>
          <w:szCs w:val="18"/>
          <w:color w:val="auto"/>
        </w:rPr>
      </w:pPr>
    </w:p>
    <w:p>
      <w:pPr>
        <w:ind w:left="1140" w:hanging="383"/>
        <w:spacing w:after="0"/>
        <w:tabs>
          <w:tab w:leader="none" w:pos="1140" w:val="left"/>
        </w:tabs>
        <w:numPr>
          <w:ilvl w:val="0"/>
          <w:numId w:val="1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Anthony J. Gaeta, Chief Stores Officer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2021 Financial and Executive Compensation Highlights</w:t>
      </w:r>
    </w:p>
    <w:p>
      <w:pPr>
        <w:spacing w:after="0" w:line="1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financial plan for fiscal 2021 assumed that vaccines against the COVID-19 virus would be widely available and administered by the end of Spring 2021 and that the demand for apparel would gradually improve during fiscal 2021 as our customers were expected to begin to socialize and gather in groups outside the home. However, as early as the first quarter of fiscal 2021, we saw an acceleration in sales that continued throughout fiscal 2021 and, for the first time in the Company's history, sales exceeded $500 million. This sales growth, combined with improvements in gross margin, a restructured lease portfolio and lower operating expenses resulted in an adjusted EBITDA margin in excess of 15%, or $76.9 million, and earnings of $0.83 per diluted share. We also generated over $70 million in free cash flow during fiscal 2021, which enabled us to retire our long-term debt, pay off our revolver and renegotiate our credit facility on more favorable terms.</w:t>
      </w:r>
    </w:p>
    <w:p>
      <w:pPr>
        <w:spacing w:after="0" w:line="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believe that our management team successfully executed on our key business objectives to drive new customer acquisition, improve customer retention, increase lifetime customer value, transform our digital business and reshape our store portfolio for future growth. Our management team also successfully managed inventory levels throughout fiscal 2021 by taking proactive measures to manage the significant and ongoing disruptions in the global supply chain. We ended fiscal 2021 with a strong balance sheet and sufficient liquidity to invest in the future growth of our business and return capital to shareholders through a stock repurchase program that was approved in April 2022.</w:t>
      </w:r>
    </w:p>
    <w:p>
      <w:pPr>
        <w:spacing w:after="0" w:line="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compensation earned by our Named Executive Officers in fiscal 2021 was directly tied to our fiscal 2021 financial results. The increase in compensation earned by our Named Executive Officers in fiscal 2021 as compared to fiscal 2020 was primarily due to an increase in the payout under our 2021 annual incentive plan (AIP) as we exceeded the maximum payout thresholds on each of the plan's two financial metrics. In addition, the increase in compensation in fiscal 2021 as compared to fiscal 2020 reflected an increase in cash awards that vested during fiscal 2021 under the Company's Long-Term Incentive Plan and the restoration of base salaries, which had been temporarily curtailed in fiscal 2020 in connection with the Company's crisis management during the pandemic.</w:t>
      </w:r>
    </w:p>
    <w:p>
      <w:pPr>
        <w:spacing w:after="0" w:line="7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In March 2021, we also made a discretionary grant to then-active members of the 2018-2020 LTIP and to Mr. Kanter. Despite management's successfully navigating the pandemic, the 2018-2020 LTIP metrics were not achieved. The Compensation Committee felt strongly that a modest award should be granted to retain and motivate key employees beyond the pandemic. The aggregate grant-date fair value of the stock options awarded was $198,258 and was determined by the same calculation that would have been made had the 2018-2020 LTIP achieved a 12.5% achievement of its performance metric.</w:t>
      </w:r>
    </w:p>
    <w:p>
      <w:pPr>
        <w:spacing w:after="0" w:line="5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Subsequent to the end of fiscal 2021, the Compensation Committee approved a discretionary cash bonus to each participant in the AIP equal to 10% of their earned salary in fiscal 2021. The Compensation Committee granted these discretionary bonuses, which were made to 74 participants and totaled $1.2 million, to recognize the extraordinary financial performance of the Company in fiscal 2021 and the substantially increased workload of the Company's management team during the year and the contributions of other employees to the Company’s financial performance. The Compensation Committee believed it was in the best interests of the Company and its stockholders to approve these discretionary bonuses. In addition, for those associates in the corporate office, distribution center and customer call center, who were not participants in the AIP, the Company paid each associate a discretionary bonus equal to one-month's salaries/wages.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shows total compensation earned and total realized pay for each of the Named Executive Officers (NEOs) in fiscal 2021 as compared to fiscal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Total Compensation</w:t>
            </w:r>
            <w:r>
              <w:rPr>
                <w:rFonts w:ascii="Times New Roman" w:cs="Times New Roman" w:eastAsia="Times New Roman" w:hAnsi="Times New Roman"/>
                <w:sz w:val="24"/>
                <w:szCs w:val="24"/>
                <w:b w:val="1"/>
                <w:bCs w:val="1"/>
                <w:color w:val="auto"/>
                <w:w w:val="98"/>
                <w:vertAlign w:val="superscript"/>
              </w:rPr>
              <w:t>(1)</w:t>
            </w:r>
          </w:p>
        </w:tc>
        <w:tc>
          <w:tcPr>
            <w:tcW w:w="13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 xml:space="preserve">Total Realized Pay </w:t>
            </w:r>
            <w:r>
              <w:rPr>
                <w:rFonts w:ascii="Times New Roman" w:cs="Times New Roman" w:eastAsia="Times New Roman" w:hAnsi="Times New Roman"/>
                <w:sz w:val="24"/>
                <w:szCs w:val="24"/>
                <w:b w:val="1"/>
                <w:bCs w:val="1"/>
                <w:color w:val="auto"/>
                <w:w w:val="97"/>
                <w:vertAlign w:val="superscript"/>
              </w:rPr>
              <w:t>(2)</w:t>
            </w: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Fiscal 2021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Fiscal 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Pr>
          <w:p>
            <w:pPr>
              <w:spacing w:after="0"/>
              <w:rPr>
                <w:sz w:val="17"/>
                <w:szCs w:val="17"/>
                <w:color w:val="auto"/>
              </w:rPr>
            </w:pPr>
          </w:p>
        </w:tc>
        <w:tc>
          <w:tcPr>
            <w:tcW w:w="102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Fiscal 2021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w w:val="98"/>
              </w:rPr>
              <w:t>Fiscal 2020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9"/>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3,616,278</w:t>
            </w:r>
          </w:p>
        </w:tc>
        <w:tc>
          <w:tcPr>
            <w:tcW w:w="28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2,110,929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8,410,773</w:t>
            </w:r>
          </w:p>
        </w:tc>
        <w:tc>
          <w:tcPr>
            <w:tcW w:w="18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1,710,074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1,068,604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62.9 %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1,040,363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864,689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40.6 %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793,907</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980,419</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65.4 %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947,702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0" w:type="dxa"/>
            <w:vAlign w:val="bottom"/>
          </w:tcPr>
          <w:p>
            <w:pPr>
              <w:spacing w:after="0"/>
              <w:rPr>
                <w:sz w:val="1"/>
                <w:szCs w:val="1"/>
                <w:color w:val="auto"/>
              </w:rPr>
            </w:pPr>
          </w:p>
        </w:tc>
      </w:tr>
      <w:tr>
        <w:trPr>
          <w:trHeight w:val="216"/>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Gaeta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725,294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59.2 %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633,061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145020" cy="30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9" w:lineRule="exact"/>
        <w:rPr>
          <w:sz w:val="20"/>
          <w:szCs w:val="20"/>
          <w:color w:val="auto"/>
        </w:rPr>
      </w:pPr>
    </w:p>
    <w:p>
      <w:pPr>
        <w:ind w:left="760" w:right="160" w:hanging="378"/>
        <w:spacing w:after="0" w:line="283"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compensation reflects amounts as reported in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The increase in total compensation in fiscal 2021 as compared to fiscal 2020 is primarily due to performance-based compensation associated with the Company exceeding its targets under the 2021 AIP and the 2019-2021 LTIP.</w:t>
      </w:r>
    </w:p>
    <w:p>
      <w:pPr>
        <w:spacing w:after="0" w:line="52" w:lineRule="exact"/>
        <w:rPr>
          <w:rFonts w:ascii="Times New Roman" w:cs="Times New Roman" w:eastAsia="Times New Roman" w:hAnsi="Times New Roman"/>
          <w:sz w:val="16"/>
          <w:szCs w:val="16"/>
          <w:color w:val="auto"/>
        </w:rPr>
      </w:pPr>
    </w:p>
    <w:p>
      <w:pPr>
        <w:ind w:left="760" w:right="60" w:hanging="378"/>
        <w:spacing w:after="0" w:line="251"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realized pay is calculated as total compensation per the “</w:t>
      </w:r>
      <w:r>
        <w:rPr>
          <w:rFonts w:ascii="Times New Roman" w:cs="Times New Roman" w:eastAsia="Times New Roman" w:hAnsi="Times New Roman"/>
          <w:sz w:val="16"/>
          <w:szCs w:val="16"/>
          <w:i w:val="1"/>
          <w:iCs w:val="1"/>
          <w:color w:val="auto"/>
        </w:rPr>
        <w:t>Summary Compensation Table</w:t>
      </w:r>
      <w:r>
        <w:rPr>
          <w:rFonts w:ascii="Times New Roman" w:cs="Times New Roman" w:eastAsia="Times New Roman" w:hAnsi="Times New Roman"/>
          <w:sz w:val="16"/>
          <w:szCs w:val="16"/>
          <w:color w:val="auto"/>
        </w:rPr>
        <w:t>” minus the value of equity awards granted, as reported in the “</w:t>
      </w:r>
      <w:r>
        <w:rPr>
          <w:rFonts w:ascii="Times New Roman" w:cs="Times New Roman" w:eastAsia="Times New Roman" w:hAnsi="Times New Roman"/>
          <w:sz w:val="16"/>
          <w:szCs w:val="16"/>
          <w:i w:val="1"/>
          <w:iCs w:val="1"/>
          <w:color w:val="auto"/>
        </w:rPr>
        <w:t>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Awards</w:t>
      </w:r>
      <w:r>
        <w:rPr>
          <w:rFonts w:ascii="Times New Roman" w:cs="Times New Roman" w:eastAsia="Times New Roman" w:hAnsi="Times New Roman"/>
          <w:sz w:val="16"/>
          <w:szCs w:val="16"/>
          <w:color w:val="auto"/>
        </w:rPr>
        <w:t>” column and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column of that table, plus the value of any options exercised or stock awards that vested, as reflected in the “</w:t>
      </w:r>
      <w:r>
        <w:rPr>
          <w:rFonts w:ascii="Times New Roman" w:cs="Times New Roman" w:eastAsia="Times New Roman" w:hAnsi="Times New Roman"/>
          <w:sz w:val="16"/>
          <w:szCs w:val="16"/>
          <w:i w:val="1"/>
          <w:iCs w:val="1"/>
          <w:color w:val="auto"/>
        </w:rPr>
        <w:t>Option Exercises and Stock Vested</w:t>
      </w:r>
      <w:r>
        <w:rPr>
          <w:rFonts w:ascii="Times New Roman" w:cs="Times New Roman" w:eastAsia="Times New Roman" w:hAnsi="Times New Roman"/>
          <w:sz w:val="16"/>
          <w:szCs w:val="16"/>
          <w:color w:val="auto"/>
        </w:rPr>
        <w:t>” table for each of the respective years. Mr. Kanter's realized pay for fiscal 2021 includes 480,000 PSUs that vested during fiscal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a result of the Company's common stock achieving the related performance metric, which was a volume-weighted average closing price of $4.00 and $6.00 per share. The PSUs were granted to Mr. Kanter when he was hired in February 2019.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believes that an effective executive compensation program will:</w:t>
      </w:r>
    </w:p>
    <w:p>
      <w:pPr>
        <w:spacing w:after="0" w:line="104" w:lineRule="exact"/>
        <w:rPr>
          <w:sz w:val="20"/>
          <w:szCs w:val="20"/>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engage the executive talent the Company requires to perform in line with the Board’s expectations;</w:t>
      </w:r>
    </w:p>
    <w:p>
      <w:pPr>
        <w:spacing w:after="0" w:line="103" w:lineRule="exact"/>
        <w:rPr>
          <w:rFonts w:ascii="Times New Roman" w:cs="Times New Roman" w:eastAsia="Times New Roman" w:hAnsi="Times New Roman"/>
          <w:sz w:val="18"/>
          <w:szCs w:val="18"/>
          <w:color w:val="auto"/>
        </w:rPr>
      </w:pPr>
    </w:p>
    <w:p>
      <w:pPr>
        <w:ind w:left="780" w:right="500" w:hanging="263"/>
        <w:spacing w:after="0" w:line="282"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reward the achievement of specific annual and long-term performance goals through a combination of cash and stock-based compensation; and</w:t>
      </w:r>
    </w:p>
    <w:p>
      <w:pPr>
        <w:spacing w:after="0" w:line="40"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Company’s executives’ interests with those of its stockholders.</w:t>
      </w:r>
    </w:p>
    <w:p>
      <w:pPr>
        <w:spacing w:after="0" w:line="2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When reviewing compensation, the Compensation Committee emphasizes Direct Compensation. Direct Compensation consists of total cash compensation (base salary and annual performance-based cash incentive awards) plus long-term incentive awards, which, prior to the pandemic, were primarily equity awards. Every year, we assess the effectiveness of our compensation plans with the goal of strengthening our overall compensation program as appropriate, including by setting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Features of Our Executive Compensation Program</w:t>
      </w:r>
    </w:p>
    <w:p>
      <w:pPr>
        <w:spacing w:after="0" w:line="21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believe that the Company’s executive compensation program includes key features that align the compensation for our executive officers with the interests of our stockholders.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What We Do</w:t>
            </w:r>
          </w:p>
        </w:tc>
        <w:tc>
          <w:tcPr>
            <w:tcW w:w="5760" w:type="dxa"/>
            <w:vAlign w:val="bottom"/>
            <w:gridSpan w:val="3"/>
          </w:tcPr>
          <w:p>
            <w:pPr>
              <w:ind w:left="2280"/>
              <w:spacing w:after="0"/>
              <w:rPr>
                <w:sz w:val="20"/>
                <w:szCs w:val="20"/>
                <w:color w:val="auto"/>
              </w:rPr>
            </w:pPr>
            <w:r>
              <w:rPr>
                <w:rFonts w:ascii="Times New Roman" w:cs="Times New Roman" w:eastAsia="Times New Roman" w:hAnsi="Times New Roman"/>
                <w:sz w:val="18"/>
                <w:szCs w:val="18"/>
                <w:i w:val="1"/>
                <w:iCs w:val="1"/>
                <w:color w:val="auto"/>
              </w:rPr>
              <w:t>What We Don’t Do</w:t>
            </w:r>
          </w:p>
        </w:tc>
      </w:tr>
      <w:tr>
        <w:trPr>
          <w:trHeight w:val="20"/>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54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Focus on performance-based pay</w:t>
            </w:r>
          </w:p>
        </w:tc>
        <w:tc>
          <w:tcPr>
            <w:tcW w:w="576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 xml:space="preserve">    No re-pricing of underwater options</w:t>
            </w:r>
          </w:p>
        </w:tc>
      </w:tr>
      <w:tr>
        <w:trPr>
          <w:trHeight w:val="324"/>
        </w:trPr>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Balance short-term and long-term incentives</w:t>
            </w:r>
          </w:p>
        </w:tc>
        <w:tc>
          <w:tcPr>
            <w:tcW w:w="57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xml:space="preserve">    No hedging of Company stock</w:t>
            </w:r>
          </w:p>
        </w:tc>
      </w:tr>
      <w:tr>
        <w:trPr>
          <w:trHeight w:val="324"/>
        </w:trPr>
        <w:tc>
          <w:tcPr>
            <w:tcW w:w="54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Use multiple targets for performance awards</w:t>
            </w:r>
          </w:p>
        </w:tc>
        <w:tc>
          <w:tcPr>
            <w:tcW w:w="576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 xml:space="preserve">    No tax gross-up on severance payments</w:t>
            </w:r>
          </w:p>
        </w:tc>
      </w:tr>
      <w:tr>
        <w:trPr>
          <w:trHeight w:val="324"/>
        </w:trPr>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Provide executives with very limited perquisites</w:t>
            </w:r>
          </w:p>
        </w:tc>
        <w:tc>
          <w:tcPr>
            <w:tcW w:w="57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xml:space="preserve">    No active supplemental executive retirement plan</w:t>
            </w:r>
          </w:p>
        </w:tc>
      </w:tr>
      <w:tr>
        <w:trPr>
          <w:trHeight w:val="324"/>
        </w:trPr>
        <w:tc>
          <w:tcPr>
            <w:tcW w:w="54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Require “double-trigger” change-in-control provisions</w:t>
            </w:r>
          </w:p>
        </w:tc>
        <w:tc>
          <w:tcPr>
            <w:tcW w:w="228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r>
      <w:tr>
        <w:trPr>
          <w:trHeight w:val="279"/>
        </w:trPr>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Maintain a “clawback” policy covering incentive cash and equity</w:t>
            </w: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548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    Seek to mitigate undue risk in compensation plans</w:t>
            </w:r>
          </w:p>
        </w:tc>
        <w:tc>
          <w:tcPr>
            <w:tcW w:w="228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2120" w:type="dxa"/>
            <w:vAlign w:val="bottom"/>
            <w:shd w:val="clear" w:color="auto" w:fill="CFF0FC"/>
          </w:tcPr>
          <w:p>
            <w:pPr>
              <w:spacing w:after="0"/>
              <w:rPr>
                <w:sz w:val="24"/>
                <w:szCs w:val="24"/>
                <w:color w:val="auto"/>
              </w:rPr>
            </w:pPr>
          </w:p>
        </w:tc>
      </w:tr>
      <w:tr>
        <w:trPr>
          <w:trHeight w:val="324"/>
        </w:trPr>
        <w:tc>
          <w:tcPr>
            <w:tcW w:w="5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Utilize an independent compensation consultant</w:t>
            </w:r>
          </w:p>
        </w:tc>
        <w:tc>
          <w:tcPr>
            <w:tcW w:w="2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40"/>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01"/>
        </w:trPr>
        <w:tc>
          <w:tcPr>
            <w:tcW w:w="23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32"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Compensation Consultants</w:t>
      </w:r>
    </w:p>
    <w:p>
      <w:pPr>
        <w:spacing w:after="0" w:line="1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8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The Compensation Committee periodically consults with the Segal Group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In February 2022, the Compensation Committee engaged Segal to review Mr. Kanter's base salary and total direct compensation in connection with the amendment of Mr. Kanter’s employment agreement with the Company, as further described below under “</w:t>
      </w:r>
      <w:r>
        <w:rPr>
          <w:rFonts w:ascii="Times New Roman" w:cs="Times New Roman" w:eastAsia="Times New Roman" w:hAnsi="Times New Roman"/>
          <w:sz w:val="18"/>
          <w:szCs w:val="18"/>
          <w:i w:val="1"/>
          <w:iCs w:val="1"/>
          <w:color w:val="auto"/>
        </w:rPr>
        <w:t>Amended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with Mr. Kanter</w:t>
      </w:r>
      <w:r>
        <w:rPr>
          <w:rFonts w:ascii="Times New Roman" w:cs="Times New Roman" w:eastAsia="Times New Roman" w:hAnsi="Times New Roman"/>
          <w:sz w:val="18"/>
          <w:szCs w:val="18"/>
          <w:color w:val="auto"/>
        </w:rPr>
        <w:t>.” Based on market insights from Segal, including information derived from published surveys on CEO compensation in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annual revenues of up to $500 million and trends in CEO compensation, the Compensation Committee approved an increase in Mr. Kanter's annual base salary from $735,000 to $850,000.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Target Compensation</w:t>
      </w:r>
    </w:p>
    <w:p>
      <w:pPr>
        <w:spacing w:after="0" w:line="1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i w:val="1"/>
          <w:iCs w:val="1"/>
          <w:color w:val="auto"/>
        </w:rPr>
        <w:t>CEO Compensation</w:t>
      </w:r>
      <w:r>
        <w:rPr>
          <w:rFonts w:ascii="Times New Roman" w:cs="Times New Roman" w:eastAsia="Times New Roman" w:hAnsi="Times New Roman"/>
          <w:sz w:val="18"/>
          <w:szCs w:val="18"/>
          <w:color w:val="auto"/>
        </w:rPr>
        <w:t>. The Compensation Committee is responsible for determining the target compensation of our CEO. Working with Segal,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CEO, the Compensation Committee placed additional emphasis on performance pay by increasing the participation rate in the long-term incentive plan. In addition, as part of his compensation package in fiscal 2019 when he joined the Company, Mr. Kanter received a sign-on performance stock unit award (“PSU”) tied directly to the Company’s stock price.</w:t>
      </w:r>
    </w:p>
    <w:p>
      <w:pPr>
        <w:spacing w:after="0" w:line="19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Other Named Executive Officers. </w:t>
      </w:r>
      <w:r>
        <w:rPr>
          <w:rFonts w:ascii="Times New Roman" w:cs="Times New Roman" w:eastAsia="Times New Roman" w:hAnsi="Times New Roman"/>
          <w:sz w:val="18"/>
          <w:szCs w:val="18"/>
          <w:color w:val="auto"/>
        </w:rPr>
        <w:t>Our CEO is primarily responsible for recommending the compensation paid to our other Named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review and approval of the Compensation Committee. Our other Named Executive Officers are provided with a competitive base salary and an opportunity to earn performance awards each year, which are driven by our overall financial targets. Compensation to our other Named Executive Officers was most recently reviewed by Segal in May 2019, at which time Segal reported that such compensation was within the median (or 50% percentile) of the Company’s then proxy peer group. See “</w:t>
      </w:r>
      <w:r>
        <w:rPr>
          <w:rFonts w:ascii="Times New Roman" w:cs="Times New Roman" w:eastAsia="Times New Roman" w:hAnsi="Times New Roman"/>
          <w:sz w:val="18"/>
          <w:szCs w:val="18"/>
          <w:i w:val="1"/>
          <w:iCs w:val="1"/>
          <w:color w:val="auto"/>
        </w:rPr>
        <w:t>Compensation Components and Fiscal 2021 Compensation Decisions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Peers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2021 peer group were:</w:t>
      </w: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Boot Barn Holding, Inc.</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J.Jill, Inc.</w:t>
            </w:r>
          </w:p>
        </w:tc>
        <w:tc>
          <w:tcPr>
            <w:tcW w:w="2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Tilly’s Inc.</w:t>
            </w:r>
          </w:p>
        </w:tc>
      </w:tr>
      <w:tr>
        <w:trPr>
          <w:trHeight w:val="47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Build-A-Bear Workshop, Inc.</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Kaspien Holding, Inc.</w:t>
            </w:r>
          </w:p>
        </w:tc>
        <w:tc>
          <w:tcPr>
            <w:tcW w:w="2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Vera Bradley</w:t>
            </w:r>
          </w:p>
        </w:tc>
      </w:tr>
      <w:tr>
        <w:trPr>
          <w:trHeight w:val="47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Cato Group</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Kirkland’s, Inc.</w:t>
            </w:r>
          </w:p>
        </w:tc>
        <w:tc>
          <w:tcPr>
            <w:tcW w:w="22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Vince Holding Corp.</w:t>
            </w:r>
          </w:p>
        </w:tc>
      </w:tr>
      <w:tr>
        <w:trPr>
          <w:trHeight w:val="47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Citi Trends</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Movado Group</w:t>
            </w:r>
          </w:p>
        </w:tc>
        <w:tc>
          <w:tcPr>
            <w:tcW w:w="2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Zumiez, Inc.</w:t>
            </w:r>
          </w:p>
        </w:tc>
      </w:tr>
      <w:tr>
        <w:trPr>
          <w:trHeight w:val="47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Delta Apparel, Inc.</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Sportsman’s Warehouse</w:t>
            </w:r>
          </w:p>
        </w:tc>
        <w:tc>
          <w:tcPr>
            <w:tcW w:w="2220" w:type="dxa"/>
            <w:vAlign w:val="bottom"/>
          </w:tcPr>
          <w:p>
            <w:pPr>
              <w:spacing w:after="0"/>
              <w:rPr>
                <w:sz w:val="24"/>
                <w:szCs w:val="24"/>
                <w:color w:val="auto"/>
              </w:rPr>
            </w:pPr>
          </w:p>
        </w:tc>
      </w:tr>
      <w:tr>
        <w:trPr>
          <w:trHeight w:val="662"/>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Duluth Holding, Inc.</w:t>
            </w:r>
          </w:p>
        </w:tc>
        <w:tc>
          <w:tcPr>
            <w:tcW w:w="2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Tile Shop Holdings</w:t>
            </w:r>
          </w:p>
        </w:tc>
        <w:tc>
          <w:tcPr>
            <w:tcW w:w="2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fiscal 2021, we updated our peer group to remove Christopher &amp; Banks, Francesca's Holding Corp. and Retailwinds, Inc. due to the bankruptcy of each of these companies, and to add Delta Apparel, Inc., J.Jill, Inc., and Kaspien Holding, Inc.</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 w:name="page19"/>
    <w:bookmarkEnd w:id="18"/>
    <w:p>
      <w:pPr>
        <w:spacing w:after="0" w:line="244" w:lineRule="auto"/>
        <w:rPr>
          <w:sz w:val="20"/>
          <w:szCs w:val="20"/>
          <w:color w:val="auto"/>
        </w:rPr>
      </w:pPr>
      <w:r>
        <w:rPr>
          <w:rFonts w:ascii="Times New Roman" w:cs="Times New Roman" w:eastAsia="Times New Roman" w:hAnsi="Times New Roman"/>
          <w:sz w:val="18"/>
          <w:szCs w:val="18"/>
          <w:color w:val="auto"/>
        </w:rPr>
        <w:t>In order to develop an appropriate peer group, we consider companies with a range of revenues, assets and market capitalizations that may differ from those included by independent analysts such as Institutional Shareholder Services (ISS). With respect to our fiscal 2021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21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9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At our 2021 Annual Meeting, stockholders had an opportunity to cast a non-binding advisory vote on executive compensation as disclosed in the 2021 Proxy Statement. Of the votes cast on the say-on-pay proposal, 99.5% voted in favor of the proposal. The Compensation Committee considered the results of the 2021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Assessment/Clawback</w:t>
      </w:r>
    </w:p>
    <w:p>
      <w:pPr>
        <w:spacing w:after="0" w:line="12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resulted in a financial restatement. Incentive-Based Compensation includes all cash and equity awards.</w:t>
      </w:r>
    </w:p>
    <w:p>
      <w:pPr>
        <w:spacing w:after="0" w:line="9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 and Fiscal 2021 Compensation Decisions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6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217170</wp:posOffset>
            </wp:positionV>
            <wp:extent cx="6172200" cy="1825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executive compensation are as follows:</w:t>
      </w:r>
    </w:p>
    <w:p>
      <w:pPr>
        <w:spacing w:after="0" w:line="102" w:lineRule="exact"/>
        <w:rPr>
          <w:sz w:val="20"/>
          <w:szCs w:val="20"/>
          <w:color w:val="auto"/>
        </w:rPr>
      </w:pPr>
    </w:p>
    <w:p>
      <w:pPr>
        <w:ind w:left="780" w:hanging="26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p>
    <w:p>
      <w:pPr>
        <w:spacing w:after="0" w:line="105" w:lineRule="exact"/>
        <w:rPr>
          <w:rFonts w:ascii="Times New Roman" w:cs="Times New Roman" w:eastAsia="Times New Roman" w:hAnsi="Times New Roman"/>
          <w:sz w:val="18"/>
          <w:szCs w:val="18"/>
          <w:color w:val="auto"/>
        </w:rPr>
      </w:pPr>
    </w:p>
    <w:p>
      <w:pPr>
        <w:ind w:left="7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40" w:lineRule="exact"/>
        <w:rPr>
          <w:rFonts w:ascii="Times New Roman" w:cs="Times New Roman" w:eastAsia="Times New Roman" w:hAnsi="Times New Roman"/>
          <w:sz w:val="18"/>
          <w:szCs w:val="18"/>
          <w:color w:val="auto"/>
        </w:rPr>
      </w:pPr>
    </w:p>
    <w:p>
      <w:pPr>
        <w:ind w:left="7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69" w:lineRule="exact"/>
        <w:rPr>
          <w:rFonts w:ascii="Times New Roman" w:cs="Times New Roman" w:eastAsia="Times New Roman" w:hAnsi="Times New Roman"/>
          <w:sz w:val="18"/>
          <w:szCs w:val="18"/>
          <w:color w:val="auto"/>
        </w:rPr>
      </w:pPr>
    </w:p>
    <w:p>
      <w:pPr>
        <w:ind w:left="76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61" w:lineRule="exact"/>
        <w:rPr>
          <w:rFonts w:ascii="Times New Roman" w:cs="Times New Roman" w:eastAsia="Times New Roman" w:hAnsi="Times New Roman"/>
          <w:sz w:val="18"/>
          <w:szCs w:val="18"/>
          <w:color w:val="auto"/>
        </w:rPr>
      </w:pPr>
    </w:p>
    <w:p>
      <w:pPr>
        <w:ind w:left="76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adjustments to the base salaries of our other Named Executive Officers during fiscal 2021. In March 2022, Mr. Gaeta was promoted to Chief Stores Officer and his base salary was increased from $295,000 to $325,000. In addition, Messrs. Stratton, Dhoot and Molloy each received a 3% merit increase for fiscal 2022. As mentioned above, Mr. Kanter's salary for fiscal 2022 was increased in accordance with the terms of his amended and restated employment agreement, discussed below.</w:t>
      </w:r>
    </w:p>
    <w:p>
      <w:pPr>
        <w:spacing w:after="0" w:line="17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annual incentive plan</w:t>
      </w:r>
    </w:p>
    <w:p>
      <w:pPr>
        <w:spacing w:after="0" w:line="227" w:lineRule="exact"/>
        <w:rPr>
          <w:rFonts w:ascii="Times New Roman" w:cs="Times New Roman" w:eastAsia="Times New Roman" w:hAnsi="Times New Roman"/>
          <w:sz w:val="18"/>
          <w:szCs w:val="18"/>
          <w:color w:val="auto"/>
        </w:rPr>
      </w:pPr>
    </w:p>
    <w:p>
      <w:pPr>
        <w:ind w:left="76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190" w:lineRule="exact"/>
        <w:rPr>
          <w:rFonts w:ascii="Times New Roman" w:cs="Times New Roman" w:eastAsia="Times New Roman" w:hAnsi="Times New Roman"/>
          <w:sz w:val="18"/>
          <w:szCs w:val="18"/>
          <w:color w:val="auto"/>
        </w:rPr>
      </w:pPr>
    </w:p>
    <w:p>
      <w:pPr>
        <w:ind w:left="7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2021, the Company's management engaged Korn Ferry to review every position within the Company, except for store positions, and develop a job level classification with a range of compensation for each of those positions in the Company. The completed review by Korn Ferry resulted in the Compensation Committee's expanding the participation in the Company's Annual Incentive Plan.</w:t>
      </w:r>
    </w:p>
    <w:p>
      <w:pPr>
        <w:spacing w:after="0" w:line="190" w:lineRule="exact"/>
        <w:rPr>
          <w:rFonts w:ascii="Times New Roman" w:cs="Times New Roman" w:eastAsia="Times New Roman" w:hAnsi="Times New Roman"/>
          <w:sz w:val="18"/>
          <w:szCs w:val="18"/>
          <w:color w:val="auto"/>
        </w:rPr>
      </w:pPr>
    </w:p>
    <w:p>
      <w:pPr>
        <w:ind w:left="760" w:right="4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subsequent to the end of fiscal 2021, the Compensation Committee approved the Fifth Amended and Restated Annual Incentive Plan, which will be effective with the 2022 AIP. The AIP was amended, among other things, to change the definition of employees eligible to participate in the AIP from 'director level and above' to a 'Job Level classification of 15 or above', which is consistent with the implementation of job level classification noted above and will result in increased participation in the AIP. The Compensation Committee decided to expand participation in the AIP due to the Compensation Committee’s confidence in the successful implementation of the plan and that it works effectively to motivate and retain associates. The Compensation Committee determined that it would be appropriate and in the best interest of shareholders to include more associates in that demonstrated success.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2021 AIP</w:t>
      </w:r>
    </w:p>
    <w:p>
      <w:pPr>
        <w:spacing w:after="0" w:line="117" w:lineRule="exact"/>
        <w:rPr>
          <w:sz w:val="20"/>
          <w:szCs w:val="20"/>
          <w:color w:val="auto"/>
        </w:rPr>
      </w:pPr>
    </w:p>
    <w:p>
      <w:pPr>
        <w:jc w:val="both"/>
        <w:ind w:right="480"/>
        <w:spacing w:after="0" w:line="250" w:lineRule="auto"/>
        <w:rPr>
          <w:sz w:val="20"/>
          <w:szCs w:val="20"/>
          <w:color w:val="auto"/>
        </w:rPr>
      </w:pPr>
      <w:r>
        <w:rPr>
          <w:rFonts w:ascii="Times New Roman" w:cs="Times New Roman" w:eastAsia="Times New Roman" w:hAnsi="Times New Roman"/>
          <w:sz w:val="18"/>
          <w:szCs w:val="18"/>
          <w:color w:val="auto"/>
        </w:rPr>
        <w:t>On April 1, 2021, the Compensation Committee established the performance metrics for the 2021 AIP. For fiscal 2021, Mr. Kanter’s target participation in the AIP was at 100% of his earned salary, Mr. Stratton participated at 55% of his earned salary, Messrs. Dhoot and Molloy participated at 50% of their respective earned salary, and Mr. Gaeta participated at 40% of his earned salary.</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performance metrics and potential payout levels were derived from the Company’s annual operating plan for fiscal 2021. The Compensation Committee believed it was necessary, due to the continued uncertainty regarding the impact and duration of the pandemic, to focus on two key financial metrics for fiscal 2021 (Sales and Adjusted EBITDA) and added specific metrics to include functional departmental targets for Store Operations, Marketing &amp; Digital, and Merchandise/Planning and Allocation, and personal goals. For Messrs. Kanter, Stratton and Molloy, the financial metrics represented 80% of their AIP, and for Messrs. Dhoot and Gaeta, these financial metrics represented 40% and their respective departmental metrics represented 40% of their AIP. The remaining 20% for each of the Named Executive Officers was attributable to the achievement of pre-defined personal goals. See footnote 3 to the below table for a discussion of these personal goals. The 2021 AIP metrics were intended to be achievable, with an approximate 50% probability of achievement; however, given the uncertainty surrounding the duration of the pandemic, the rollout of vaccines and its impact on our financial results, there was an inherent risk that these metrics might not be attainable.</w:t>
      </w:r>
    </w:p>
    <w:p>
      <w:pPr>
        <w:spacing w:after="0" w:line="6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Company's annual operating plan for fiscal 2021 assumed that vaccines against the COVID-19 virus would be widely available and administered by the end of Spring 2021 and that demand for apparel would gradually improve in fiscal 2021 and while the Company expected to see improvement from fiscal 2020, the Company did not expect a return to pre-pandemic performance due to the continuing impact of the pandemic, including its impact on the global supply chain. The actual financial results for fiscal 2021 far exceeded the Company's expectations as the Company saw an earlier-than-expected acceleration in sales that continued through the remainder of fiscal 2021. As a result, in addition to the payouts earned under the AIP for fiscal 2021, the Compensation Committee approved a discretionary cash bonus to participants in the AIP program as described below under “</w:t>
      </w:r>
      <w:r>
        <w:rPr>
          <w:rFonts w:ascii="Times New Roman" w:cs="Times New Roman" w:eastAsia="Times New Roman" w:hAnsi="Times New Roman"/>
          <w:sz w:val="18"/>
          <w:szCs w:val="18"/>
          <w:i w:val="1"/>
          <w:iCs w:val="1"/>
          <w:color w:val="auto"/>
        </w:rPr>
        <w:t>Discretionary Cash and Equity Awards</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4" w:right="35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7"/>
          <w:szCs w:val="17"/>
          <w:color w:val="auto"/>
        </w:rPr>
        <w:t>The 2021 AIP performance metrics and actual results against these metrics were as follows:</w:t>
      </w:r>
    </w:p>
    <w:p>
      <w:pPr>
        <w:sectPr>
          <w:pgSz w:w="11900" w:h="16838" w:orient="portrait"/>
          <w:cols w:equalWidth="0" w:num="1">
            <w:col w:w="10660"/>
          </w:cols>
          <w:pgMar w:left="740" w:top="43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auto"/>
        </w:rPr>
        <w:t>Metric</w:t>
      </w:r>
    </w:p>
    <w:p>
      <w:pPr>
        <w:spacing w:after="0" w:line="2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Corporate</w:t>
      </w:r>
      <w:r>
        <w:rPr>
          <w:sz w:val="20"/>
          <w:szCs w:val="20"/>
          <w:color w:val="auto"/>
        </w:rPr>
        <w:tab/>
      </w:r>
      <w:r>
        <w:rPr>
          <w:rFonts w:ascii="Times New Roman" w:cs="Times New Roman" w:eastAsia="Times New Roman" w:hAnsi="Times New Roman"/>
          <w:sz w:val="14"/>
          <w:szCs w:val="14"/>
          <w:color w:val="auto"/>
        </w:rPr>
        <w:t>Sales</w:t>
      </w:r>
    </w:p>
    <w:p>
      <w:pPr>
        <w:spacing w:after="0"/>
        <w:rPr>
          <w:sz w:val="20"/>
          <w:szCs w:val="20"/>
          <w:color w:val="auto"/>
        </w:rPr>
      </w:pPr>
      <w:r>
        <w:rPr>
          <w:rFonts w:ascii="Times New Roman" w:cs="Times New Roman" w:eastAsia="Times New Roman" w:hAnsi="Times New Roman"/>
          <w:sz w:val="14"/>
          <w:szCs w:val="14"/>
          <w:b w:val="1"/>
          <w:bCs w:val="1"/>
          <w:color w:val="auto"/>
        </w:rPr>
        <w:t>Target 1</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Weight</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Metric</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other than</w:t>
            </w:r>
          </w:p>
        </w:tc>
        <w:tc>
          <w:tcPr>
            <w:tcW w:w="7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Messrs.</w:t>
            </w: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Dhoot and</w:t>
            </w: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Weight of</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 %</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56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Gaeta</w:t>
            </w:r>
          </w:p>
        </w:tc>
        <w:tc>
          <w:tcPr>
            <w:tcW w:w="780" w:type="dxa"/>
            <w:vAlign w:val="bottom"/>
            <w:gridSpan w:val="3"/>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Metric for</w:t>
            </w:r>
          </w:p>
        </w:tc>
        <w:tc>
          <w:tcPr>
            <w:tcW w:w="80" w:type="dxa"/>
            <w:vAlign w:val="bottom"/>
          </w:tcPr>
          <w:p>
            <w:pPr>
              <w:spacing w:after="0"/>
              <w:rPr>
                <w:sz w:val="13"/>
                <w:szCs w:val="13"/>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Weight of</w:t>
            </w: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Mr. Dhoot</w:t>
            </w: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Metric</w:t>
            </w: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for</w:t>
            </w:r>
          </w:p>
        </w:tc>
        <w:tc>
          <w:tcPr>
            <w:tcW w:w="0" w:type="dxa"/>
            <w:vAlign w:val="bottom"/>
          </w:tcPr>
          <w:p>
            <w:pPr>
              <w:spacing w:after="0"/>
              <w:rPr>
                <w:sz w:val="1"/>
                <w:szCs w:val="1"/>
                <w:color w:val="auto"/>
              </w:rPr>
            </w:pPr>
          </w:p>
        </w:tc>
      </w:tr>
      <w:tr>
        <w:trPr>
          <w:trHeight w:val="160"/>
        </w:trPr>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Mr. Gaeta</w:t>
            </w:r>
          </w:p>
        </w:tc>
        <w:tc>
          <w:tcPr>
            <w:tcW w:w="0" w:type="dxa"/>
            <w:vAlign w:val="bottom"/>
          </w:tcPr>
          <w:p>
            <w:pPr>
              <w:spacing w:after="0"/>
              <w:rPr>
                <w:sz w:val="1"/>
                <w:szCs w:val="1"/>
                <w:color w:val="auto"/>
              </w:rPr>
            </w:pPr>
          </w:p>
        </w:tc>
      </w:tr>
      <w:tr>
        <w:trPr>
          <w:trHeight w:val="199"/>
        </w:trPr>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40.0%</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7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280" w:type="dxa"/>
            <w:vAlign w:val="bottom"/>
          </w:tcPr>
          <w:p>
            <w:pPr>
              <w:spacing w:after="0"/>
              <w:rPr>
                <w:sz w:val="13"/>
                <w:szCs w:val="13"/>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2021 Target</w:t>
            </w:r>
          </w:p>
        </w:tc>
        <w:tc>
          <w:tcPr>
            <w:tcW w:w="108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2021 Actual</w:t>
            </w:r>
          </w:p>
        </w:tc>
        <w:tc>
          <w:tcPr>
            <w:tcW w:w="94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840" w:type="dxa"/>
            <w:vAlign w:val="bottom"/>
            <w:gridSpan w:val="2"/>
          </w:tcPr>
          <w:p>
            <w:pPr>
              <w:jc w:val="center"/>
              <w:ind w:right="820"/>
              <w:spacing w:after="0" w:line="160" w:lineRule="exact"/>
              <w:rPr>
                <w:sz w:val="20"/>
                <w:szCs w:val="20"/>
                <w:color w:val="auto"/>
              </w:rPr>
            </w:pPr>
            <w:r>
              <w:rPr>
                <w:rFonts w:ascii="Times New Roman" w:cs="Times New Roman" w:eastAsia="Times New Roman" w:hAnsi="Times New Roman"/>
                <w:sz w:val="14"/>
                <w:szCs w:val="14"/>
                <w:b w:val="1"/>
                <w:bCs w:val="1"/>
                <w:color w:val="auto"/>
              </w:rPr>
              <w:t>Potential Payout</w:t>
            </w:r>
          </w:p>
        </w:tc>
        <w:tc>
          <w:tcPr>
            <w:tcW w:w="2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54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100%  payout  at  target,  with  50%</w:t>
            </w:r>
          </w:p>
        </w:tc>
        <w:tc>
          <w:tcPr>
            <w:tcW w:w="122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color w:val="auto"/>
              </w:rPr>
              <w:t>$402.0 million</w:t>
            </w:r>
          </w:p>
        </w:tc>
        <w:tc>
          <w:tcPr>
            <w:tcW w:w="1080" w:type="dxa"/>
            <w:vAlign w:val="bottom"/>
            <w:gridSpan w:val="3"/>
          </w:tcPr>
          <w:p>
            <w:pPr>
              <w:jc w:val="center"/>
              <w:ind w:left="28"/>
              <w:spacing w:after="0" w:line="147" w:lineRule="exact"/>
              <w:rPr>
                <w:sz w:val="20"/>
                <w:szCs w:val="20"/>
                <w:color w:val="auto"/>
              </w:rPr>
            </w:pPr>
            <w:r>
              <w:rPr>
                <w:rFonts w:ascii="Times New Roman" w:cs="Times New Roman" w:eastAsia="Times New Roman" w:hAnsi="Times New Roman"/>
                <w:sz w:val="14"/>
                <w:szCs w:val="14"/>
                <w:color w:val="auto"/>
              </w:rPr>
              <w:t>$505.0 million</w:t>
            </w:r>
          </w:p>
        </w:tc>
        <w:tc>
          <w:tcPr>
            <w:tcW w:w="940" w:type="dxa"/>
            <w:vAlign w:val="bottom"/>
            <w:gridSpan w:val="3"/>
          </w:tcPr>
          <w:p>
            <w:pPr>
              <w:jc w:val="center"/>
              <w:ind w:left="8"/>
              <w:spacing w:after="0" w:line="147" w:lineRule="exact"/>
              <w:rPr>
                <w:sz w:val="20"/>
                <w:szCs w:val="20"/>
                <w:color w:val="auto"/>
              </w:rPr>
            </w:pPr>
            <w:r>
              <w:rPr>
                <w:rFonts w:ascii="Times New Roman" w:cs="Times New Roman" w:eastAsia="Times New Roman" w:hAnsi="Times New Roman"/>
                <w:sz w:val="14"/>
                <w:szCs w:val="14"/>
                <w:color w:val="auto"/>
              </w:rPr>
              <w:t>150.0% (200%</w:t>
            </w:r>
          </w:p>
        </w:tc>
        <w:tc>
          <w:tcPr>
            <w:tcW w:w="0" w:type="dxa"/>
            <w:vAlign w:val="bottom"/>
          </w:tcPr>
          <w:p>
            <w:pPr>
              <w:spacing w:after="0"/>
              <w:rPr>
                <w:sz w:val="1"/>
                <w:szCs w:val="1"/>
                <w:color w:val="auto"/>
              </w:rPr>
            </w:pPr>
          </w:p>
        </w:tc>
      </w:tr>
      <w:tr>
        <w:trPr>
          <w:trHeight w:val="148"/>
        </w:trPr>
        <w:tc>
          <w:tcPr>
            <w:tcW w:w="2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95.7% of target and 150%</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w w:val="97"/>
              </w:rPr>
              <w:t>for</w:t>
            </w:r>
          </w:p>
        </w:tc>
        <w:tc>
          <w:tcPr>
            <w:tcW w:w="0" w:type="dxa"/>
            <w:vAlign w:val="bottom"/>
          </w:tcPr>
          <w:p>
            <w:pPr>
              <w:spacing w:after="0"/>
              <w:rPr>
                <w:sz w:val="1"/>
                <w:szCs w:val="1"/>
                <w:color w:val="auto"/>
              </w:rPr>
            </w:pPr>
          </w:p>
        </w:tc>
      </w:tr>
      <w:tr>
        <w:trPr>
          <w:trHeight w:val="148"/>
        </w:trPr>
        <w:tc>
          <w:tcPr>
            <w:tcW w:w="2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payout at 104.3% of target, with the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Mr. Kanter)</w:t>
            </w:r>
          </w:p>
        </w:tc>
        <w:tc>
          <w:tcPr>
            <w:tcW w:w="0" w:type="dxa"/>
            <w:vAlign w:val="bottom"/>
          </w:tcPr>
          <w:p>
            <w:pPr>
              <w:spacing w:after="0"/>
              <w:rPr>
                <w:sz w:val="1"/>
                <w:szCs w:val="1"/>
                <w:color w:val="auto"/>
              </w:rPr>
            </w:pPr>
          </w:p>
        </w:tc>
      </w:tr>
      <w:tr>
        <w:trPr>
          <w:trHeight w:val="148"/>
        </w:trPr>
        <w:tc>
          <w:tcPr>
            <w:tcW w:w="25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exception  of  Mr.  Kanter  who  was</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eligible for maximum payout of 200%</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at 104.3% of target.</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-593090</wp:posOffset>
            </wp:positionV>
            <wp:extent cx="6626225" cy="685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6225" cy="68580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3">
            <w:col w:w="1720" w:space="420"/>
            <w:col w:w="2200" w:space="240"/>
            <w:col w:w="6080"/>
          </w:cols>
          <w:pgMar w:left="740" w:top="432" w:right="4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100% payout at target, with 50% payout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$18.3 million</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$76.9 million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2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EBITDA(1)</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at 64.5% of target and 150% payout at</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(200% for Mr.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135.5% of target, with the exception of</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Kanter)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Mr. Kanter who was eligible for a</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maximum payout of 200% at 135.5% of</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target.</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00" w:type="dxa"/>
            <w:vAlign w:val="bottom"/>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Department</w:t>
            </w:r>
          </w:p>
        </w:tc>
        <w:tc>
          <w:tcPr>
            <w:tcW w:w="1220" w:type="dxa"/>
            <w:vAlign w:val="bottom"/>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color w:val="auto"/>
              </w:rPr>
              <w:t>Marketing &amp;</w:t>
            </w:r>
          </w:p>
        </w:tc>
        <w:tc>
          <w:tcPr>
            <w:tcW w:w="74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20%</w:t>
            </w:r>
          </w:p>
        </w:tc>
        <w:tc>
          <w:tcPr>
            <w:tcW w:w="76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w:t>
            </w:r>
          </w:p>
        </w:tc>
        <w:tc>
          <w:tcPr>
            <w:tcW w:w="2740" w:type="dxa"/>
            <w:vAlign w:val="bottom"/>
            <w:shd w:val="clear" w:color="auto" w:fill="CFF0FC"/>
          </w:tcPr>
          <w:p>
            <w:pPr>
              <w:ind w:left="180"/>
              <w:spacing w:after="0" w:line="137" w:lineRule="exact"/>
              <w:rPr>
                <w:sz w:val="20"/>
                <w:szCs w:val="20"/>
                <w:color w:val="auto"/>
              </w:rPr>
            </w:pPr>
            <w:r>
              <w:rPr>
                <w:rFonts w:ascii="Times New Roman" w:cs="Times New Roman" w:eastAsia="Times New Roman" w:hAnsi="Times New Roman"/>
                <w:sz w:val="14"/>
                <w:szCs w:val="14"/>
                <w:color w:val="auto"/>
              </w:rPr>
              <w:t>Total direct comparable sales</w:t>
            </w:r>
          </w:p>
        </w:tc>
        <w:tc>
          <w:tcPr>
            <w:tcW w:w="12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$136.3 million</w:t>
            </w:r>
          </w:p>
        </w:tc>
        <w:tc>
          <w:tcPr>
            <w:tcW w:w="1080" w:type="dxa"/>
            <w:vAlign w:val="bottom"/>
            <w:shd w:val="clear" w:color="auto" w:fill="CFF0FC"/>
          </w:tcPr>
          <w:p>
            <w:pPr>
              <w:jc w:val="center"/>
              <w:ind w:left="28"/>
              <w:spacing w:after="0" w:line="137" w:lineRule="exact"/>
              <w:rPr>
                <w:sz w:val="20"/>
                <w:szCs w:val="20"/>
                <w:color w:val="auto"/>
              </w:rPr>
            </w:pPr>
            <w:r>
              <w:rPr>
                <w:rFonts w:ascii="Times New Roman" w:cs="Times New Roman" w:eastAsia="Times New Roman" w:hAnsi="Times New Roman"/>
                <w:sz w:val="14"/>
                <w:szCs w:val="14"/>
                <w:color w:val="auto"/>
              </w:rPr>
              <w:t>$150.3 million</w:t>
            </w:r>
          </w:p>
        </w:tc>
        <w:tc>
          <w:tcPr>
            <w:tcW w:w="1000" w:type="dxa"/>
            <w:vAlign w:val="bottom"/>
            <w:shd w:val="clear" w:color="auto" w:fill="CFF0FC"/>
          </w:tcPr>
          <w:p>
            <w:pPr>
              <w:jc w:val="center"/>
              <w:spacing w:after="0" w:line="137" w:lineRule="exact"/>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3"/>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Goals, if</w:t>
            </w:r>
          </w:p>
        </w:tc>
        <w:tc>
          <w:tcPr>
            <w:tcW w:w="1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Digital</w:t>
            </w:r>
          </w:p>
        </w:tc>
        <w:tc>
          <w:tcPr>
            <w:tcW w:w="740" w:type="dxa"/>
            <w:vAlign w:val="bottom"/>
            <w:shd w:val="clear" w:color="auto" w:fill="CFF0FC"/>
          </w:tcPr>
          <w:p>
            <w:pPr>
              <w:spacing w:after="0"/>
              <w:rPr>
                <w:sz w:val="15"/>
                <w:szCs w:val="15"/>
                <w:color w:val="auto"/>
              </w:rPr>
            </w:pP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shd w:val="clear" w:color="auto" w:fill="CFF0FC"/>
          </w:tcPr>
          <w:p>
            <w:pPr>
              <w:spacing w:after="0"/>
              <w:rPr>
                <w:sz w:val="15"/>
                <w:szCs w:val="15"/>
                <w:color w:val="auto"/>
              </w:rPr>
            </w:pPr>
          </w:p>
        </w:tc>
        <w:tc>
          <w:tcPr>
            <w:tcW w:w="2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Promotional markdown rate</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5"/>
        </w:trPr>
        <w:tc>
          <w:tcPr>
            <w:tcW w:w="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shd w:val="clear" w:color="auto" w:fill="CFF0FC"/>
          </w:tcPr>
          <w:p>
            <w:pPr>
              <w:spacing w:after="0"/>
              <w:rPr>
                <w:sz w:val="15"/>
                <w:szCs w:val="15"/>
                <w:color w:val="auto"/>
              </w:rPr>
            </w:pPr>
          </w:p>
        </w:tc>
        <w:tc>
          <w:tcPr>
            <w:tcW w:w="2740" w:type="dxa"/>
            <w:vAlign w:val="bottom"/>
            <w:vMerge w:val="restart"/>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Advertising sales ratio target</w:t>
            </w:r>
          </w:p>
        </w:tc>
        <w:tc>
          <w:tcPr>
            <w:tcW w:w="12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vMerge w:val="restart"/>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44"/>
        </w:trPr>
        <w:tc>
          <w:tcPr>
            <w:tcW w:w="90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780" w:type="dxa"/>
            <w:vAlign w:val="bottom"/>
            <w:vMerge w:val="continue"/>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2740" w:type="dxa"/>
            <w:vAlign w:val="bottom"/>
            <w:vMerge w:val="continue"/>
            <w:shd w:val="clear" w:color="auto" w:fill="CFF0FC"/>
          </w:tcPr>
          <w:p>
            <w:pPr>
              <w:spacing w:after="0"/>
              <w:rPr>
                <w:sz w:val="3"/>
                <w:szCs w:val="3"/>
                <w:color w:val="auto"/>
              </w:rPr>
            </w:pPr>
          </w:p>
        </w:tc>
        <w:tc>
          <w:tcPr>
            <w:tcW w:w="1200" w:type="dxa"/>
            <w:vAlign w:val="bottom"/>
            <w:vMerge w:val="continue"/>
            <w:shd w:val="clear" w:color="auto" w:fill="CFF0FC"/>
          </w:tcPr>
          <w:p>
            <w:pPr>
              <w:spacing w:after="0"/>
              <w:rPr>
                <w:sz w:val="3"/>
                <w:szCs w:val="3"/>
                <w:color w:val="auto"/>
              </w:rPr>
            </w:pPr>
          </w:p>
        </w:tc>
        <w:tc>
          <w:tcPr>
            <w:tcW w:w="1080" w:type="dxa"/>
            <w:vAlign w:val="bottom"/>
            <w:vMerge w:val="continue"/>
            <w:shd w:val="clear" w:color="auto" w:fill="CFF0FC"/>
          </w:tcPr>
          <w:p>
            <w:pPr>
              <w:spacing w:after="0"/>
              <w:rPr>
                <w:sz w:val="3"/>
                <w:szCs w:val="3"/>
                <w:color w:val="auto"/>
              </w:rPr>
            </w:pPr>
          </w:p>
        </w:tc>
        <w:tc>
          <w:tcPr>
            <w:tcW w:w="1000" w:type="dxa"/>
            <w:vAlign w:val="bottom"/>
            <w:vMerge w:val="continue"/>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9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7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Store Operations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Store conversion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5"/>
        </w:trPr>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Payroll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promoter score (NPS)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74</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Personal</w:t>
            </w: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Discretionary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w:t>
            </w: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Discretionary, at target, based upon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Varies by NEO</w:t>
            </w:r>
          </w:p>
        </w:tc>
        <w:tc>
          <w:tcPr>
            <w:tcW w:w="10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Varies by NEO</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20.0%-30.0%</w:t>
            </w:r>
          </w:p>
        </w:tc>
        <w:tc>
          <w:tcPr>
            <w:tcW w:w="0" w:type="dxa"/>
            <w:vAlign w:val="bottom"/>
          </w:tcPr>
          <w:p>
            <w:pPr>
              <w:spacing w:after="0"/>
              <w:rPr>
                <w:sz w:val="1"/>
                <w:szCs w:val="1"/>
                <w:color w:val="auto"/>
              </w:rPr>
            </w:pPr>
          </w:p>
        </w:tc>
      </w:tr>
      <w:tr>
        <w:trPr>
          <w:trHeight w:val="151"/>
        </w:trPr>
        <w:tc>
          <w:tcPr>
            <w:tcW w:w="90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3</w:t>
            </w:r>
          </w:p>
        </w:tc>
        <w:tc>
          <w:tcPr>
            <w:tcW w:w="1220" w:type="dxa"/>
            <w:vAlign w:val="bottom"/>
          </w:tcPr>
          <w:p>
            <w:pPr>
              <w:ind w:left="140"/>
              <w:spacing w:after="0" w:line="151" w:lineRule="exact"/>
              <w:rPr>
                <w:sz w:val="20"/>
                <w:szCs w:val="20"/>
                <w:color w:val="auto"/>
              </w:rPr>
            </w:pPr>
            <w:r>
              <w:rPr>
                <w:rFonts w:ascii="Times New Roman" w:cs="Times New Roman" w:eastAsia="Times New Roman" w:hAnsi="Times New Roman"/>
                <w:sz w:val="14"/>
                <w:szCs w:val="14"/>
                <w:color w:val="auto"/>
              </w:rPr>
              <w:t>Personal Goals</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individual performance, as evaluated by</w:t>
            </w: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(40.0% for Mr.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the CEO (except with respect to the CEO</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Kanter)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whose individual performance was</w:t>
            </w: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evaluated by the Compensation</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-483870</wp:posOffset>
            </wp:positionV>
            <wp:extent cx="6626225" cy="977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6225" cy="977265"/>
                    </a:xfrm>
                    <a:prstGeom prst="rect">
                      <a:avLst/>
                    </a:prstGeom>
                    <a:noFill/>
                  </pic:spPr>
                </pic:pic>
              </a:graphicData>
            </a:graphic>
          </wp:anchor>
        </w:drawing>
      </w:r>
    </w:p>
    <w:p>
      <w:pPr>
        <w:ind w:left="4580"/>
        <w:spacing w:after="0" w:line="221" w:lineRule="auto"/>
        <w:rPr>
          <w:sz w:val="20"/>
          <w:szCs w:val="20"/>
          <w:color w:val="auto"/>
        </w:rPr>
      </w:pPr>
      <w:r>
        <w:rPr>
          <w:rFonts w:ascii="Times New Roman" w:cs="Times New Roman" w:eastAsia="Times New Roman" w:hAnsi="Times New Roman"/>
          <w:sz w:val="14"/>
          <w:szCs w:val="14"/>
          <w:color w:val="auto"/>
        </w:rPr>
        <w:t>Committee). Participants were eligible to</w:t>
      </w:r>
    </w:p>
    <w:p>
      <w:pPr>
        <w:ind w:left="4580"/>
        <w:spacing w:after="0" w:line="221" w:lineRule="auto"/>
        <w:rPr>
          <w:sz w:val="20"/>
          <w:szCs w:val="20"/>
          <w:color w:val="auto"/>
        </w:rPr>
      </w:pPr>
      <w:r>
        <w:rPr>
          <w:rFonts w:ascii="Times New Roman" w:cs="Times New Roman" w:eastAsia="Times New Roman" w:hAnsi="Times New Roman"/>
          <w:sz w:val="14"/>
          <w:szCs w:val="14"/>
          <w:color w:val="auto"/>
        </w:rPr>
        <w:t>receive a discretionary award up to 30%,</w:t>
      </w:r>
    </w:p>
    <w:p>
      <w:pPr>
        <w:ind w:left="4580"/>
        <w:spacing w:after="0" w:line="222" w:lineRule="auto"/>
        <w:rPr>
          <w:sz w:val="20"/>
          <w:szCs w:val="20"/>
          <w:color w:val="auto"/>
        </w:rPr>
      </w:pPr>
      <w:r>
        <w:rPr>
          <w:rFonts w:ascii="Times New Roman" w:cs="Times New Roman" w:eastAsia="Times New Roman" w:hAnsi="Times New Roman"/>
          <w:sz w:val="14"/>
          <w:szCs w:val="14"/>
          <w:color w:val="auto"/>
        </w:rPr>
        <w:t>with the exception of Mr. Kanter who was</w:t>
      </w:r>
    </w:p>
    <w:p>
      <w:pPr>
        <w:ind w:left="4580"/>
        <w:spacing w:after="0" w:line="221" w:lineRule="auto"/>
        <w:rPr>
          <w:sz w:val="20"/>
          <w:szCs w:val="20"/>
          <w:color w:val="auto"/>
        </w:rPr>
      </w:pPr>
      <w:r>
        <w:rPr>
          <w:rFonts w:ascii="Times New Roman" w:cs="Times New Roman" w:eastAsia="Times New Roman" w:hAnsi="Times New Roman"/>
          <w:sz w:val="14"/>
          <w:szCs w:val="14"/>
          <w:color w:val="auto"/>
        </w:rPr>
        <w:t>eligible to receive a discretionary award</w:t>
      </w:r>
    </w:p>
    <w:p>
      <w:pPr>
        <w:ind w:left="4580"/>
        <w:spacing w:after="0"/>
        <w:rPr>
          <w:sz w:val="20"/>
          <w:szCs w:val="20"/>
          <w:color w:val="auto"/>
        </w:rPr>
      </w:pPr>
      <w:r>
        <w:rPr>
          <w:rFonts w:ascii="Times New Roman" w:cs="Times New Roman" w:eastAsia="Times New Roman" w:hAnsi="Times New Roman"/>
          <w:sz w:val="14"/>
          <w:szCs w:val="14"/>
          <w:color w:val="auto"/>
        </w:rPr>
        <w:t>up to 40%. (3)</w:t>
      </w:r>
    </w:p>
    <w:p>
      <w:pPr>
        <w:spacing w:after="0" w:line="215" w:lineRule="exact"/>
        <w:rPr>
          <w:sz w:val="20"/>
          <w:szCs w:val="20"/>
          <w:color w:val="auto"/>
        </w:rPr>
      </w:pPr>
    </w:p>
    <w:p>
      <w:pPr>
        <w:ind w:left="1360" w:hanging="368"/>
        <w:spacing w:after="0"/>
        <w:tabs>
          <w:tab w:leader="none" w:pos="1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under the AIP and approved by the Compensation Committee, fiscal 2021 actual results were adjusted to exclude the impairment (gain) of assets.</w:t>
      </w:r>
    </w:p>
    <w:p>
      <w:pPr>
        <w:spacing w:after="0" w:line="203" w:lineRule="exact"/>
        <w:rPr>
          <w:rFonts w:ascii="Times New Roman" w:cs="Times New Roman" w:eastAsia="Times New Roman" w:hAnsi="Times New Roman"/>
          <w:sz w:val="14"/>
          <w:szCs w:val="14"/>
          <w:color w:val="auto"/>
        </w:rPr>
      </w:pPr>
    </w:p>
    <w:p>
      <w:pPr>
        <w:ind w:left="1360" w:hanging="368"/>
        <w:spacing w:after="0" w:line="255" w:lineRule="auto"/>
        <w:tabs>
          <w:tab w:leader="none" w:pos="1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publicly disclose its promotional markdown rates or its store conversion rates. Any discussion of promotional markdowns and conversion rates are limited to percentage increase or decrease over a comparable period. The same is true for store payroll; the Company does not publicly disclose its store payroll as a percentage of sales. Any discussion regarding store payroll is limited to the dollar increase or decrease over a comparable period. No external information regarding the Company's advertising sales ratio is publicly provided.</w:t>
      </w:r>
    </w:p>
    <w:p>
      <w:pPr>
        <w:spacing w:after="0" w:line="166" w:lineRule="exact"/>
        <w:rPr>
          <w:rFonts w:ascii="Times New Roman" w:cs="Times New Roman" w:eastAsia="Times New Roman" w:hAnsi="Times New Roman"/>
          <w:sz w:val="14"/>
          <w:szCs w:val="14"/>
          <w:color w:val="auto"/>
        </w:rPr>
      </w:pPr>
    </w:p>
    <w:p>
      <w:pPr>
        <w:ind w:left="1360" w:right="40" w:hanging="368"/>
        <w:spacing w:after="0" w:line="241" w:lineRule="auto"/>
        <w:tabs>
          <w:tab w:leader="none" w:pos="1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goals are part of the Company’s annual performance review. At the start of the fiscal year, each associate, including each of our Named Executive Officers, develops his/her “SMART” (specific, measurable, achievable, relevant and time-bound) goals, each containing a quantifiable measure, which are approved by the CEO. The personal goals for Messrs. Dhoot, Molloy and Gaeta consisted of a combination of quantifiable goals specific to their respective corporate function. Mr. Dhoot’s personal goals were tied to the success in developing segmentation and personalization across marketing initiatives, continued improvement on the customer web experience and effectively managing markdowns as a result of promotions. Mr. Molloy’s personal goals were tied to ensuring strong corporate governance, legal and ethical compliance, and legal support and guidance throughout the organization. Mr. Gaeta’s personal goals were directly tied to the Company's stores achieving their metrics as well as team development. The personal goals for our CFO were quantifiable and were tied directly to the Company's performance, as well as team development and professional development of staff. Our CEO’s personal goals were tied to the Company's current performance as well as to develop a long-term strategy plan.</w:t>
      </w:r>
    </w:p>
    <w:p>
      <w:pPr>
        <w:spacing w:after="0" w:line="8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740" w:top="432" w:right="499" w:bottom="1440" w:gutter="0" w:footer="0" w:header="0"/>
          <w:type w:val="continuous"/>
        </w:sectPr>
      </w:pPr>
    </w:p>
    <w:bookmarkStart w:id="22" w:name="page23"/>
    <w:bookmarkEnd w:id="22"/>
    <w:p>
      <w:pPr>
        <w:ind w:left="780" w:right="360"/>
        <w:spacing w:after="0" w:line="296" w:lineRule="auto"/>
        <w:rPr>
          <w:sz w:val="20"/>
          <w:szCs w:val="20"/>
          <w:color w:val="auto"/>
        </w:rPr>
      </w:pPr>
      <w:r>
        <w:rPr>
          <w:rFonts w:ascii="Times New Roman" w:cs="Times New Roman" w:eastAsia="Times New Roman" w:hAnsi="Times New Roman"/>
          <w:sz w:val="17"/>
          <w:szCs w:val="17"/>
          <w:color w:val="auto"/>
        </w:rPr>
        <w:t>As a result of achieving the performance targets for fiscal 2021 pursuant to the 2021 AIP, as shown above, in March 2022 the Compensation Committee approved, subject to the completion of the audited financial statements, cash bonus payouts to our NEOs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Payout at</w:t>
            </w:r>
          </w:p>
        </w:tc>
        <w:tc>
          <w:tcPr>
            <w:tcW w:w="340" w:type="dxa"/>
            <w:vAlign w:val="bottom"/>
          </w:tcPr>
          <w:p>
            <w:pPr>
              <w:spacing w:after="0"/>
              <w:rPr>
                <w:sz w:val="17"/>
                <w:szCs w:val="17"/>
                <w:color w:val="auto"/>
              </w:rPr>
            </w:pPr>
          </w:p>
        </w:tc>
        <w:tc>
          <w:tcPr>
            <w:tcW w:w="2560" w:type="dxa"/>
            <w:vAlign w:val="bottom"/>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340" w:type="dxa"/>
            <w:vAlign w:val="bottom"/>
          </w:tcPr>
          <w:p>
            <w:pPr>
              <w:spacing w:after="0"/>
              <w:rPr>
                <w:sz w:val="12"/>
                <w:szCs w:val="12"/>
                <w:color w:val="auto"/>
              </w:rPr>
            </w:pPr>
          </w:p>
        </w:tc>
        <w:tc>
          <w:tcPr>
            <w:tcW w:w="2560" w:type="dxa"/>
            <w:vAlign w:val="bottom"/>
            <w:gridSpan w:val="3"/>
            <w:vMerge w:val="restart"/>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17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 Cash Payout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735,000</w:t>
            </w:r>
          </w:p>
        </w:tc>
        <w:tc>
          <w:tcPr>
            <w:tcW w:w="34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217,250</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150 %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136 %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145 %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w:t>
            </w:r>
          </w:p>
        </w:tc>
        <w:tc>
          <w:tcPr>
            <w:tcW w:w="2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 $</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2022 AIP</w:t>
      </w:r>
    </w:p>
    <w:p>
      <w:pPr>
        <w:spacing w:after="0" w:line="212" w:lineRule="exact"/>
        <w:rPr>
          <w:sz w:val="20"/>
          <w:szCs w:val="20"/>
          <w:color w:val="auto"/>
        </w:rPr>
      </w:pPr>
    </w:p>
    <w:p>
      <w:pPr>
        <w:ind w:left="760" w:right="20"/>
        <w:spacing w:after="0" w:line="242" w:lineRule="auto"/>
        <w:rPr>
          <w:sz w:val="20"/>
          <w:szCs w:val="20"/>
          <w:color w:val="auto"/>
        </w:rPr>
      </w:pPr>
      <w:r>
        <w:rPr>
          <w:rFonts w:ascii="Times New Roman" w:cs="Times New Roman" w:eastAsia="Times New Roman" w:hAnsi="Times New Roman"/>
          <w:sz w:val="18"/>
          <w:szCs w:val="18"/>
          <w:color w:val="auto"/>
        </w:rPr>
        <w:t>Subsequent to the end of fiscal 2021, the Compensation Committee approved the Fifth Amended and Restated Annual Incentive Plan, which will be effective with the 2022 AIP. The AIP was amended, among other things, to change the definition of employees eligible to participate in the AIP from 'director-level and above' to a 'Job Level classification of 15 or above', which will result in increased participation in the AIP. The Compensation Committee decided to expand participation in the AIP due to the Compensation Committee’s belief that it will continue to effectively motivate and retain associates. The Compensation Committee determined that it would be appropriate and in the best interest of the Company’s stockholders to include more associates in that demonstrated success of the AIP. On April 9, 2022, the Compensation Committee established the financial and operating metrics for the 2022 AIP. The metrics for the 2022 AIP are consistent with the 2021 AIP and include Sales and Adjusted EBITDA as the Company's financial metrics with departmental targets for Store Operations, Marketing &amp; Digital, and Merchandise/Planning and Allocation.</w:t>
      </w:r>
    </w:p>
    <w:p>
      <w:pPr>
        <w:spacing w:after="0" w:line="7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Company’s financial performance metrics represent 80% of the AIP for Messrs. Kanter, Stratton and Molloy and 40% for Messrs. Dhoot and Gaeta. Messrs. Dhoot and Gaeta’s performance metrics include specific marketing and store operation targets, respectively, and represent 40% of their respective AIP. Discretionary personal goals represent the remaining 20% for the Named Executive Officers.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2022 AIP performance metrics approved by the Compensation Committee are as follows:</w:t>
      </w:r>
    </w:p>
    <w:p>
      <w:pPr>
        <w:spacing w:after="0" w:line="205"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w:t>
            </w: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Metric, other</w:t>
            </w:r>
          </w:p>
        </w:tc>
        <w:tc>
          <w:tcPr>
            <w:tcW w:w="1020" w:type="dxa"/>
            <w:vAlign w:val="bottom"/>
            <w:gridSpan w:val="4"/>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than Messrs.</w:t>
            </w:r>
          </w:p>
        </w:tc>
        <w:tc>
          <w:tcPr>
            <w:tcW w:w="2020" w:type="dxa"/>
            <w:vAlign w:val="bottom"/>
            <w:gridSpan w:val="7"/>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 to Attributable to</w:t>
            </w:r>
          </w:p>
        </w:tc>
        <w:tc>
          <w:tcPr>
            <w:tcW w:w="2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Minimum/Maximum</w:t>
            </w:r>
          </w:p>
        </w:tc>
        <w:tc>
          <w:tcPr>
            <w:tcW w:w="0" w:type="dxa"/>
            <w:vAlign w:val="bottom"/>
          </w:tcPr>
          <w:p>
            <w:pPr>
              <w:spacing w:after="0"/>
              <w:rPr>
                <w:sz w:val="1"/>
                <w:szCs w:val="1"/>
                <w:color w:val="auto"/>
              </w:rPr>
            </w:pPr>
          </w:p>
        </w:tc>
      </w:tr>
      <w:tr>
        <w:trPr>
          <w:trHeight w:val="160"/>
        </w:trPr>
        <w:tc>
          <w:tcPr>
            <w:tcW w:w="2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Dhoot and</w:t>
            </w:r>
          </w:p>
        </w:tc>
        <w:tc>
          <w:tcPr>
            <w:tcW w:w="2020" w:type="dxa"/>
            <w:vAlign w:val="bottom"/>
            <w:gridSpan w:val="7"/>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Metric for Mr. Metric for Mr.</w:t>
            </w:r>
          </w:p>
        </w:tc>
        <w:tc>
          <w:tcPr>
            <w:tcW w:w="2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Metric</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Gaeta</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Dhoot</w:t>
            </w:r>
          </w:p>
        </w:tc>
        <w:tc>
          <w:tcPr>
            <w:tcW w:w="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Gaeta</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20" w:type="dxa"/>
            <w:vAlign w:val="bottom"/>
            <w:gridSpan w:val="2"/>
          </w:tcPr>
          <w:p>
            <w:pPr>
              <w:jc w:val="center"/>
              <w:ind w:right="1000"/>
              <w:spacing w:after="0" w:line="109" w:lineRule="exact"/>
              <w:rPr>
                <w:sz w:val="20"/>
                <w:szCs w:val="20"/>
                <w:color w:val="auto"/>
              </w:rPr>
            </w:pPr>
            <w:r>
              <w:rPr>
                <w:rFonts w:ascii="Times New Roman" w:cs="Times New Roman" w:eastAsia="Times New Roman" w:hAnsi="Times New Roman"/>
                <w:sz w:val="12"/>
                <w:szCs w:val="12"/>
                <w:b w:val="1"/>
                <w:bCs w:val="1"/>
                <w:color w:val="auto"/>
              </w:rPr>
              <w:t>Potential Payout</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3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380" w:type="dxa"/>
            <w:vAlign w:val="bottom"/>
            <w:gridSpan w:val="3"/>
            <w:shd w:val="clear" w:color="auto" w:fill="CFF0FC"/>
          </w:tcPr>
          <w:p>
            <w:pPr>
              <w:ind w:left="340"/>
              <w:spacing w:after="0" w:line="151" w:lineRule="exact"/>
              <w:rPr>
                <w:sz w:val="20"/>
                <w:szCs w:val="20"/>
                <w:color w:val="auto"/>
              </w:rPr>
            </w:pPr>
            <w:r>
              <w:rPr>
                <w:rFonts w:ascii="Times New Roman" w:cs="Times New Roman" w:eastAsia="Times New Roman" w:hAnsi="Times New Roman"/>
                <w:sz w:val="14"/>
                <w:szCs w:val="14"/>
                <w:color w:val="auto"/>
              </w:rPr>
              <w:t>Sales</w:t>
            </w:r>
          </w:p>
        </w:tc>
        <w:tc>
          <w:tcPr>
            <w:tcW w:w="1080" w:type="dxa"/>
            <w:vAlign w:val="bottom"/>
            <w:gridSpan w:val="3"/>
            <w:shd w:val="clear" w:color="auto" w:fill="CFF0FC"/>
          </w:tcPr>
          <w:p>
            <w:pPr>
              <w:jc w:val="center"/>
              <w:spacing w:after="0" w:line="151" w:lineRule="exact"/>
              <w:rPr>
                <w:sz w:val="20"/>
                <w:szCs w:val="20"/>
                <w:color w:val="auto"/>
              </w:rPr>
            </w:pPr>
            <w:r>
              <w:rPr>
                <w:rFonts w:ascii="Times New Roman" w:cs="Times New Roman" w:eastAsia="Times New Roman" w:hAnsi="Times New Roman"/>
                <w:sz w:val="14"/>
                <w:szCs w:val="14"/>
                <w:color w:val="auto"/>
              </w:rPr>
              <w:t>40.0%</w:t>
            </w:r>
          </w:p>
        </w:tc>
        <w:tc>
          <w:tcPr>
            <w:tcW w:w="780" w:type="dxa"/>
            <w:vAlign w:val="bottom"/>
            <w:gridSpan w:val="3"/>
            <w:shd w:val="clear" w:color="auto" w:fill="CFF0FC"/>
          </w:tcPr>
          <w:p>
            <w:pPr>
              <w:jc w:val="center"/>
              <w:ind w:left="268"/>
              <w:spacing w:after="0" w:line="151" w:lineRule="exact"/>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20.0%</w:t>
            </w:r>
          </w:p>
        </w:tc>
        <w:tc>
          <w:tcPr>
            <w:tcW w:w="280" w:type="dxa"/>
            <w:vAlign w:val="bottom"/>
            <w:shd w:val="clear" w:color="auto" w:fill="CFF0FC"/>
          </w:tcPr>
          <w:p>
            <w:pPr>
              <w:spacing w:after="0"/>
              <w:rPr>
                <w:sz w:val="13"/>
                <w:szCs w:val="13"/>
                <w:color w:val="auto"/>
              </w:rPr>
            </w:pPr>
          </w:p>
        </w:tc>
        <w:tc>
          <w:tcPr>
            <w:tcW w:w="2900" w:type="dxa"/>
            <w:vAlign w:val="bottom"/>
            <w:gridSpan w:val="3"/>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0"/>
        </w:trPr>
        <w:tc>
          <w:tcPr>
            <w:tcW w:w="2380" w:type="dxa"/>
            <w:vAlign w:val="bottom"/>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1</w:t>
            </w:r>
          </w:p>
        </w:tc>
        <w:tc>
          <w:tcPr>
            <w:tcW w:w="6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900" w:type="dxa"/>
            <w:vAlign w:val="bottom"/>
            <w:gridSpan w:val="3"/>
            <w:shd w:val="clear" w:color="auto" w:fill="CFF0FC"/>
          </w:tcPr>
          <w:p>
            <w:pPr>
              <w:ind w:left="40"/>
              <w:spacing w:after="0" w:line="151" w:lineRule="exact"/>
              <w:rPr>
                <w:sz w:val="20"/>
                <w:szCs w:val="20"/>
                <w:color w:val="auto"/>
              </w:rPr>
            </w:pPr>
            <w:r>
              <w:rPr>
                <w:rFonts w:ascii="Times New Roman" w:cs="Times New Roman" w:eastAsia="Times New Roman" w:hAnsi="Times New Roman"/>
                <w:sz w:val="14"/>
                <w:szCs w:val="14"/>
                <w:color w:val="auto"/>
              </w:rPr>
              <w:t>96.2% of target and 150% payout at 101.9%</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of target, with the exception of Mr. Kanter</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who is eligible for maximum payout of</w:t>
            </w:r>
          </w:p>
        </w:tc>
        <w:tc>
          <w:tcPr>
            <w:tcW w:w="0" w:type="dxa"/>
            <w:vAlign w:val="bottom"/>
          </w:tcPr>
          <w:p>
            <w:pPr>
              <w:spacing w:after="0"/>
              <w:rPr>
                <w:sz w:val="1"/>
                <w:szCs w:val="1"/>
                <w:color w:val="auto"/>
              </w:rPr>
            </w:pPr>
          </w:p>
        </w:tc>
      </w:tr>
      <w:tr>
        <w:trPr>
          <w:trHeight w:val="188"/>
        </w:trPr>
        <w:tc>
          <w:tcPr>
            <w:tcW w:w="2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9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200% at 101.9% of target.</w:t>
            </w:r>
          </w:p>
        </w:tc>
        <w:tc>
          <w:tcPr>
            <w:tcW w:w="0" w:type="dxa"/>
            <w:vAlign w:val="bottom"/>
          </w:tcPr>
          <w:p>
            <w:pPr>
              <w:spacing w:after="0"/>
              <w:rPr>
                <w:sz w:val="1"/>
                <w:szCs w:val="1"/>
                <w:color w:val="auto"/>
              </w:rPr>
            </w:pPr>
          </w:p>
        </w:tc>
      </w:tr>
      <w:tr>
        <w:trPr>
          <w:trHeight w:val="145"/>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380" w:type="dxa"/>
            <w:vAlign w:val="bottom"/>
            <w:gridSpan w:val="3"/>
          </w:tcPr>
          <w:p>
            <w:pPr>
              <w:ind w:left="340"/>
              <w:spacing w:after="0" w:line="151" w:lineRule="exact"/>
              <w:rPr>
                <w:sz w:val="20"/>
                <w:szCs w:val="20"/>
                <w:color w:val="auto"/>
              </w:rPr>
            </w:pPr>
            <w:r>
              <w:rPr>
                <w:rFonts w:ascii="Times New Roman" w:cs="Times New Roman" w:eastAsia="Times New Roman" w:hAnsi="Times New Roman"/>
                <w:sz w:val="14"/>
                <w:szCs w:val="14"/>
                <w:color w:val="auto"/>
              </w:rPr>
              <w:t>Adjusted</w:t>
            </w:r>
          </w:p>
        </w:tc>
        <w:tc>
          <w:tcPr>
            <w:tcW w:w="108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color w:val="auto"/>
              </w:rPr>
              <w:t>40.0%</w:t>
            </w:r>
          </w:p>
        </w:tc>
        <w:tc>
          <w:tcPr>
            <w:tcW w:w="780" w:type="dxa"/>
            <w:vAlign w:val="bottom"/>
            <w:gridSpan w:val="3"/>
          </w:tcPr>
          <w:p>
            <w:pPr>
              <w:jc w:val="center"/>
              <w:ind w:left="268"/>
              <w:spacing w:after="0" w:line="151" w:lineRule="exact"/>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tcPr>
          <w:p>
            <w:pPr>
              <w:spacing w:after="0"/>
              <w:rPr>
                <w:sz w:val="13"/>
                <w:szCs w:val="13"/>
                <w:color w:val="auto"/>
              </w:rPr>
            </w:pPr>
          </w:p>
        </w:tc>
        <w:tc>
          <w:tcPr>
            <w:tcW w:w="1000" w:type="dxa"/>
            <w:vAlign w:val="bottom"/>
            <w:gridSpan w:val="3"/>
          </w:tcPr>
          <w:p>
            <w:pPr>
              <w:jc w:val="center"/>
              <w:spacing w:after="0" w:line="151" w:lineRule="exact"/>
              <w:rPr>
                <w:sz w:val="20"/>
                <w:szCs w:val="20"/>
                <w:color w:val="auto"/>
              </w:rPr>
            </w:pPr>
            <w:r>
              <w:rPr>
                <w:rFonts w:ascii="Times New Roman" w:cs="Times New Roman" w:eastAsia="Times New Roman" w:hAnsi="Times New Roman"/>
                <w:sz w:val="14"/>
                <w:szCs w:val="14"/>
                <w:color w:val="auto"/>
              </w:rPr>
              <w:t>20.0%</w:t>
            </w:r>
          </w:p>
        </w:tc>
        <w:tc>
          <w:tcPr>
            <w:tcW w:w="290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100% payout at target, with 50% payout at</w:t>
            </w:r>
          </w:p>
        </w:tc>
        <w:tc>
          <w:tcPr>
            <w:tcW w:w="0" w:type="dxa"/>
            <w:vAlign w:val="bottom"/>
          </w:tcPr>
          <w:p>
            <w:pPr>
              <w:spacing w:after="0"/>
              <w:rPr>
                <w:sz w:val="1"/>
                <w:szCs w:val="1"/>
                <w:color w:val="auto"/>
              </w:rPr>
            </w:pPr>
          </w:p>
        </w:tc>
      </w:tr>
      <w:tr>
        <w:trPr>
          <w:trHeight w:val="151"/>
        </w:trPr>
        <w:tc>
          <w:tcPr>
            <w:tcW w:w="23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Target 2</w:t>
            </w:r>
          </w:p>
        </w:tc>
        <w:tc>
          <w:tcPr>
            <w:tcW w:w="1380" w:type="dxa"/>
            <w:vAlign w:val="bottom"/>
            <w:gridSpan w:val="3"/>
          </w:tcPr>
          <w:p>
            <w:pPr>
              <w:ind w:left="340"/>
              <w:spacing w:after="0" w:line="151" w:lineRule="exact"/>
              <w:rPr>
                <w:sz w:val="20"/>
                <w:szCs w:val="20"/>
                <w:color w:val="auto"/>
              </w:rPr>
            </w:pPr>
            <w:r>
              <w:rPr>
                <w:rFonts w:ascii="Times New Roman" w:cs="Times New Roman" w:eastAsia="Times New Roman" w:hAnsi="Times New Roman"/>
                <w:sz w:val="14"/>
                <w:szCs w:val="14"/>
                <w:color w:val="auto"/>
              </w:rPr>
              <w:t>EBITDA</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0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rPr>
              <w:t>94.3% of target and 150% payout at 103.9% of</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target, with the exception of Mr. Kanter who is</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for a maximum payout of 200% at</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103.9% of target.</w:t>
            </w:r>
          </w:p>
        </w:tc>
        <w:tc>
          <w:tcPr>
            <w:tcW w:w="0" w:type="dxa"/>
            <w:vAlign w:val="bottom"/>
          </w:tcPr>
          <w:p>
            <w:pPr>
              <w:spacing w:after="0"/>
              <w:rPr>
                <w:sz w:val="1"/>
                <w:szCs w:val="1"/>
                <w:color w:val="auto"/>
              </w:rPr>
            </w:pPr>
          </w:p>
        </w:tc>
      </w:tr>
      <w:tr>
        <w:trPr>
          <w:trHeight w:val="145"/>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3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Personal Target</w:t>
            </w:r>
          </w:p>
        </w:tc>
        <w:tc>
          <w:tcPr>
            <w:tcW w:w="1380" w:type="dxa"/>
            <w:vAlign w:val="bottom"/>
            <w:gridSpan w:val="3"/>
            <w:shd w:val="clear" w:color="auto" w:fill="CFF0FC"/>
          </w:tcPr>
          <w:p>
            <w:pPr>
              <w:ind w:left="340"/>
              <w:spacing w:after="0" w:line="153" w:lineRule="exact"/>
              <w:rPr>
                <w:sz w:val="20"/>
                <w:szCs w:val="20"/>
                <w:color w:val="auto"/>
              </w:rPr>
            </w:pPr>
            <w:r>
              <w:rPr>
                <w:rFonts w:ascii="Times New Roman" w:cs="Times New Roman" w:eastAsia="Times New Roman" w:hAnsi="Times New Roman"/>
                <w:sz w:val="14"/>
                <w:szCs w:val="14"/>
                <w:color w:val="auto"/>
              </w:rPr>
              <w:t>Discretionary-</w:t>
            </w:r>
          </w:p>
        </w:tc>
        <w:tc>
          <w:tcPr>
            <w:tcW w:w="1080" w:type="dxa"/>
            <w:vAlign w:val="bottom"/>
            <w:gridSpan w:val="3"/>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20.0%</w:t>
            </w:r>
          </w:p>
        </w:tc>
        <w:tc>
          <w:tcPr>
            <w:tcW w:w="780" w:type="dxa"/>
            <w:vAlign w:val="bottom"/>
            <w:gridSpan w:val="3"/>
            <w:shd w:val="clear" w:color="auto" w:fill="CFF0FC"/>
          </w:tcPr>
          <w:p>
            <w:pPr>
              <w:jc w:val="center"/>
              <w:ind w:left="268"/>
              <w:spacing w:after="0" w:line="153" w:lineRule="exact"/>
              <w:rPr>
                <w:sz w:val="20"/>
                <w:szCs w:val="20"/>
                <w:color w:val="auto"/>
              </w:rPr>
            </w:pPr>
            <w:r>
              <w:rPr>
                <w:rFonts w:ascii="Times New Roman" w:cs="Times New Roman" w:eastAsia="Times New Roman" w:hAnsi="Times New Roman"/>
                <w:sz w:val="14"/>
                <w:szCs w:val="14"/>
                <w:color w:val="auto"/>
                <w:w w:val="99"/>
              </w:rPr>
              <w:t>20.0%</w:t>
            </w:r>
          </w:p>
        </w:tc>
        <w:tc>
          <w:tcPr>
            <w:tcW w:w="24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center"/>
              <w:spacing w:after="0" w:line="153" w:lineRule="exact"/>
              <w:rPr>
                <w:sz w:val="20"/>
                <w:szCs w:val="20"/>
                <w:color w:val="auto"/>
              </w:rPr>
            </w:pPr>
            <w:r>
              <w:rPr>
                <w:rFonts w:ascii="Times New Roman" w:cs="Times New Roman" w:eastAsia="Times New Roman" w:hAnsi="Times New Roman"/>
                <w:sz w:val="14"/>
                <w:szCs w:val="14"/>
                <w:color w:val="auto"/>
              </w:rPr>
              <w:t>20.0%</w:t>
            </w:r>
          </w:p>
        </w:tc>
        <w:tc>
          <w:tcPr>
            <w:tcW w:w="2900" w:type="dxa"/>
            <w:vAlign w:val="bottom"/>
            <w:gridSpan w:val="3"/>
            <w:shd w:val="clear" w:color="auto" w:fill="CFF0FC"/>
          </w:tcPr>
          <w:p>
            <w:pPr>
              <w:ind w:left="40"/>
              <w:spacing w:after="0" w:line="153" w:lineRule="exact"/>
              <w:rPr>
                <w:sz w:val="20"/>
                <w:szCs w:val="20"/>
                <w:color w:val="auto"/>
              </w:rPr>
            </w:pPr>
            <w:r>
              <w:rPr>
                <w:rFonts w:ascii="Times New Roman" w:cs="Times New Roman" w:eastAsia="Times New Roman" w:hAnsi="Times New Roman"/>
                <w:sz w:val="14"/>
                <w:szCs w:val="14"/>
                <w:color w:val="auto"/>
              </w:rPr>
              <w:t>Discretionary, at target, based upon individual</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1380" w:type="dxa"/>
            <w:vAlign w:val="bottom"/>
            <w:gridSpan w:val="3"/>
            <w:shd w:val="clear" w:color="auto" w:fill="CFF0FC"/>
          </w:tcPr>
          <w:p>
            <w:pPr>
              <w:ind w:left="340"/>
              <w:spacing w:after="0" w:line="149" w:lineRule="exact"/>
              <w:rPr>
                <w:sz w:val="20"/>
                <w:szCs w:val="20"/>
                <w:color w:val="auto"/>
              </w:rPr>
            </w:pPr>
            <w:r>
              <w:rPr>
                <w:rFonts w:ascii="Times New Roman" w:cs="Times New Roman" w:eastAsia="Times New Roman" w:hAnsi="Times New Roman"/>
                <w:sz w:val="14"/>
                <w:szCs w:val="14"/>
                <w:color w:val="auto"/>
              </w:rPr>
              <w:t>Personal Goals</w:t>
            </w: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as evaluated by the CEO (except</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with respect to the CEO whose individual</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performance will be evaluated by the</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Compensation Committee). Participants are</w:t>
            </w:r>
          </w:p>
        </w:tc>
        <w:tc>
          <w:tcPr>
            <w:tcW w:w="0" w:type="dxa"/>
            <w:vAlign w:val="bottom"/>
          </w:tcPr>
          <w:p>
            <w:pPr>
              <w:spacing w:after="0"/>
              <w:rPr>
                <w:sz w:val="1"/>
                <w:szCs w:val="1"/>
                <w:color w:val="auto"/>
              </w:rPr>
            </w:pPr>
          </w:p>
        </w:tc>
      </w:tr>
      <w:tr>
        <w:trPr>
          <w:trHeight w:val="149"/>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62"/>
        </w:trPr>
        <w:tc>
          <w:tcPr>
            <w:tcW w:w="23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90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30%, with the exception of Mr. Kanter who is</w:t>
            </w:r>
          </w:p>
        </w:tc>
        <w:tc>
          <w:tcPr>
            <w:tcW w:w="0" w:type="dxa"/>
            <w:vAlign w:val="bottom"/>
          </w:tcPr>
          <w:p>
            <w:pPr>
              <w:spacing w:after="0"/>
              <w:rPr>
                <w:sz w:val="1"/>
                <w:szCs w:val="1"/>
                <w:color w:val="auto"/>
              </w:rPr>
            </w:pPr>
          </w:p>
        </w:tc>
      </w:tr>
      <w:tr>
        <w:trPr>
          <w:trHeight w:val="148"/>
        </w:trPr>
        <w:tc>
          <w:tcPr>
            <w:tcW w:w="23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9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eligible to receive a discretionary award up to</w:t>
            </w:r>
          </w:p>
        </w:tc>
        <w:tc>
          <w:tcPr>
            <w:tcW w:w="0" w:type="dxa"/>
            <w:vAlign w:val="bottom"/>
          </w:tcPr>
          <w:p>
            <w:pPr>
              <w:spacing w:after="0"/>
              <w:rPr>
                <w:sz w:val="1"/>
                <w:szCs w:val="1"/>
                <w:color w:val="auto"/>
              </w:rPr>
            </w:pPr>
          </w:p>
        </w:tc>
      </w:tr>
      <w:tr>
        <w:trPr>
          <w:trHeight w:val="185"/>
        </w:trPr>
        <w:tc>
          <w:tcPr>
            <w:tcW w:w="23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40%.</w:t>
            </w:r>
          </w:p>
        </w:tc>
        <w:tc>
          <w:tcPr>
            <w:tcW w:w="10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8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Departmental Goals, if applicable</w:t>
            </w:r>
          </w:p>
        </w:tc>
        <w:tc>
          <w:tcPr>
            <w:tcW w:w="1380" w:type="dxa"/>
            <w:vAlign w:val="bottom"/>
            <w:gridSpan w:val="3"/>
          </w:tcPr>
          <w:p>
            <w:pPr>
              <w:ind w:left="340"/>
              <w:spacing w:after="0" w:line="153" w:lineRule="exact"/>
              <w:rPr>
                <w:sz w:val="20"/>
                <w:szCs w:val="20"/>
                <w:color w:val="auto"/>
              </w:rPr>
            </w:pPr>
            <w:r>
              <w:rPr>
                <w:rFonts w:ascii="Times New Roman" w:cs="Times New Roman" w:eastAsia="Times New Roman" w:hAnsi="Times New Roman"/>
                <w:sz w:val="14"/>
                <w:szCs w:val="14"/>
                <w:color w:val="auto"/>
              </w:rPr>
              <w:t>Marketing &amp;</w:t>
            </w:r>
          </w:p>
        </w:tc>
        <w:tc>
          <w:tcPr>
            <w:tcW w:w="740" w:type="dxa"/>
            <w:vAlign w:val="bottom"/>
            <w:gridSpan w:val="2"/>
          </w:tcPr>
          <w:p>
            <w:pPr>
              <w:jc w:val="center"/>
              <w:ind w:left="288"/>
              <w:spacing w:after="0" w:line="153"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780" w:type="dxa"/>
            <w:vAlign w:val="bottom"/>
            <w:gridSpan w:val="3"/>
          </w:tcPr>
          <w:p>
            <w:pPr>
              <w:jc w:val="center"/>
              <w:ind w:left="268"/>
              <w:spacing w:after="0" w:line="153" w:lineRule="exact"/>
              <w:rPr>
                <w:sz w:val="20"/>
                <w:szCs w:val="20"/>
                <w:color w:val="auto"/>
              </w:rPr>
            </w:pPr>
            <w:r>
              <w:rPr>
                <w:rFonts w:ascii="Times New Roman" w:cs="Times New Roman" w:eastAsia="Times New Roman" w:hAnsi="Times New Roman"/>
                <w:sz w:val="14"/>
                <w:szCs w:val="14"/>
                <w:color w:val="auto"/>
                <w:w w:val="99"/>
              </w:rPr>
              <w:t>40.0%</w:t>
            </w:r>
          </w:p>
        </w:tc>
        <w:tc>
          <w:tcPr>
            <w:tcW w:w="240" w:type="dxa"/>
            <w:vAlign w:val="bottom"/>
          </w:tcPr>
          <w:p>
            <w:pPr>
              <w:spacing w:after="0"/>
              <w:rPr>
                <w:sz w:val="13"/>
                <w:szCs w:val="13"/>
                <w:color w:val="auto"/>
              </w:rPr>
            </w:pPr>
          </w:p>
        </w:tc>
        <w:tc>
          <w:tcPr>
            <w:tcW w:w="720" w:type="dxa"/>
            <w:vAlign w:val="bottom"/>
            <w:gridSpan w:val="2"/>
          </w:tcPr>
          <w:p>
            <w:pPr>
              <w:jc w:val="center"/>
              <w:ind w:left="268"/>
              <w:spacing w:after="0" w:line="15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3"/>
                <w:szCs w:val="13"/>
                <w:color w:val="auto"/>
              </w:rPr>
            </w:pPr>
          </w:p>
        </w:tc>
        <w:tc>
          <w:tcPr>
            <w:tcW w:w="29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color w:val="auto"/>
              </w:rPr>
              <w:t>Includes total direct sales target, promotional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38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Digital</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markdown rate target and advertising sales</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ratio % target.</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Store Operations</w:t>
            </w:r>
          </w:p>
        </w:tc>
        <w:tc>
          <w:tcPr>
            <w:tcW w:w="74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74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Includes payroll as a percentage of sales target,</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net promoter score target and store conversion</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target.</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 w:name="page24"/>
    <w:bookmarkEnd w:id="23"/>
    <w:p>
      <w:pPr>
        <w:ind w:left="760" w:right="80"/>
        <w:spacing w:after="0" w:line="250" w:lineRule="auto"/>
        <w:rPr>
          <w:sz w:val="20"/>
          <w:szCs w:val="20"/>
          <w:color w:val="auto"/>
        </w:rPr>
      </w:pPr>
      <w:r>
        <w:rPr>
          <w:rFonts w:ascii="Times New Roman" w:cs="Times New Roman" w:eastAsia="Times New Roman" w:hAnsi="Times New Roman"/>
          <w:sz w:val="18"/>
          <w:szCs w:val="18"/>
          <w:color w:val="auto"/>
        </w:rPr>
        <w:t>The above targets for each metric are derived from the Company’s annual operating plan and budget for the 2022 fiscal year, and are intended to be achievable, with an approximate 50% probability of achievement. The likelihood of achieving the 2022 targets reflects the challenges inherent in achieving the goals and objectives of an ambitious operating plan, given the continuing uncertainty with respect to global supply chain disruptions, inflation, labor shortages, COVID-19 pandemic and geopolitical instability from Russia's invasion of Ukraine.</w:t>
      </w:r>
    </w:p>
    <w:p>
      <w:pPr>
        <w:spacing w:after="0" w:line="191" w:lineRule="exact"/>
        <w:rPr>
          <w:sz w:val="20"/>
          <w:szCs w:val="20"/>
          <w:color w:val="auto"/>
        </w:rPr>
      </w:pPr>
    </w:p>
    <w:p>
      <w:pPr>
        <w:ind w:left="760" w:right="100"/>
        <w:spacing w:after="0" w:line="250" w:lineRule="auto"/>
        <w:rPr>
          <w:sz w:val="20"/>
          <w:szCs w:val="20"/>
          <w:color w:val="auto"/>
        </w:rPr>
      </w:pPr>
      <w:r>
        <w:rPr>
          <w:rFonts w:ascii="Times New Roman" w:cs="Times New Roman" w:eastAsia="Times New Roman" w:hAnsi="Times New Roman"/>
          <w:sz w:val="18"/>
          <w:szCs w:val="18"/>
          <w:color w:val="auto"/>
        </w:rPr>
        <w:t>For fiscal 2022, Mr. Kanter will participate at 100% of his salary and Messrs. Dhoot and Molloy will continue to participate at 50% of their respective salaries. Effective March 6, 2022, Mr. Stratton's participation rate increased from 55% to 60% and Mr. Gaeta's participation rate increased from 40% to 50% and therefore will result in a blended participation rate for both of them. Messrs. Stratton and Gaeta’s increases were a result of their respective job classifications.</w:t>
      </w:r>
    </w:p>
    <w:p>
      <w:pPr>
        <w:spacing w:after="0" w:line="270" w:lineRule="exact"/>
        <w:rPr>
          <w:sz w:val="20"/>
          <w:szCs w:val="20"/>
          <w:color w:val="auto"/>
        </w:rPr>
      </w:pPr>
    </w:p>
    <w:p>
      <w:pPr>
        <w:ind w:left="780" w:hanging="263"/>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incentive plans</w:t>
      </w:r>
    </w:p>
    <w:p>
      <w:pPr>
        <w:spacing w:after="0" w:line="213" w:lineRule="exact"/>
        <w:rPr>
          <w:rFonts w:ascii="Times New Roman" w:cs="Times New Roman" w:eastAsia="Times New Roman" w:hAnsi="Times New Roman"/>
          <w:sz w:val="18"/>
          <w:szCs w:val="18"/>
          <w:color w:val="auto"/>
        </w:rPr>
      </w:pPr>
    </w:p>
    <w:p>
      <w:pPr>
        <w:ind w:left="7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performance period for the Company’s 2019-2021 LTIP ended on January 29, 2022. The performance targets, which were established by the</w:t>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Compensation Committee on August 7, 2019, and the actual performance achieved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Weight of</w:t>
            </w:r>
          </w:p>
        </w:tc>
        <w:tc>
          <w:tcPr>
            <w:tcW w:w="40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2019-2021 LTIP Performance Period</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Metric</w:t>
            </w:r>
          </w:p>
        </w:tc>
        <w:tc>
          <w:tcPr>
            <w:tcW w:w="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each target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Potential Payout</w:t>
            </w:r>
          </w:p>
        </w:tc>
        <w:tc>
          <w:tcPr>
            <w:tcW w:w="2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Target</w:t>
            </w:r>
          </w:p>
        </w:tc>
        <w:tc>
          <w:tcPr>
            <w:tcW w:w="40" w:type="dxa"/>
            <w:vAlign w:val="bottom"/>
          </w:tcPr>
          <w:p>
            <w:pPr>
              <w:spacing w:after="0"/>
              <w:rPr>
                <w:sz w:val="20"/>
                <w:szCs w:val="20"/>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w:t>
            </w:r>
          </w:p>
        </w:tc>
        <w:tc>
          <w:tcPr>
            <w:tcW w:w="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Payout %</w:t>
            </w:r>
          </w:p>
        </w:tc>
        <w:tc>
          <w:tcPr>
            <w:tcW w:w="0" w:type="dxa"/>
            <w:vAlign w:val="bottom"/>
          </w:tcPr>
          <w:p>
            <w:pPr>
              <w:spacing w:after="0"/>
              <w:rPr>
                <w:sz w:val="1"/>
                <w:szCs w:val="1"/>
                <w:color w:val="auto"/>
              </w:rPr>
            </w:pPr>
          </w:p>
        </w:tc>
      </w:tr>
      <w:tr>
        <w:trPr>
          <w:trHeight w:val="164"/>
        </w:trPr>
        <w:tc>
          <w:tcPr>
            <w:tcW w:w="330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Three-year Adjusted EBITDA margin</w:t>
            </w:r>
          </w:p>
        </w:tc>
        <w:tc>
          <w:tcPr>
            <w:tcW w:w="60" w:type="dxa"/>
            <w:vAlign w:val="bottom"/>
          </w:tcPr>
          <w:p>
            <w:pPr>
              <w:spacing w:after="0"/>
              <w:rPr>
                <w:sz w:val="14"/>
                <w:szCs w:val="14"/>
                <w:color w:val="auto"/>
              </w:rPr>
            </w:pPr>
          </w:p>
        </w:tc>
        <w:tc>
          <w:tcPr>
            <w:tcW w:w="90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8"/>
              </w:rPr>
              <w:t>50.0%</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940" w:type="dxa"/>
            <w:vAlign w:val="bottom"/>
            <w:tcBorders>
              <w:top w:val="single" w:sz="8" w:color="auto"/>
            </w:tcBorders>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100% payout at target, with 50% payout at 94.6% of</w:t>
            </w:r>
          </w:p>
        </w:tc>
        <w:tc>
          <w:tcPr>
            <w:tcW w:w="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and 150% payout at 107.1% of target.</w:t>
            </w: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133.8 %</w:t>
            </w: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Three-year Stacked Retail Comp</w:t>
            </w:r>
          </w:p>
        </w:tc>
        <w:tc>
          <w:tcPr>
            <w:tcW w:w="960" w:type="dxa"/>
            <w:vAlign w:val="bottom"/>
            <w:gridSpan w:val="2"/>
          </w:tcPr>
          <w:p>
            <w:pPr>
              <w:jc w:val="center"/>
              <w:ind w:left="10"/>
              <w:spacing w:after="0" w:line="170" w:lineRule="exact"/>
              <w:rPr>
                <w:sz w:val="20"/>
                <w:szCs w:val="20"/>
                <w:color w:val="auto"/>
              </w:rPr>
            </w:pPr>
            <w:r>
              <w:rPr>
                <w:rFonts w:ascii="Times New Roman" w:cs="Times New Roman" w:eastAsia="Times New Roman" w:hAnsi="Times New Roman"/>
                <w:sz w:val="18"/>
                <w:szCs w:val="18"/>
                <w:color w:val="auto"/>
                <w:w w:val="98"/>
              </w:rPr>
              <w:t>50.0%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8"/>
                <w:szCs w:val="18"/>
                <w:color w:val="auto"/>
              </w:rPr>
              <w:t>100% payout at target, with 50% payout at 74.4% of</w:t>
            </w: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target and 150% payout at 138.5% of target.</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7.80%</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36.0%</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Blended payout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2" w:lineRule="exact"/>
        <w:rPr>
          <w:sz w:val="20"/>
          <w:szCs w:val="20"/>
          <w:color w:val="auto"/>
        </w:rPr>
      </w:pPr>
    </w:p>
    <w:p>
      <w:pPr>
        <w:jc w:val="both"/>
        <w:ind w:left="760" w:right="60"/>
        <w:spacing w:after="0" w:line="250" w:lineRule="auto"/>
        <w:rPr>
          <w:sz w:val="20"/>
          <w:szCs w:val="20"/>
          <w:color w:val="auto"/>
        </w:rPr>
      </w:pPr>
      <w:r>
        <w:rPr>
          <w:rFonts w:ascii="Times New Roman" w:cs="Times New Roman" w:eastAsia="Times New Roman" w:hAnsi="Times New Roman"/>
          <w:sz w:val="18"/>
          <w:szCs w:val="18"/>
          <w:color w:val="auto"/>
        </w:rPr>
        <w:t>The targets under the 2019-2021 LTIP were set prior to the COVID-19 pandemic and were not modified to carve-out or exclude any results as a result of the pandemic. As a result of the exceptional performance in fiscal 2021, the Company exceeded the target set for each metric. Based on that achievement, subsequent to the end of fiscal 2021, on March 15, 2022, the Compensation Committee approved a total performance award of $2.7 million, to be awarded in a combination of 50% cash and 50% RSUs. All awards are subject to further vesting through August 31, 2022. Approximately $1.5 million of the $2.7 million of the award was awarded to the Named Executive Officers.</w:t>
      </w:r>
    </w:p>
    <w:p>
      <w:pPr>
        <w:spacing w:after="0" w:line="69" w:lineRule="exact"/>
        <w:rPr>
          <w:sz w:val="20"/>
          <w:szCs w:val="20"/>
          <w:color w:val="auto"/>
        </w:rPr>
      </w:pPr>
    </w:p>
    <w:p>
      <w:pPr>
        <w:jc w:val="both"/>
        <w:ind w:left="760" w:right="6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awards granted to our Named Executive Officers on March 15, 2022 as a result of achieving the performance metrics under the 2019-2021 LTIP:</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2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500" w:type="dxa"/>
            <w:vAlign w:val="bottom"/>
          </w:tcPr>
          <w:p>
            <w:pPr>
              <w:spacing w:after="0"/>
              <w:rPr>
                <w:sz w:val="17"/>
                <w:szCs w:val="17"/>
                <w:color w:val="auto"/>
              </w:rPr>
            </w:pPr>
          </w:p>
        </w:tc>
        <w:tc>
          <w:tcPr>
            <w:tcW w:w="142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RSUs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Cash</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 Award</w:t>
            </w:r>
          </w:p>
        </w:tc>
      </w:tr>
      <w:tr>
        <w:trPr>
          <w:trHeight w:val="216"/>
        </w:trPr>
        <w:tc>
          <w:tcPr>
            <w:tcW w:w="55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3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886,520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196,176</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7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105,880</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7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186,244</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7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146,512</w:t>
            </w:r>
          </w:p>
        </w:tc>
        <w:tc>
          <w:tcPr>
            <w:tcW w:w="100" w:type="dxa"/>
            <w:vAlign w:val="bottom"/>
            <w:shd w:val="clear" w:color="auto" w:fill="CFF0FC"/>
          </w:tcPr>
          <w:p>
            <w:pPr>
              <w:spacing w:after="0"/>
              <w:rPr>
                <w:sz w:val="18"/>
                <w:szCs w:val="18"/>
                <w:color w:val="auto"/>
              </w:rPr>
            </w:pPr>
          </w:p>
        </w:tc>
      </w:tr>
      <w:tr>
        <w:trPr>
          <w:trHeight w:val="743"/>
        </w:trPr>
        <w:tc>
          <w:tcPr>
            <w:tcW w:w="552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-1250950</wp:posOffset>
            </wp:positionV>
            <wp:extent cx="774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-1250950</wp:posOffset>
            </wp:positionV>
            <wp:extent cx="685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40" w:right="27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The following is a summary of the 2020-2022 LTIP and 2021-2023 LTIP in effect, but not completed, during fiscal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Summary of LTIPs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2020-2022</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2021-2023</w:t>
            </w: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Effective date</w:t>
            </w:r>
          </w:p>
        </w:tc>
        <w:tc>
          <w:tcPr>
            <w:tcW w:w="22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380" w:type="dxa"/>
            <w:vAlign w:val="bottom"/>
            <w:tcBorders>
              <w:top w:val="single" w:sz="8" w:color="auto"/>
            </w:tcBorders>
            <w:gridSpan w:val="6"/>
            <w:shd w:val="clear" w:color="auto" w:fill="CFF0FC"/>
          </w:tcPr>
          <w:p>
            <w:pPr>
              <w:jc w:val="center"/>
              <w:ind w:right="1400"/>
              <w:spacing w:after="0"/>
              <w:rPr>
                <w:sz w:val="20"/>
                <w:szCs w:val="20"/>
                <w:color w:val="auto"/>
              </w:rPr>
            </w:pPr>
            <w:r>
              <w:rPr>
                <w:rFonts w:ascii="Times New Roman" w:cs="Times New Roman" w:eastAsia="Times New Roman" w:hAnsi="Times New Roman"/>
                <w:sz w:val="16"/>
                <w:szCs w:val="16"/>
                <w:color w:val="auto"/>
              </w:rPr>
              <w:t>June 11, 2020</w:t>
            </w:r>
          </w:p>
        </w:tc>
        <w:tc>
          <w:tcPr>
            <w:tcW w:w="26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460" w:type="dxa"/>
            <w:vAlign w:val="bottom"/>
            <w:tcBorders>
              <w:top w:val="single" w:sz="8" w:color="auto"/>
            </w:tcBorders>
            <w:gridSpan w:val="6"/>
            <w:shd w:val="clear" w:color="auto" w:fill="CFF0FC"/>
          </w:tcPr>
          <w:p>
            <w:pPr>
              <w:jc w:val="center"/>
              <w:ind w:right="1380"/>
              <w:spacing w:after="0"/>
              <w:rPr>
                <w:sz w:val="20"/>
                <w:szCs w:val="20"/>
                <w:color w:val="auto"/>
              </w:rPr>
            </w:pPr>
            <w:r>
              <w:rPr>
                <w:rFonts w:ascii="Times New Roman" w:cs="Times New Roman" w:eastAsia="Times New Roman" w:hAnsi="Times New Roman"/>
                <w:sz w:val="16"/>
                <w:szCs w:val="16"/>
                <w:color w:val="auto"/>
              </w:rPr>
              <w:t>March 8, 2021</w:t>
            </w:r>
          </w:p>
        </w:tc>
        <w:tc>
          <w:tcPr>
            <w:tcW w:w="0" w:type="dxa"/>
            <w:vAlign w:val="bottom"/>
          </w:tcPr>
          <w:p>
            <w:pPr>
              <w:spacing w:after="0"/>
              <w:rPr>
                <w:sz w:val="1"/>
                <w:szCs w:val="1"/>
                <w:color w:val="auto"/>
              </w:rPr>
            </w:pPr>
          </w:p>
        </w:tc>
      </w:tr>
      <w:tr>
        <w:trPr>
          <w:trHeight w:val="203"/>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Performance period</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gridSpan w:val="6"/>
          </w:tcPr>
          <w:p>
            <w:pPr>
              <w:jc w:val="center"/>
              <w:ind w:right="1420"/>
              <w:spacing w:after="0"/>
              <w:rPr>
                <w:sz w:val="20"/>
                <w:szCs w:val="20"/>
                <w:color w:val="auto"/>
              </w:rPr>
            </w:pPr>
            <w:r>
              <w:rPr>
                <w:rFonts w:ascii="Times New Roman" w:cs="Times New Roman" w:eastAsia="Times New Roman" w:hAnsi="Times New Roman"/>
                <w:sz w:val="16"/>
                <w:szCs w:val="16"/>
                <w:color w:val="auto"/>
              </w:rPr>
              <w:t>3yrs</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gridSpan w:val="5"/>
          </w:tcPr>
          <w:p>
            <w:pPr>
              <w:jc w:val="center"/>
              <w:ind w:right="1780"/>
              <w:spacing w:after="0"/>
              <w:rPr>
                <w:sz w:val="20"/>
                <w:szCs w:val="20"/>
                <w:color w:val="auto"/>
              </w:rPr>
            </w:pPr>
            <w:r>
              <w:rPr>
                <w:rFonts w:ascii="Times New Roman" w:cs="Times New Roman" w:eastAsia="Times New Roman" w:hAnsi="Times New Roman"/>
                <w:sz w:val="16"/>
                <w:szCs w:val="16"/>
                <w:color w:val="auto"/>
              </w:rPr>
              <w:t>3yrs</w:t>
            </w:r>
          </w:p>
        </w:tc>
        <w:tc>
          <w:tcPr>
            <w:tcW w:w="0" w:type="dxa"/>
            <w:vAlign w:val="bottom"/>
          </w:tcPr>
          <w:p>
            <w:pPr>
              <w:spacing w:after="0"/>
              <w:rPr>
                <w:sz w:val="1"/>
                <w:szCs w:val="1"/>
                <w:color w:val="auto"/>
              </w:rPr>
            </w:pPr>
          </w:p>
        </w:tc>
      </w:tr>
      <w:tr>
        <w:trPr>
          <w:trHeight w:val="203"/>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End of Performance Period</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580" w:type="dxa"/>
            <w:vAlign w:val="bottom"/>
            <w:gridSpan w:val="8"/>
            <w:shd w:val="clear" w:color="auto" w:fill="CFF0FC"/>
          </w:tcPr>
          <w:p>
            <w:pPr>
              <w:jc w:val="center"/>
              <w:ind w:right="1200"/>
              <w:spacing w:after="0"/>
              <w:rPr>
                <w:sz w:val="20"/>
                <w:szCs w:val="20"/>
                <w:color w:val="auto"/>
              </w:rPr>
            </w:pPr>
            <w:r>
              <w:rPr>
                <w:rFonts w:ascii="Times New Roman" w:cs="Times New Roman" w:eastAsia="Times New Roman" w:hAnsi="Times New Roman"/>
                <w:sz w:val="16"/>
                <w:szCs w:val="16"/>
                <w:color w:val="auto"/>
              </w:rPr>
              <w:t>January 28, 2023</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620" w:type="dxa"/>
            <w:vAlign w:val="bottom"/>
            <w:gridSpan w:val="7"/>
            <w:shd w:val="clear" w:color="auto" w:fill="CFF0FC"/>
          </w:tcPr>
          <w:p>
            <w:pPr>
              <w:jc w:val="center"/>
              <w:ind w:right="1220"/>
              <w:spacing w:after="0"/>
              <w:rPr>
                <w:sz w:val="20"/>
                <w:szCs w:val="20"/>
                <w:color w:val="auto"/>
              </w:rPr>
            </w:pPr>
            <w:r>
              <w:rPr>
                <w:rFonts w:ascii="Times New Roman" w:cs="Times New Roman" w:eastAsia="Times New Roman" w:hAnsi="Times New Roman"/>
                <w:sz w:val="16"/>
                <w:szCs w:val="16"/>
                <w:color w:val="auto"/>
              </w:rPr>
              <w:t>February 3, 2024</w:t>
            </w:r>
          </w:p>
        </w:tc>
        <w:tc>
          <w:tcPr>
            <w:tcW w:w="0" w:type="dxa"/>
            <w:vAlign w:val="bottom"/>
          </w:tcPr>
          <w:p>
            <w:pPr>
              <w:spacing w:after="0"/>
              <w:rPr>
                <w:sz w:val="1"/>
                <w:szCs w:val="1"/>
                <w:color w:val="auto"/>
              </w:rPr>
            </w:pPr>
          </w:p>
        </w:tc>
      </w:tr>
      <w:tr>
        <w:trPr>
          <w:trHeight w:val="189"/>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Target cash value</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40" w:type="dxa"/>
            <w:vAlign w:val="bottom"/>
            <w:gridSpan w:val="9"/>
          </w:tcPr>
          <w:p>
            <w:pPr>
              <w:jc w:val="center"/>
              <w:ind w:right="74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8"/>
          </w:tcPr>
          <w:p>
            <w:pPr>
              <w:jc w:val="center"/>
              <w:ind w:right="780"/>
              <w:spacing w:after="0"/>
              <w:rPr>
                <w:sz w:val="20"/>
                <w:szCs w:val="20"/>
                <w:color w:val="auto"/>
              </w:rPr>
            </w:pPr>
            <w:r>
              <w:rPr>
                <w:rFonts w:ascii="Times New Roman" w:cs="Times New Roman" w:eastAsia="Times New Roman" w:hAnsi="Times New Roman"/>
                <w:sz w:val="16"/>
                <w:szCs w:val="16"/>
                <w:color w:val="auto"/>
              </w:rPr>
              <w:t>Annual Salary * Participation Rate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5"/>
          </w:tcPr>
          <w:p>
            <w:pPr>
              <w:jc w:val="center"/>
              <w:ind w:left="47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4"/>
          </w:tcPr>
          <w:p>
            <w:pPr>
              <w:jc w:val="center"/>
              <w:ind w:right="260"/>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gridSpan w:val="4"/>
          </w:tcPr>
          <w:p>
            <w:pPr>
              <w:jc w:val="center"/>
              <w:ind w:right="319"/>
              <w:spacing w:after="0" w:line="176" w:lineRule="exact"/>
              <w:rPr>
                <w:sz w:val="20"/>
                <w:szCs w:val="20"/>
                <w:color w:val="auto"/>
              </w:rPr>
            </w:pPr>
            <w:r>
              <w:rPr>
                <w:rFonts w:ascii="Times New Roman" w:cs="Times New Roman" w:eastAsia="Times New Roman" w:hAnsi="Times New Roman"/>
                <w:sz w:val="16"/>
                <w:szCs w:val="16"/>
                <w:color w:val="auto"/>
                <w:w w:val="99"/>
              </w:rPr>
              <w:t>Time-Based</w:t>
            </w:r>
          </w:p>
        </w:tc>
        <w:tc>
          <w:tcPr>
            <w:tcW w:w="500" w:type="dxa"/>
            <w:vAlign w:val="bottom"/>
          </w:tcPr>
          <w:p>
            <w:pPr>
              <w:spacing w:after="0"/>
              <w:rPr>
                <w:sz w:val="15"/>
                <w:szCs w:val="15"/>
                <w:color w:val="auto"/>
              </w:rPr>
            </w:pPr>
          </w:p>
        </w:tc>
        <w:tc>
          <w:tcPr>
            <w:tcW w:w="156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6"/>
                <w:szCs w:val="16"/>
                <w:color w:val="auto"/>
              </w:rPr>
              <w:t>Performance-Based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Allocation of Target Cash Value</w:t>
            </w:r>
          </w:p>
        </w:tc>
        <w:tc>
          <w:tcPr>
            <w:tcW w:w="1440" w:type="dxa"/>
            <w:vAlign w:val="bottom"/>
            <w:gridSpan w:val="4"/>
            <w:shd w:val="clear" w:color="auto" w:fill="CFF0FC"/>
          </w:tcPr>
          <w:p>
            <w:pPr>
              <w:jc w:val="center"/>
              <w:ind w:left="89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60" w:type="dxa"/>
            <w:vAlign w:val="bottom"/>
            <w:gridSpan w:val="3"/>
            <w:shd w:val="clear" w:color="auto" w:fill="CFF0FC"/>
          </w:tcPr>
          <w:p>
            <w:pPr>
              <w:jc w:val="center"/>
              <w:ind w:left="33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gridSpan w:val="4"/>
            <w:shd w:val="clear" w:color="auto" w:fill="CFF0FC"/>
          </w:tcPr>
          <w:p>
            <w:pPr>
              <w:jc w:val="center"/>
              <w:ind w:left="939"/>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700" w:type="dxa"/>
            <w:vAlign w:val="bottom"/>
            <w:gridSpan w:val="3"/>
            <w:shd w:val="clear" w:color="auto" w:fill="CFF0FC"/>
          </w:tcPr>
          <w:p>
            <w:pPr>
              <w:jc w:val="center"/>
              <w:ind w:left="479"/>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Award type</w:t>
            </w:r>
          </w:p>
        </w:tc>
        <w:tc>
          <w:tcPr>
            <w:tcW w:w="220" w:type="dxa"/>
            <w:vAlign w:val="bottom"/>
          </w:tcPr>
          <w:p>
            <w:pPr>
              <w:spacing w:after="0"/>
              <w:rPr>
                <w:sz w:val="14"/>
                <w:szCs w:val="14"/>
                <w:color w:val="auto"/>
              </w:rPr>
            </w:pPr>
          </w:p>
        </w:tc>
        <w:tc>
          <w:tcPr>
            <w:tcW w:w="1900" w:type="dxa"/>
            <w:vAlign w:val="bottom"/>
            <w:gridSpan w:val="6"/>
          </w:tcPr>
          <w:p>
            <w:pPr>
              <w:jc w:val="center"/>
              <w:spacing w:after="0" w:line="161" w:lineRule="exact"/>
              <w:rPr>
                <w:sz w:val="20"/>
                <w:szCs w:val="20"/>
                <w:color w:val="auto"/>
              </w:rPr>
            </w:pPr>
            <w:r>
              <w:rPr>
                <w:rFonts w:ascii="Times New Roman" w:cs="Times New Roman" w:eastAsia="Times New Roman" w:hAnsi="Times New Roman"/>
                <w:sz w:val="16"/>
                <w:szCs w:val="16"/>
                <w:color w:val="auto"/>
              </w:rPr>
              <w:t>at effective date:</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RSUs, Cash or a</w:t>
            </w:r>
          </w:p>
        </w:tc>
        <w:tc>
          <w:tcPr>
            <w:tcW w:w="260" w:type="dxa"/>
            <w:vAlign w:val="bottom"/>
          </w:tcPr>
          <w:p>
            <w:pPr>
              <w:spacing w:after="0"/>
              <w:rPr>
                <w:sz w:val="14"/>
                <w:szCs w:val="14"/>
                <w:color w:val="auto"/>
              </w:rPr>
            </w:pPr>
          </w:p>
        </w:tc>
        <w:tc>
          <w:tcPr>
            <w:tcW w:w="1780" w:type="dxa"/>
            <w:vAlign w:val="bottom"/>
            <w:gridSpan w:val="5"/>
          </w:tcPr>
          <w:p>
            <w:pPr>
              <w:jc w:val="center"/>
              <w:ind w:left="139"/>
              <w:spacing w:after="0" w:line="161" w:lineRule="exact"/>
              <w:rPr>
                <w:sz w:val="20"/>
                <w:szCs w:val="20"/>
                <w:color w:val="auto"/>
              </w:rPr>
            </w:pPr>
            <w:r>
              <w:rPr>
                <w:rFonts w:ascii="Times New Roman" w:cs="Times New Roman" w:eastAsia="Times New Roman" w:hAnsi="Times New Roman"/>
                <w:sz w:val="16"/>
                <w:szCs w:val="16"/>
                <w:color w:val="auto"/>
              </w:rPr>
              <w:t>at effective date: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RSUs, Cash or a</w:t>
            </w:r>
          </w:p>
        </w:tc>
        <w:tc>
          <w:tcPr>
            <w:tcW w:w="0" w:type="dxa"/>
            <w:vAlign w:val="bottom"/>
          </w:tcPr>
          <w:p>
            <w:pPr>
              <w:spacing w:after="0"/>
              <w:rPr>
                <w:sz w:val="1"/>
                <w:szCs w:val="1"/>
                <w:color w:val="auto"/>
              </w:rPr>
            </w:pPr>
          </w:p>
        </w:tc>
      </w:tr>
      <w:tr>
        <w:trPr>
          <w:trHeight w:val="162"/>
        </w:trPr>
        <w:tc>
          <w:tcPr>
            <w:tcW w:w="31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5"/>
          </w:tcPr>
          <w:p>
            <w:pPr>
              <w:jc w:val="center"/>
              <w:ind w:left="439"/>
              <w:spacing w:after="0" w:line="162" w:lineRule="exact"/>
              <w:rPr>
                <w:sz w:val="20"/>
                <w:szCs w:val="20"/>
                <w:color w:val="auto"/>
              </w:rPr>
            </w:pPr>
            <w:r>
              <w:rPr>
                <w:rFonts w:ascii="Times New Roman" w:cs="Times New Roman" w:eastAsia="Times New Roman" w:hAnsi="Times New Roman"/>
                <w:sz w:val="16"/>
                <w:szCs w:val="16"/>
                <w:color w:val="auto"/>
              </w:rPr>
              <w:t>50% Options</w:t>
            </w:r>
          </w:p>
        </w:tc>
        <w:tc>
          <w:tcPr>
            <w:tcW w:w="480" w:type="dxa"/>
            <w:vAlign w:val="bottom"/>
          </w:tcPr>
          <w:p>
            <w:pPr>
              <w:spacing w:after="0"/>
              <w:rPr>
                <w:sz w:val="14"/>
                <w:szCs w:val="14"/>
                <w:color w:val="auto"/>
              </w:rPr>
            </w:pPr>
          </w:p>
        </w:tc>
        <w:tc>
          <w:tcPr>
            <w:tcW w:w="1900" w:type="dxa"/>
            <w:vAlign w:val="bottom"/>
            <w:gridSpan w:val="5"/>
          </w:tcPr>
          <w:p>
            <w:pPr>
              <w:ind w:left="100"/>
              <w:spacing w:after="0" w:line="162" w:lineRule="exact"/>
              <w:rPr>
                <w:sz w:val="20"/>
                <w:szCs w:val="20"/>
                <w:color w:val="auto"/>
              </w:rPr>
            </w:pPr>
            <w:r>
              <w:rPr>
                <w:rFonts w:ascii="Times New Roman" w:cs="Times New Roman" w:eastAsia="Times New Roman" w:hAnsi="Times New Roman"/>
                <w:sz w:val="16"/>
                <w:szCs w:val="16"/>
                <w:color w:val="auto"/>
              </w:rPr>
              <w:t>combination thereof, when</w:t>
            </w:r>
          </w:p>
        </w:tc>
        <w:tc>
          <w:tcPr>
            <w:tcW w:w="260" w:type="dxa"/>
            <w:vAlign w:val="bottom"/>
          </w:tcPr>
          <w:p>
            <w:pPr>
              <w:spacing w:after="0"/>
              <w:rPr>
                <w:sz w:val="14"/>
                <w:szCs w:val="14"/>
                <w:color w:val="auto"/>
              </w:rPr>
            </w:pPr>
          </w:p>
        </w:tc>
        <w:tc>
          <w:tcPr>
            <w:tcW w:w="1780" w:type="dxa"/>
            <w:vAlign w:val="bottom"/>
            <w:gridSpan w:val="5"/>
          </w:tcPr>
          <w:p>
            <w:pPr>
              <w:jc w:val="center"/>
              <w:ind w:left="79"/>
              <w:spacing w:after="0" w:line="162" w:lineRule="exact"/>
              <w:rPr>
                <w:sz w:val="20"/>
                <w:szCs w:val="20"/>
                <w:color w:val="auto"/>
              </w:rPr>
            </w:pPr>
            <w:r>
              <w:rPr>
                <w:rFonts w:ascii="Times New Roman" w:cs="Times New Roman" w:eastAsia="Times New Roman" w:hAnsi="Times New Roman"/>
                <w:sz w:val="16"/>
                <w:szCs w:val="16"/>
                <w:color w:val="auto"/>
              </w:rPr>
              <w:t>25% Options</w:t>
            </w:r>
          </w:p>
        </w:tc>
        <w:tc>
          <w:tcPr>
            <w:tcW w:w="2060" w:type="dxa"/>
            <w:vAlign w:val="bottom"/>
            <w:gridSpan w:val="5"/>
          </w:tcPr>
          <w:p>
            <w:pPr>
              <w:ind w:left="240"/>
              <w:spacing w:after="0" w:line="162" w:lineRule="exact"/>
              <w:rPr>
                <w:sz w:val="20"/>
                <w:szCs w:val="20"/>
                <w:color w:val="auto"/>
              </w:rPr>
            </w:pPr>
            <w:r>
              <w:rPr>
                <w:rFonts w:ascii="Times New Roman" w:cs="Times New Roman" w:eastAsia="Times New Roman" w:hAnsi="Times New Roman"/>
                <w:sz w:val="16"/>
                <w:szCs w:val="16"/>
                <w:color w:val="auto"/>
              </w:rPr>
              <w:t>combination thereof, when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rPr>
              <w:t>50% Cash</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w w:val="98"/>
              </w:rPr>
              <w:t>earned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gridSpan w:val="4"/>
          </w:tcPr>
          <w:p>
            <w:pPr>
              <w:jc w:val="center"/>
              <w:ind w:right="319"/>
              <w:spacing w:after="0"/>
              <w:rPr>
                <w:sz w:val="20"/>
                <w:szCs w:val="20"/>
                <w:color w:val="auto"/>
              </w:rPr>
            </w:pPr>
            <w:r>
              <w:rPr>
                <w:rFonts w:ascii="Times New Roman" w:cs="Times New Roman" w:eastAsia="Times New Roman" w:hAnsi="Times New Roman"/>
                <w:sz w:val="16"/>
                <w:szCs w:val="16"/>
                <w:color w:val="auto"/>
              </w:rPr>
              <w:t>75% Cash</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earned</w:t>
            </w:r>
          </w:p>
        </w:tc>
        <w:tc>
          <w:tcPr>
            <w:tcW w:w="0" w:type="dxa"/>
            <w:vAlign w:val="bottom"/>
          </w:tcPr>
          <w:p>
            <w:pPr>
              <w:spacing w:after="0"/>
              <w:rPr>
                <w:sz w:val="1"/>
                <w:szCs w:val="1"/>
                <w:color w:val="auto"/>
              </w:rPr>
            </w:pPr>
          </w:p>
        </w:tc>
      </w:tr>
      <w:tr>
        <w:trPr>
          <w:trHeight w:val="164"/>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5" w:lineRule="exact"/>
              <w:rPr>
                <w:sz w:val="20"/>
                <w:szCs w:val="20"/>
                <w:color w:val="auto"/>
              </w:rPr>
            </w:pPr>
            <w:r>
              <w:rPr>
                <w:rFonts w:ascii="Times New Roman" w:cs="Times New Roman" w:eastAsia="Times New Roman" w:hAnsi="Times New Roman"/>
                <w:sz w:val="16"/>
                <w:szCs w:val="16"/>
                <w:color w:val="auto"/>
              </w:rPr>
              <w:t>25% June 11, 2021</w:t>
            </w:r>
          </w:p>
        </w:tc>
        <w:tc>
          <w:tcPr>
            <w:tcW w:w="480" w:type="dxa"/>
            <w:vAlign w:val="bottom"/>
            <w:shd w:val="clear" w:color="auto" w:fill="CFF0FC"/>
          </w:tcPr>
          <w:p>
            <w:pPr>
              <w:spacing w:after="0"/>
              <w:rPr>
                <w:sz w:val="14"/>
                <w:szCs w:val="14"/>
                <w:color w:val="auto"/>
              </w:rPr>
            </w:pPr>
          </w:p>
        </w:tc>
        <w:tc>
          <w:tcPr>
            <w:tcW w:w="1900" w:type="dxa"/>
            <w:vAlign w:val="bottom"/>
            <w:gridSpan w:val="5"/>
            <w:vMerge w:val="restart"/>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5" w:lineRule="exact"/>
              <w:rPr>
                <w:sz w:val="20"/>
                <w:szCs w:val="20"/>
                <w:color w:val="auto"/>
              </w:rPr>
            </w:pPr>
            <w:r>
              <w:rPr>
                <w:rFonts w:ascii="Times New Roman" w:cs="Times New Roman" w:eastAsia="Times New Roman" w:hAnsi="Times New Roman"/>
                <w:sz w:val="16"/>
                <w:szCs w:val="16"/>
                <w:color w:val="auto"/>
              </w:rPr>
              <w:t>25% April 1, 2022</w:t>
            </w:r>
          </w:p>
        </w:tc>
        <w:tc>
          <w:tcPr>
            <w:tcW w:w="2060" w:type="dxa"/>
            <w:vAlign w:val="bottom"/>
            <w:gridSpan w:val="5"/>
            <w:vMerge w:val="restart"/>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any award earned subject to</w:t>
            </w:r>
          </w:p>
        </w:tc>
        <w:tc>
          <w:tcPr>
            <w:tcW w:w="0" w:type="dxa"/>
            <w:vAlign w:val="bottom"/>
          </w:tcPr>
          <w:p>
            <w:pPr>
              <w:spacing w:after="0"/>
              <w:rPr>
                <w:sz w:val="1"/>
                <w:szCs w:val="1"/>
                <w:color w:val="auto"/>
              </w:rPr>
            </w:pPr>
          </w:p>
        </w:tc>
      </w:tr>
      <w:tr>
        <w:trPr>
          <w:trHeight w:val="162"/>
        </w:trPr>
        <w:tc>
          <w:tcPr>
            <w:tcW w:w="3120" w:type="dxa"/>
            <w:vAlign w:val="bottom"/>
            <w:gridSpan w:val="3"/>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period</w:t>
            </w: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25% April 1, 2022</w:t>
            </w:r>
          </w:p>
        </w:tc>
        <w:tc>
          <w:tcPr>
            <w:tcW w:w="480" w:type="dxa"/>
            <w:vAlign w:val="bottom"/>
            <w:shd w:val="clear" w:color="auto" w:fill="CFF0FC"/>
          </w:tcPr>
          <w:p>
            <w:pPr>
              <w:spacing w:after="0"/>
              <w:rPr>
                <w:sz w:val="14"/>
                <w:szCs w:val="14"/>
                <w:color w:val="auto"/>
              </w:rPr>
            </w:pPr>
          </w:p>
        </w:tc>
        <w:tc>
          <w:tcPr>
            <w:tcW w:w="1900" w:type="dxa"/>
            <w:vAlign w:val="bottom"/>
            <w:gridSpan w:val="5"/>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25% April 1, 2023</w:t>
            </w:r>
          </w:p>
        </w:tc>
        <w:tc>
          <w:tcPr>
            <w:tcW w:w="2060" w:type="dxa"/>
            <w:vAlign w:val="bottom"/>
            <w:gridSpan w:val="5"/>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120" w:type="dxa"/>
            <w:vAlign w:val="bottom"/>
            <w:gridSpan w:val="3"/>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gridSpan w:val="5"/>
            <w:vMerge w:val="restart"/>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25% April 1, 2023</w:t>
            </w:r>
          </w:p>
        </w:tc>
        <w:tc>
          <w:tcPr>
            <w:tcW w:w="480" w:type="dxa"/>
            <w:vAlign w:val="bottom"/>
            <w:shd w:val="clear" w:color="auto" w:fill="CFF0FC"/>
          </w:tcPr>
          <w:p>
            <w:pPr>
              <w:spacing w:after="0"/>
              <w:rPr>
                <w:sz w:val="10"/>
                <w:szCs w:val="10"/>
                <w:color w:val="auto"/>
              </w:rPr>
            </w:pPr>
          </w:p>
        </w:tc>
        <w:tc>
          <w:tcPr>
            <w:tcW w:w="1900" w:type="dxa"/>
            <w:vAlign w:val="bottom"/>
            <w:gridSpan w:val="5"/>
            <w:vMerge w:val="restart"/>
            <w:shd w:val="clear" w:color="auto" w:fill="CFF0FC"/>
          </w:tcPr>
          <w:p>
            <w:pPr>
              <w:ind w:left="80"/>
              <w:spacing w:after="0" w:line="162" w:lineRule="exact"/>
              <w:rPr>
                <w:sz w:val="20"/>
                <w:szCs w:val="20"/>
                <w:color w:val="auto"/>
              </w:rPr>
            </w:pPr>
            <w:r>
              <w:rPr>
                <w:rFonts w:ascii="Times New Roman" w:cs="Times New Roman" w:eastAsia="Times New Roman" w:hAnsi="Times New Roman"/>
                <w:sz w:val="16"/>
                <w:szCs w:val="16"/>
                <w:color w:val="auto"/>
              </w:rPr>
              <w:t>additional vesting through</w:t>
            </w:r>
          </w:p>
        </w:tc>
        <w:tc>
          <w:tcPr>
            <w:tcW w:w="260" w:type="dxa"/>
            <w:vAlign w:val="bottom"/>
            <w:shd w:val="clear" w:color="auto" w:fill="CFF0FC"/>
          </w:tcPr>
          <w:p>
            <w:pPr>
              <w:spacing w:after="0"/>
              <w:rPr>
                <w:sz w:val="10"/>
                <w:szCs w:val="10"/>
                <w:color w:val="auto"/>
              </w:rPr>
            </w:pPr>
          </w:p>
        </w:tc>
        <w:tc>
          <w:tcPr>
            <w:tcW w:w="1780" w:type="dxa"/>
            <w:vAlign w:val="bottom"/>
            <w:gridSpan w:val="5"/>
            <w:vMerge w:val="restart"/>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25% April 1, 2024</w:t>
            </w:r>
          </w:p>
        </w:tc>
        <w:tc>
          <w:tcPr>
            <w:tcW w:w="2060" w:type="dxa"/>
            <w:vAlign w:val="bottom"/>
            <w:gridSpan w:val="5"/>
            <w:vMerge w:val="restart"/>
            <w:shd w:val="clear" w:color="auto" w:fill="CFF0FC"/>
          </w:tcPr>
          <w:p>
            <w:pPr>
              <w:ind w:left="220"/>
              <w:spacing w:after="0" w:line="162" w:lineRule="exact"/>
              <w:rPr>
                <w:sz w:val="20"/>
                <w:szCs w:val="20"/>
                <w:color w:val="auto"/>
              </w:rPr>
            </w:pPr>
            <w:r>
              <w:rPr>
                <w:rFonts w:ascii="Times New Roman" w:cs="Times New Roman" w:eastAsia="Times New Roman" w:hAnsi="Times New Roman"/>
                <w:sz w:val="16"/>
                <w:szCs w:val="16"/>
                <w:color w:val="auto"/>
              </w:rPr>
              <w:t>additional vesting through</w:t>
            </w:r>
          </w:p>
        </w:tc>
        <w:tc>
          <w:tcPr>
            <w:tcW w:w="0" w:type="dxa"/>
            <w:vAlign w:val="bottom"/>
          </w:tcPr>
          <w:p>
            <w:pPr>
              <w:spacing w:after="0"/>
              <w:rPr>
                <w:sz w:val="1"/>
                <w:szCs w:val="1"/>
                <w:color w:val="auto"/>
              </w:rPr>
            </w:pPr>
          </w:p>
        </w:tc>
      </w:tr>
      <w:tr>
        <w:trPr>
          <w:trHeight w:val="47"/>
        </w:trPr>
        <w:tc>
          <w:tcPr>
            <w:tcW w:w="20" w:type="dxa"/>
            <w:vAlign w:val="bottom"/>
            <w:shd w:val="clear" w:color="auto" w:fill="CFF0FC"/>
          </w:tcPr>
          <w:p>
            <w:pPr>
              <w:spacing w:after="0"/>
              <w:rPr>
                <w:sz w:val="4"/>
                <w:szCs w:val="4"/>
                <w:color w:val="auto"/>
              </w:rPr>
            </w:pPr>
          </w:p>
        </w:tc>
        <w:tc>
          <w:tcPr>
            <w:tcW w:w="1620" w:type="dxa"/>
            <w:vAlign w:val="bottom"/>
            <w:shd w:val="clear" w:color="auto" w:fill="CFF0FC"/>
          </w:tcPr>
          <w:p>
            <w:pPr>
              <w:spacing w:after="0"/>
              <w:rPr>
                <w:sz w:val="4"/>
                <w:szCs w:val="4"/>
                <w:color w:val="auto"/>
              </w:rPr>
            </w:pPr>
          </w:p>
        </w:tc>
        <w:tc>
          <w:tcPr>
            <w:tcW w:w="1480" w:type="dxa"/>
            <w:vAlign w:val="bottom"/>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420" w:type="dxa"/>
            <w:vAlign w:val="bottom"/>
            <w:gridSpan w:val="5"/>
            <w:vMerge w:val="continue"/>
            <w:shd w:val="clear" w:color="auto" w:fill="CFF0FC"/>
          </w:tcPr>
          <w:p>
            <w:pPr>
              <w:spacing w:after="0"/>
              <w:rPr>
                <w:sz w:val="4"/>
                <w:szCs w:val="4"/>
                <w:color w:val="auto"/>
              </w:rPr>
            </w:pPr>
          </w:p>
        </w:tc>
        <w:tc>
          <w:tcPr>
            <w:tcW w:w="480" w:type="dxa"/>
            <w:vAlign w:val="bottom"/>
            <w:shd w:val="clear" w:color="auto" w:fill="CFF0FC"/>
          </w:tcPr>
          <w:p>
            <w:pPr>
              <w:spacing w:after="0"/>
              <w:rPr>
                <w:sz w:val="4"/>
                <w:szCs w:val="4"/>
                <w:color w:val="auto"/>
              </w:rPr>
            </w:pPr>
          </w:p>
        </w:tc>
        <w:tc>
          <w:tcPr>
            <w:tcW w:w="1900" w:type="dxa"/>
            <w:vAlign w:val="bottom"/>
            <w:gridSpan w:val="5"/>
            <w:vMerge w:val="continue"/>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1780" w:type="dxa"/>
            <w:vAlign w:val="bottom"/>
            <w:gridSpan w:val="5"/>
            <w:vMerge w:val="continue"/>
            <w:shd w:val="clear" w:color="auto" w:fill="CFF0FC"/>
          </w:tcPr>
          <w:p>
            <w:pPr>
              <w:spacing w:after="0"/>
              <w:rPr>
                <w:sz w:val="4"/>
                <w:szCs w:val="4"/>
                <w:color w:val="auto"/>
              </w:rPr>
            </w:pPr>
          </w:p>
        </w:tc>
        <w:tc>
          <w:tcPr>
            <w:tcW w:w="2060" w:type="dxa"/>
            <w:vAlign w:val="bottom"/>
            <w:gridSpan w:val="5"/>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25% April 1, 2024</w:t>
            </w:r>
          </w:p>
        </w:tc>
        <w:tc>
          <w:tcPr>
            <w:tcW w:w="48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August 31, 2023</w:t>
            </w:r>
          </w:p>
        </w:tc>
        <w:tc>
          <w:tcPr>
            <w:tcW w:w="260" w:type="dxa"/>
            <w:vAlign w:val="bottom"/>
            <w:shd w:val="clear" w:color="auto" w:fill="CFF0FC"/>
          </w:tcPr>
          <w:p>
            <w:pPr>
              <w:spacing w:after="0"/>
              <w:rPr>
                <w:sz w:val="18"/>
                <w:szCs w:val="18"/>
                <w:color w:val="auto"/>
              </w:rPr>
            </w:pPr>
          </w:p>
        </w:tc>
        <w:tc>
          <w:tcPr>
            <w:tcW w:w="17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25% April 1, 2025</w:t>
            </w:r>
          </w:p>
        </w:tc>
        <w:tc>
          <w:tcPr>
            <w:tcW w:w="2060" w:type="dxa"/>
            <w:vAlign w:val="bottom"/>
            <w:gridSpan w:val="5"/>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364"/>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Performance Targets (1):</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w w:val="99"/>
              </w:rPr>
              <w:t>Target: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Min/Max Payout: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center"/>
              <w:ind w:right="479"/>
              <w:spacing w:after="0"/>
              <w:rPr>
                <w:sz w:val="20"/>
                <w:szCs w:val="20"/>
                <w:color w:val="auto"/>
              </w:rPr>
            </w:pPr>
            <w:r>
              <w:rPr>
                <w:rFonts w:ascii="Times New Roman" w:cs="Times New Roman" w:eastAsia="Times New Roman" w:hAnsi="Times New Roman"/>
                <w:sz w:val="16"/>
                <w:szCs w:val="16"/>
                <w:color w:val="auto"/>
                <w:w w:val="99"/>
              </w:rPr>
              <w:t>Target:</w:t>
            </w:r>
          </w:p>
        </w:tc>
        <w:tc>
          <w:tcPr>
            <w:tcW w:w="500" w:type="dxa"/>
            <w:vAlign w:val="bottom"/>
          </w:tcPr>
          <w:p>
            <w:pPr>
              <w:spacing w:after="0"/>
              <w:rPr>
                <w:sz w:val="24"/>
                <w:szCs w:val="24"/>
                <w:color w:val="auto"/>
              </w:rPr>
            </w:pPr>
          </w:p>
        </w:tc>
        <w:tc>
          <w:tcPr>
            <w:tcW w:w="15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Min/Max Payout: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3-yr. relative total</w:t>
            </w:r>
          </w:p>
        </w:tc>
        <w:tc>
          <w:tcPr>
            <w:tcW w:w="480" w:type="dxa"/>
            <w:vAlign w:val="bottom"/>
            <w:shd w:val="clear" w:color="auto" w:fill="CFF0FC"/>
          </w:tcPr>
          <w:p>
            <w:pPr>
              <w:spacing w:after="0"/>
              <w:rPr>
                <w:sz w:val="14"/>
                <w:szCs w:val="14"/>
                <w:color w:val="auto"/>
              </w:rPr>
            </w:pPr>
          </w:p>
        </w:tc>
        <w:tc>
          <w:tcPr>
            <w:tcW w:w="1900" w:type="dxa"/>
            <w:vAlign w:val="bottom"/>
            <w:gridSpan w:val="5"/>
            <w:shd w:val="clear" w:color="auto" w:fill="CFF0FC"/>
          </w:tcPr>
          <w:p>
            <w:pPr>
              <w:ind w:left="80"/>
              <w:spacing w:after="0" w:line="161" w:lineRule="exact"/>
              <w:rPr>
                <w:sz w:val="20"/>
                <w:szCs w:val="20"/>
                <w:color w:val="auto"/>
              </w:rPr>
            </w:pPr>
            <w:r>
              <w:rPr>
                <w:rFonts w:ascii="Times New Roman" w:cs="Times New Roman" w:eastAsia="Times New Roman" w:hAnsi="Times New Roman"/>
                <w:sz w:val="16"/>
                <w:szCs w:val="16"/>
                <w:color w:val="auto"/>
              </w:rPr>
              <w:t>100% payout at target (2nd</w:t>
            </w:r>
          </w:p>
        </w:tc>
        <w:tc>
          <w:tcPr>
            <w:tcW w:w="260" w:type="dxa"/>
            <w:vAlign w:val="bottom"/>
            <w:shd w:val="clear" w:color="auto" w:fill="CFF0FC"/>
          </w:tcPr>
          <w:p>
            <w:pPr>
              <w:spacing w:after="0"/>
              <w:rPr>
                <w:sz w:val="14"/>
                <w:szCs w:val="14"/>
                <w:color w:val="auto"/>
              </w:rPr>
            </w:pPr>
          </w:p>
        </w:tc>
        <w:tc>
          <w:tcPr>
            <w:tcW w:w="3840" w:type="dxa"/>
            <w:vAlign w:val="bottom"/>
            <w:gridSpan w:val="10"/>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3-yr. relative total shareholder 100% payout at target (2nd</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shareholder return as</w:t>
            </w:r>
          </w:p>
        </w:tc>
        <w:tc>
          <w:tcPr>
            <w:tcW w:w="480" w:type="dxa"/>
            <w:vAlign w:val="bottom"/>
            <w:shd w:val="clear" w:color="auto" w:fill="CFF0FC"/>
          </w:tcPr>
          <w:p>
            <w:pPr>
              <w:spacing w:after="0"/>
              <w:rPr>
                <w:sz w:val="14"/>
                <w:szCs w:val="14"/>
                <w:color w:val="auto"/>
              </w:rPr>
            </w:pPr>
          </w:p>
        </w:tc>
        <w:tc>
          <w:tcPr>
            <w:tcW w:w="1900" w:type="dxa"/>
            <w:vAlign w:val="bottom"/>
            <w:gridSpan w:val="5"/>
            <w:shd w:val="clear" w:color="auto" w:fill="CFF0FC"/>
          </w:tcPr>
          <w:p>
            <w:pPr>
              <w:ind w:left="80"/>
              <w:spacing w:after="0" w:line="162" w:lineRule="exact"/>
              <w:rPr>
                <w:sz w:val="20"/>
                <w:szCs w:val="20"/>
                <w:color w:val="auto"/>
              </w:rPr>
            </w:pPr>
            <w:r>
              <w:rPr>
                <w:rFonts w:ascii="Times New Roman" w:cs="Times New Roman" w:eastAsia="Times New Roman" w:hAnsi="Times New Roman"/>
                <w:sz w:val="16"/>
                <w:szCs w:val="16"/>
                <w:color w:val="auto"/>
              </w:rPr>
              <w:t>quartile), with 50% payout</w:t>
            </w: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return as compared to 2021</w:t>
            </w:r>
          </w:p>
        </w:tc>
        <w:tc>
          <w:tcPr>
            <w:tcW w:w="2060" w:type="dxa"/>
            <w:vAlign w:val="bottom"/>
            <w:gridSpan w:val="5"/>
            <w:shd w:val="clear" w:color="auto" w:fill="CFF0FC"/>
          </w:tcPr>
          <w:p>
            <w:pPr>
              <w:ind w:left="220"/>
              <w:spacing w:after="0" w:line="162" w:lineRule="exact"/>
              <w:rPr>
                <w:sz w:val="20"/>
                <w:szCs w:val="20"/>
                <w:color w:val="auto"/>
              </w:rPr>
            </w:pPr>
            <w:r>
              <w:rPr>
                <w:rFonts w:ascii="Times New Roman" w:cs="Times New Roman" w:eastAsia="Times New Roman" w:hAnsi="Times New Roman"/>
                <w:sz w:val="16"/>
                <w:szCs w:val="16"/>
                <w:color w:val="auto"/>
              </w:rPr>
              <w:t>quartile), with 50% payout</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900" w:type="dxa"/>
            <w:vAlign w:val="bottom"/>
            <w:gridSpan w:val="6"/>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compared to 2020 disclosed</w:t>
            </w:r>
          </w:p>
        </w:tc>
        <w:tc>
          <w:tcPr>
            <w:tcW w:w="1900" w:type="dxa"/>
            <w:vAlign w:val="bottom"/>
            <w:gridSpan w:val="5"/>
            <w:shd w:val="clear" w:color="auto" w:fill="CFF0FC"/>
          </w:tcPr>
          <w:p>
            <w:pPr>
              <w:ind w:left="80"/>
              <w:spacing w:after="0" w:line="175" w:lineRule="exact"/>
              <w:rPr>
                <w:sz w:val="20"/>
                <w:szCs w:val="20"/>
                <w:color w:val="auto"/>
              </w:rPr>
            </w:pPr>
            <w:r>
              <w:rPr>
                <w:rFonts w:ascii="Times New Roman" w:cs="Times New Roman" w:eastAsia="Times New Roman" w:hAnsi="Times New Roman"/>
                <w:sz w:val="16"/>
                <w:szCs w:val="16"/>
                <w:color w:val="auto"/>
              </w:rPr>
              <w:t>(3rd quartile) and 150%</w:t>
            </w:r>
          </w:p>
        </w:tc>
        <w:tc>
          <w:tcPr>
            <w:tcW w:w="260" w:type="dxa"/>
            <w:vAlign w:val="bottom"/>
            <w:shd w:val="clear" w:color="auto" w:fill="CFF0FC"/>
          </w:tcPr>
          <w:p>
            <w:pPr>
              <w:spacing w:after="0"/>
              <w:rPr>
                <w:sz w:val="15"/>
                <w:szCs w:val="15"/>
                <w:color w:val="auto"/>
              </w:rPr>
            </w:pPr>
          </w:p>
        </w:tc>
        <w:tc>
          <w:tcPr>
            <w:tcW w:w="1780" w:type="dxa"/>
            <w:vAlign w:val="bottom"/>
            <w:gridSpan w:val="5"/>
            <w:shd w:val="clear" w:color="auto" w:fill="CFF0FC"/>
          </w:tcPr>
          <w:p>
            <w:pPr>
              <w:spacing w:after="0" w:line="175" w:lineRule="exact"/>
              <w:rPr>
                <w:sz w:val="20"/>
                <w:szCs w:val="20"/>
                <w:color w:val="auto"/>
              </w:rPr>
            </w:pPr>
            <w:r>
              <w:rPr>
                <w:rFonts w:ascii="Times New Roman" w:cs="Times New Roman" w:eastAsia="Times New Roman" w:hAnsi="Times New Roman"/>
                <w:sz w:val="16"/>
                <w:szCs w:val="16"/>
                <w:color w:val="auto"/>
              </w:rPr>
              <w:t>disclosed proxy peers (3)</w:t>
            </w:r>
          </w:p>
        </w:tc>
        <w:tc>
          <w:tcPr>
            <w:tcW w:w="2060" w:type="dxa"/>
            <w:vAlign w:val="bottom"/>
            <w:gridSpan w:val="5"/>
            <w:shd w:val="clear" w:color="auto" w:fill="CFF0FC"/>
          </w:tcPr>
          <w:p>
            <w:pPr>
              <w:ind w:left="220"/>
              <w:spacing w:after="0" w:line="175" w:lineRule="exact"/>
              <w:rPr>
                <w:sz w:val="20"/>
                <w:szCs w:val="20"/>
                <w:color w:val="auto"/>
              </w:rPr>
            </w:pPr>
            <w:r>
              <w:rPr>
                <w:rFonts w:ascii="Times New Roman" w:cs="Times New Roman" w:eastAsia="Times New Roman" w:hAnsi="Times New Roman"/>
                <w:sz w:val="16"/>
                <w:szCs w:val="16"/>
                <w:color w:val="auto"/>
              </w:rPr>
              <w:t>(3rd quartile) and 150%</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20" w:type="dxa"/>
            <w:vAlign w:val="bottom"/>
            <w:gridSpan w:val="5"/>
            <w:shd w:val="clear" w:color="auto" w:fill="CFF0FC"/>
          </w:tcPr>
          <w:p>
            <w:pPr>
              <w:ind w:left="20"/>
              <w:spacing w:after="0" w:line="162" w:lineRule="exact"/>
              <w:rPr>
                <w:sz w:val="20"/>
                <w:szCs w:val="20"/>
                <w:color w:val="auto"/>
              </w:rPr>
            </w:pPr>
            <w:r>
              <w:rPr>
                <w:rFonts w:ascii="Times New Roman" w:cs="Times New Roman" w:eastAsia="Times New Roman" w:hAnsi="Times New Roman"/>
                <w:sz w:val="16"/>
                <w:szCs w:val="16"/>
                <w:color w:val="auto"/>
              </w:rPr>
              <w:t>proxy peers (2)</w:t>
            </w:r>
          </w:p>
        </w:tc>
        <w:tc>
          <w:tcPr>
            <w:tcW w:w="480" w:type="dxa"/>
            <w:vAlign w:val="bottom"/>
            <w:shd w:val="clear" w:color="auto" w:fill="CFF0FC"/>
          </w:tcPr>
          <w:p>
            <w:pPr>
              <w:spacing w:after="0"/>
              <w:rPr>
                <w:sz w:val="14"/>
                <w:szCs w:val="14"/>
                <w:color w:val="auto"/>
              </w:rPr>
            </w:pPr>
          </w:p>
        </w:tc>
        <w:tc>
          <w:tcPr>
            <w:tcW w:w="1900" w:type="dxa"/>
            <w:vAlign w:val="bottom"/>
            <w:gridSpan w:val="5"/>
            <w:shd w:val="clear" w:color="auto" w:fill="CFF0FC"/>
          </w:tcPr>
          <w:p>
            <w:pPr>
              <w:ind w:left="80"/>
              <w:spacing w:after="0" w:line="162" w:lineRule="exact"/>
              <w:rPr>
                <w:sz w:val="20"/>
                <w:szCs w:val="20"/>
                <w:color w:val="auto"/>
              </w:rPr>
            </w:pPr>
            <w:r>
              <w:rPr>
                <w:rFonts w:ascii="Times New Roman" w:cs="Times New Roman" w:eastAsia="Times New Roman" w:hAnsi="Times New Roman"/>
                <w:sz w:val="16"/>
                <w:szCs w:val="16"/>
                <w:color w:val="auto"/>
              </w:rPr>
              <w:t>payout (1st quartile). No</w:t>
            </w:r>
          </w:p>
        </w:tc>
        <w:tc>
          <w:tcPr>
            <w:tcW w:w="260" w:type="dxa"/>
            <w:vAlign w:val="bottom"/>
            <w:shd w:val="clear" w:color="auto" w:fill="CFF0FC"/>
          </w:tcPr>
          <w:p>
            <w:pPr>
              <w:spacing w:after="0"/>
              <w:rPr>
                <w:sz w:val="14"/>
                <w:szCs w:val="14"/>
                <w:color w:val="auto"/>
              </w:rPr>
            </w:pPr>
          </w:p>
        </w:tc>
        <w:tc>
          <w:tcPr>
            <w:tcW w:w="17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(100% weight)</w:t>
            </w:r>
          </w:p>
        </w:tc>
        <w:tc>
          <w:tcPr>
            <w:tcW w:w="2060" w:type="dxa"/>
            <w:vAlign w:val="bottom"/>
            <w:gridSpan w:val="5"/>
            <w:shd w:val="clear" w:color="auto" w:fill="CFF0FC"/>
          </w:tcPr>
          <w:p>
            <w:pPr>
              <w:ind w:left="220"/>
              <w:spacing w:after="0" w:line="162" w:lineRule="exact"/>
              <w:rPr>
                <w:sz w:val="20"/>
                <w:szCs w:val="20"/>
                <w:color w:val="auto"/>
              </w:rPr>
            </w:pPr>
            <w:r>
              <w:rPr>
                <w:rFonts w:ascii="Times New Roman" w:cs="Times New Roman" w:eastAsia="Times New Roman" w:hAnsi="Times New Roman"/>
                <w:sz w:val="16"/>
                <w:szCs w:val="16"/>
                <w:color w:val="auto"/>
              </w:rPr>
              <w:t>payout (1st quartile). No</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 weight)</w:t>
            </w:r>
          </w:p>
        </w:tc>
        <w:tc>
          <w:tcPr>
            <w:tcW w:w="480" w:type="dxa"/>
            <w:vAlign w:val="bottom"/>
            <w:shd w:val="clear" w:color="auto" w:fill="CFF0FC"/>
          </w:tcPr>
          <w:p>
            <w:pPr>
              <w:spacing w:after="0"/>
              <w:rPr>
                <w:sz w:val="18"/>
                <w:szCs w:val="18"/>
                <w:color w:val="auto"/>
              </w:rPr>
            </w:pPr>
          </w:p>
        </w:tc>
        <w:tc>
          <w:tcPr>
            <w:tcW w:w="190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60" w:type="dxa"/>
            <w:vAlign w:val="bottom"/>
            <w:gridSpan w:val="5"/>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payout in the 4th quartile.</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1340" w:hanging="380"/>
        <w:spacing w:after="0" w:line="257"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that the 2020-2022 LTIP and 2021-2023 LTIP were each approved, there remained continued uncertainty regarding the COVID-19 pandemic and the short-term and long-term impact it may have on consumer spending. As such, the Compensation Committee established just one performance metric, “Three-Year Relative Total Shareholder Return”, for both LTIPs. The Compensation Committee believed this performance metric and the issuance of stock options (as opposed to restricted stock units) under the time-based portion of the LTIPs, appropriately aligned management with the interests of our stockholders. The use of stock options also helped to preserve share availability under the 2016 Plan given the depressed stock price at the time these LTIPs were approved. The issuance of only 25% Options in connection with the 2021-2023 LTIP was a direct result of the then-share price and share availability.</w:t>
      </w:r>
    </w:p>
    <w:p>
      <w:pPr>
        <w:spacing w:after="0" w:line="72" w:lineRule="exact"/>
        <w:rPr>
          <w:rFonts w:ascii="Times New Roman" w:cs="Times New Roman" w:eastAsia="Times New Roman" w:hAnsi="Times New Roman"/>
          <w:sz w:val="14"/>
          <w:szCs w:val="14"/>
          <w:color w:val="auto"/>
        </w:rPr>
      </w:pPr>
    </w:p>
    <w:p>
      <w:pPr>
        <w:ind w:left="1340" w:hanging="380"/>
        <w:spacing w:after="0" w:line="28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2020 disclosed proxy peers, the three-year relative total shareholder return will be calculated as the percentage change in the 30-day trailing volume-weighted average closing stock price at January 31, 2020 and January 27, 2023, adjusted for any dividends paid.</w:t>
      </w:r>
    </w:p>
    <w:p>
      <w:pPr>
        <w:spacing w:after="0" w:line="53" w:lineRule="exact"/>
        <w:rPr>
          <w:rFonts w:ascii="Times New Roman" w:cs="Times New Roman" w:eastAsia="Times New Roman" w:hAnsi="Times New Roman"/>
          <w:sz w:val="14"/>
          <w:szCs w:val="14"/>
          <w:color w:val="auto"/>
        </w:rPr>
      </w:pPr>
    </w:p>
    <w:p>
      <w:pPr>
        <w:ind w:left="1340" w:hanging="380"/>
        <w:spacing w:after="0" w:line="30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Company and each of its 2021 disclosed proxy peers, the three-year relative total shareholder return will be calculated as the percentage change in the 30-day trailing volume-weighted average closing stock price at January 29, 2021 and February 2, 2024, adjusted for any dividends paid.</w:t>
      </w:r>
    </w:p>
    <w:p>
      <w:pPr>
        <w:spacing w:after="0" w:line="45"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At the time of establishing the performance targets, the Compensation Committee believed that the above metrics reflected the Company’s primary objective of returning to profitability and driving shareholder return.</w:t>
      </w:r>
    </w:p>
    <w:p>
      <w:pPr>
        <w:spacing w:after="0" w:line="54" w:lineRule="exact"/>
        <w:rPr>
          <w:sz w:val="20"/>
          <w:szCs w:val="20"/>
          <w:color w:val="auto"/>
        </w:rPr>
      </w:pPr>
    </w:p>
    <w:p>
      <w:pPr>
        <w:ind w:left="760" w:right="10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components of the LTIPs with the respective vesting dates, illustrating that the time-based portion of the LTIP acts as a retention tool: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4"/>
                <w:szCs w:val="14"/>
                <w:color w:val="auto"/>
              </w:rPr>
              <w:t>Vesting of Awards by Fiscal Year: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Approval date</w:t>
            </w:r>
          </w:p>
        </w:tc>
        <w:tc>
          <w:tcPr>
            <w:tcW w:w="120" w:type="dxa"/>
            <w:vAlign w:val="bottom"/>
          </w:tcPr>
          <w:p>
            <w:pPr>
              <w:spacing w:after="0"/>
              <w:rPr>
                <w:sz w:val="16"/>
                <w:szCs w:val="16"/>
                <w:color w:val="auto"/>
              </w:rPr>
            </w:pPr>
          </w:p>
        </w:tc>
        <w:tc>
          <w:tcPr>
            <w:tcW w:w="474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Performance Period</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award</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2021</w:t>
            </w:r>
          </w:p>
        </w:tc>
        <w:tc>
          <w:tcPr>
            <w:tcW w:w="8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2022</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2023</w:t>
            </w:r>
          </w:p>
        </w:tc>
        <w:tc>
          <w:tcPr>
            <w:tcW w:w="66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6"/>
                <w:szCs w:val="16"/>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r>
      <w:tr>
        <w:trPr>
          <w:trHeight w:val="169"/>
        </w:trPr>
        <w:tc>
          <w:tcPr>
            <w:tcW w:w="1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6/11/2020</w:t>
            </w:r>
          </w:p>
        </w:tc>
        <w:tc>
          <w:tcPr>
            <w:tcW w:w="120" w:type="dxa"/>
            <w:vAlign w:val="bottom"/>
            <w:shd w:val="clear" w:color="auto" w:fill="CFF0FC"/>
          </w:tcPr>
          <w:p>
            <w:pPr>
              <w:spacing w:after="0"/>
              <w:rPr>
                <w:sz w:val="14"/>
                <w:szCs w:val="14"/>
                <w:color w:val="auto"/>
              </w:rPr>
            </w:pPr>
          </w:p>
        </w:tc>
        <w:tc>
          <w:tcPr>
            <w:tcW w:w="47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2020-2022 LTIP</w:t>
            </w: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vests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8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25%</w:t>
            </w: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r>
      <w:tr>
        <w:trPr>
          <w:trHeight w:val="176"/>
        </w:trPr>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88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3/8/2021</w:t>
            </w: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2021-2023 LTIP</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Pr>
          <w:p>
            <w:pPr>
              <w:ind w:left="100"/>
              <w:spacing w:after="0" w:line="175" w:lineRule="exact"/>
              <w:rPr>
                <w:sz w:val="20"/>
                <w:szCs w:val="20"/>
                <w:color w:val="auto"/>
              </w:rPr>
            </w:pPr>
            <w:r>
              <w:rPr>
                <w:rFonts w:ascii="Times New Roman" w:cs="Times New Roman" w:eastAsia="Times New Roman" w:hAnsi="Times New Roman"/>
                <w:sz w:val="14"/>
                <w:szCs w:val="14"/>
                <w:color w:val="auto"/>
              </w:rPr>
              <w:t xml:space="preserve">Time-Based Awards, vests April 1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subject to forfeiture</w:t>
            </w:r>
          </w:p>
        </w:tc>
        <w:tc>
          <w:tcPr>
            <w:tcW w:w="88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8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25%</w:t>
            </w:r>
          </w:p>
        </w:tc>
        <w:tc>
          <w:tcPr>
            <w:tcW w:w="6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5"/>
                <w:szCs w:val="15"/>
                <w:color w:val="auto"/>
              </w:rPr>
            </w:pPr>
          </w:p>
        </w:tc>
        <w:tc>
          <w:tcPr>
            <w:tcW w:w="8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r>
      <w:tr>
        <w:trPr>
          <w:trHeight w:val="175"/>
        </w:trPr>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Performance-Based Awards- vests August 31, if achieved</w:t>
            </w:r>
          </w:p>
        </w:tc>
        <w:tc>
          <w:tcPr>
            <w:tcW w:w="88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2"/>
            <w:shd w:val="clear" w:color="auto" w:fill="CFF0FC"/>
          </w:tcPr>
          <w:p>
            <w:pPr>
              <w:jc w:val="center"/>
              <w:ind w:left="208"/>
              <w:spacing w:after="0"/>
              <w:rPr>
                <w:sz w:val="20"/>
                <w:szCs w:val="20"/>
                <w:color w:val="auto"/>
              </w:rPr>
            </w:pPr>
            <w:r>
              <w:rPr>
                <w:rFonts w:ascii="Times New Roman" w:cs="Times New Roman" w:eastAsia="Times New Roman" w:hAnsi="Times New Roman"/>
                <w:sz w:val="14"/>
                <w:szCs w:val="14"/>
                <w:color w:val="auto"/>
              </w:rPr>
              <w:t>100%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r>
    </w:tbl>
    <w:p>
      <w:pPr>
        <w:spacing w:after="0" w:line="85" w:lineRule="exact"/>
        <w:rPr>
          <w:sz w:val="20"/>
          <w:szCs w:val="20"/>
          <w:color w:val="auto"/>
        </w:rPr>
      </w:pPr>
    </w:p>
    <w:p>
      <w:pPr>
        <w:ind w:left="1040" w:hanging="373"/>
        <w:spacing w:after="0"/>
        <w:tabs>
          <w:tab w:leader="none" w:pos="10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tranche of time-based awards vest on April 1 following the end of the first year of the performance period or one year from the date of grant, whichever is later.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u w:val="single" w:color="auto"/>
          <w:color w:val="auto"/>
        </w:rPr>
        <w:t>2022-2024 LTIP</w:t>
      </w:r>
    </w:p>
    <w:p>
      <w:pPr>
        <w:spacing w:after="0" w:line="117" w:lineRule="exact"/>
        <w:rPr>
          <w:sz w:val="20"/>
          <w:szCs w:val="20"/>
          <w:color w:val="auto"/>
        </w:rPr>
      </w:pPr>
    </w:p>
    <w:p>
      <w:pPr>
        <w:ind w:left="760" w:right="60"/>
        <w:spacing w:after="0" w:line="242" w:lineRule="auto"/>
        <w:rPr>
          <w:sz w:val="20"/>
          <w:szCs w:val="20"/>
          <w:color w:val="auto"/>
        </w:rPr>
      </w:pPr>
      <w:r>
        <w:rPr>
          <w:rFonts w:ascii="Times New Roman" w:cs="Times New Roman" w:eastAsia="Times New Roman" w:hAnsi="Times New Roman"/>
          <w:sz w:val="18"/>
          <w:szCs w:val="18"/>
          <w:color w:val="auto"/>
        </w:rPr>
        <w:t>Subsequent to the end of fiscal 2021, on March 30, 2022, the Compensation Committee approved the Fourth Amended and Restated Long-Term Incentive Plan (the "amended LTIP"), which will be effective beginning with the 2022-2024 LTIP. The LTIP was amended to, among other things, add a definition for "Structured Retirement" and the related vesting of both time-based and performance-based awards under such Structured Retirement. The addition of Structured Retirement provides an opportunity for greater vesting upon retirement where the participant assists the Company in ensuring the succession of the participant’s position with the Company prior to the participant’s retirement. In order to be eligible to terminate in a Structured Retirement, the participant must terminate employment after meeting the age and service requirements set forth in the amended LTIP, the Compensation Committee must confirm through proper corporate action that the participant has met all of the succession planning objectives set by the Compensation Committee for the participant, the participant must continue to work until the date required by the Compensation Committee (which may not be more than 60 days after the Compensation Committee confirms that the objectives have been met), and the participant must execute a release of claims in favor of the Company. The final determination as to whether the requirements of a Structured Retirement have been met is in the sole discretion of the Compensation Committee.</w:t>
      </w:r>
    </w:p>
    <w:p>
      <w:pPr>
        <w:spacing w:after="0" w:line="80" w:lineRule="exact"/>
        <w:rPr>
          <w:sz w:val="20"/>
          <w:szCs w:val="20"/>
          <w:color w:val="auto"/>
        </w:rPr>
      </w:pPr>
    </w:p>
    <w:p>
      <w:pPr>
        <w:ind w:left="760"/>
        <w:spacing w:after="0" w:line="243" w:lineRule="auto"/>
        <w:rPr>
          <w:sz w:val="20"/>
          <w:szCs w:val="20"/>
          <w:color w:val="auto"/>
        </w:rPr>
      </w:pPr>
      <w:r>
        <w:rPr>
          <w:rFonts w:ascii="Times New Roman" w:cs="Times New Roman" w:eastAsia="Times New Roman" w:hAnsi="Times New Roman"/>
          <w:sz w:val="18"/>
          <w:szCs w:val="18"/>
          <w:color w:val="auto"/>
        </w:rPr>
        <w:t>On April 9, 2022, the Compensation Committee established and approved the metric for the 2022-2024 LTIP. Consistent with the 2020-2022 LTIP and 2021-2023 LTIP, because of the continuing uncertainty with respect to global supply chain disruptions, inflation, labor shortages, COVID-19 and geopolitical instability from the Russian invasion of Ukraine, the Compensation Committee did not establish specific financial goals and again established a 3-year relative total shareholder return as the only metric under the 2022-2024 LTIP. The Compensation Committee believes that, given such uncertainties and the resulting complication attempting to set financial targets for the Company over a three-year period, the selection of a relative TSR against the Company’s peers aligns the interests of the LTIP participants with the interests of the Company’s stockholders. The Compensation Committee granted the time-based awards for the 2022-2024 LTIP in a combination of 50% restricted stock units and 50% cash.</w:t>
      </w:r>
    </w:p>
    <w:p>
      <w:pPr>
        <w:spacing w:after="0" w:line="90" w:lineRule="exact"/>
        <w:rPr>
          <w:sz w:val="20"/>
          <w:szCs w:val="20"/>
          <w:color w:val="auto"/>
        </w:rPr>
      </w:pPr>
    </w:p>
    <w:p>
      <w:pPr>
        <w:ind w:left="780" w:hanging="26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Cash and Equity Awards</w:t>
      </w:r>
    </w:p>
    <w:p>
      <w:pPr>
        <w:spacing w:after="0" w:line="105" w:lineRule="exact"/>
        <w:rPr>
          <w:rFonts w:ascii="Times New Roman" w:cs="Times New Roman" w:eastAsia="Times New Roman" w:hAnsi="Times New Roman"/>
          <w:sz w:val="18"/>
          <w:szCs w:val="18"/>
          <w:color w:val="auto"/>
        </w:rPr>
      </w:pPr>
    </w:p>
    <w:p>
      <w:pPr>
        <w:ind w:left="7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2021, the Compensation Committee approved the discretionary grant of stock options to Mr. Kanter and all then-active associates who were participants in the 2018-2020 LTIP, including our other Named Executive Officers. The Compensation Committee considered various factors in making awards, including the need to ensure that the Company retained and motivated key employees to successfully drive its business forward beyond the pandemic to create additional long-term stockholder value. The calculation of the stock option award was determined upon the same calculation that would have been made had the 2018-2020 LTIP achieved a 12.5% achievement of its performance metric. Accordingly, the Compensation Committee approved a discretionary grant of stock options to purchase up to an aggregate of 414,337 shares of common stock, at an exercise price of $0.75 per share. The dollar value of the total awards was $198,258. The stock options vest ratably over three years, with the first tranche vesting on March 9, 2022. See “</w:t>
      </w:r>
      <w:r>
        <w:rPr>
          <w:rFonts w:ascii="Times New Roman" w:cs="Times New Roman" w:eastAsia="Times New Roman" w:hAnsi="Times New Roman"/>
          <w:sz w:val="18"/>
          <w:szCs w:val="18"/>
          <w:i w:val="1"/>
          <w:iCs w:val="1"/>
          <w:color w:val="auto"/>
        </w:rPr>
        <w:t>Option Awards</w:t>
      </w:r>
      <w:r>
        <w:rPr>
          <w:rFonts w:ascii="Times New Roman" w:cs="Times New Roman" w:eastAsia="Times New Roman" w:hAnsi="Times New Roman"/>
          <w:sz w:val="18"/>
          <w:szCs w:val="18"/>
          <w:color w:val="auto"/>
        </w:rPr>
        <w:t>” below for information on the discretionary stock option awards made to our Named Executive Officers.</w:t>
      </w:r>
    </w:p>
    <w:p>
      <w:pPr>
        <w:spacing w:after="0" w:line="92" w:lineRule="exact"/>
        <w:rPr>
          <w:rFonts w:ascii="Times New Roman" w:cs="Times New Roman" w:eastAsia="Times New Roman" w:hAnsi="Times New Roman"/>
          <w:sz w:val="18"/>
          <w:szCs w:val="18"/>
          <w:color w:val="auto"/>
        </w:rPr>
      </w:pPr>
    </w:p>
    <w:p>
      <w:pPr>
        <w:ind w:left="760" w:right="14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the extraordinary financial performance of the Company in fiscal year 2021 and the substantially increased workload of the Company's management team during the year and the contributions of other employees to the Company’s financial performance, the Compensation Committee determined that it was appropriate and in the best interests of the Company and its stockholders to approve a discretionary cash award in addition to the award under the 2021 AIP. Accordingly, on March 15, 2022, in addition to the payouts earned under the AIP for achieving the financial metrics for fiscal 2021 as described above, each participant in the 2021 AIP, including our Named Executive Officers, also received an additional discretionary cash bonus equal to 10% of the participant's fiscal 2021 earned salary. In aggregate, these additional cash bonuses were made to 74 participants and totaled $1.2 million. The table below reflects the discretionary cash bonus made to each of our Named Executive Officers.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Discretionary</w:t>
            </w: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33"/>
        </w:trPr>
        <w:tc>
          <w:tcPr>
            <w:tcW w:w="328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120" w:type="dxa"/>
            <w:vAlign w:val="bottom"/>
            <w:shd w:val="clear" w:color="auto" w:fill="CFF0FC"/>
          </w:tcPr>
          <w:p>
            <w:pPr>
              <w:spacing w:after="0"/>
              <w:rPr>
                <w:sz w:val="20"/>
                <w:szCs w:val="20"/>
                <w:color w:val="auto"/>
              </w:rPr>
            </w:pPr>
          </w:p>
        </w:tc>
        <w:tc>
          <w:tcPr>
            <w:tcW w:w="3260" w:type="dxa"/>
            <w:vAlign w:val="bottom"/>
          </w:tcPr>
          <w:p>
            <w:pPr>
              <w:spacing w:after="0"/>
              <w:rPr>
                <w:sz w:val="20"/>
                <w:szCs w:val="20"/>
                <w:color w:val="auto"/>
              </w:rPr>
            </w:pPr>
          </w:p>
        </w:tc>
      </w:tr>
      <w:tr>
        <w:trPr>
          <w:trHeight w:val="171"/>
        </w:trPr>
        <w:tc>
          <w:tcPr>
            <w:tcW w:w="3280" w:type="dxa"/>
            <w:vAlign w:val="bottom"/>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60" w:type="dxa"/>
            <w:vAlign w:val="bottom"/>
          </w:tcPr>
          <w:p>
            <w:pPr>
              <w:spacing w:after="0"/>
              <w:rPr>
                <w:sz w:val="14"/>
                <w:szCs w:val="14"/>
                <w:color w:val="auto"/>
              </w:rPr>
            </w:pPr>
          </w:p>
        </w:tc>
      </w:tr>
      <w:tr>
        <w:trPr>
          <w:trHeight w:val="234"/>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171"/>
        </w:trPr>
        <w:tc>
          <w:tcPr>
            <w:tcW w:w="3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gridSpan w:val="3"/>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34"/>
        </w:trPr>
        <w:tc>
          <w:tcPr>
            <w:tcW w:w="328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Ujjwal Dhoot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20" w:type="dxa"/>
            <w:vAlign w:val="bottom"/>
            <w:shd w:val="clear" w:color="auto" w:fill="CFF0FC"/>
          </w:tcPr>
          <w:p>
            <w:pPr>
              <w:spacing w:after="0"/>
              <w:rPr>
                <w:sz w:val="20"/>
                <w:szCs w:val="20"/>
                <w:color w:val="auto"/>
              </w:rPr>
            </w:pPr>
          </w:p>
        </w:tc>
        <w:tc>
          <w:tcPr>
            <w:tcW w:w="3260" w:type="dxa"/>
            <w:vAlign w:val="bottom"/>
          </w:tcPr>
          <w:p>
            <w:pPr>
              <w:spacing w:after="0"/>
              <w:rPr>
                <w:sz w:val="20"/>
                <w:szCs w:val="20"/>
                <w:color w:val="auto"/>
              </w:rPr>
            </w:pPr>
          </w:p>
        </w:tc>
      </w:tr>
      <w:tr>
        <w:trPr>
          <w:trHeight w:val="171"/>
        </w:trPr>
        <w:tc>
          <w:tcPr>
            <w:tcW w:w="3280" w:type="dxa"/>
            <w:vAlign w:val="bottom"/>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60" w:type="dxa"/>
            <w:vAlign w:val="bottom"/>
          </w:tcPr>
          <w:p>
            <w:pPr>
              <w:spacing w:after="0"/>
              <w:rPr>
                <w:sz w:val="14"/>
                <w:szCs w:val="14"/>
                <w:color w:val="auto"/>
              </w:rPr>
            </w:pPr>
          </w:p>
        </w:tc>
      </w:tr>
      <w:tr>
        <w:trPr>
          <w:trHeight w:val="234"/>
        </w:trPr>
        <w:tc>
          <w:tcPr>
            <w:tcW w:w="328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171"/>
        </w:trPr>
        <w:tc>
          <w:tcPr>
            <w:tcW w:w="3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140" w:type="dxa"/>
            <w:vAlign w:val="bottom"/>
            <w:gridSpan w:val="3"/>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34"/>
        </w:trPr>
        <w:tc>
          <w:tcPr>
            <w:tcW w:w="3280" w:type="dxa"/>
            <w:vAlign w:val="bottom"/>
          </w:tcPr>
          <w:p>
            <w:pPr>
              <w:spacing w:after="0"/>
              <w:rPr>
                <w:sz w:val="20"/>
                <w:szCs w:val="20"/>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20" w:type="dxa"/>
            <w:vAlign w:val="bottom"/>
            <w:shd w:val="clear" w:color="auto" w:fill="CFF0FC"/>
          </w:tcPr>
          <w:p>
            <w:pPr>
              <w:spacing w:after="0"/>
              <w:rPr>
                <w:sz w:val="20"/>
                <w:szCs w:val="20"/>
                <w:color w:val="auto"/>
              </w:rPr>
            </w:pPr>
          </w:p>
        </w:tc>
        <w:tc>
          <w:tcPr>
            <w:tcW w:w="3260" w:type="dxa"/>
            <w:vAlign w:val="bottom"/>
          </w:tcPr>
          <w:p>
            <w:pPr>
              <w:spacing w:after="0"/>
              <w:rPr>
                <w:sz w:val="20"/>
                <w:szCs w:val="20"/>
                <w:color w:val="auto"/>
              </w:rPr>
            </w:pPr>
          </w:p>
        </w:tc>
      </w:tr>
      <w:tr>
        <w:trPr>
          <w:trHeight w:val="171"/>
        </w:trPr>
        <w:tc>
          <w:tcPr>
            <w:tcW w:w="3280" w:type="dxa"/>
            <w:vAlign w:val="bottom"/>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60" w:type="dxa"/>
            <w:vAlign w:val="bottom"/>
          </w:tcPr>
          <w:p>
            <w:pPr>
              <w:spacing w:after="0"/>
              <w:rPr>
                <w:sz w:val="14"/>
                <w:szCs w:val="14"/>
                <w:color w:val="auto"/>
              </w:rPr>
            </w:pPr>
          </w:p>
        </w:tc>
      </w:tr>
      <w:tr>
        <w:trPr>
          <w:trHeight w:val="526"/>
        </w:trPr>
        <w:tc>
          <w:tcPr>
            <w:tcW w:w="3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01"/>
        </w:trPr>
        <w:tc>
          <w:tcPr>
            <w:tcW w:w="328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left="263" w:hanging="263"/>
        <w:spacing w:after="0"/>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Compensation</w:t>
      </w:r>
    </w:p>
    <w:p>
      <w:pPr>
        <w:spacing w:after="0" w:line="119" w:lineRule="exact"/>
        <w:rPr>
          <w:rFonts w:ascii="Times New Roman" w:cs="Times New Roman" w:eastAsia="Times New Roman" w:hAnsi="Times New Roman"/>
          <w:sz w:val="18"/>
          <w:szCs w:val="18"/>
          <w:color w:val="auto"/>
        </w:rPr>
      </w:pPr>
    </w:p>
    <w:p>
      <w:pPr>
        <w:ind w:left="243"/>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54" w:lineRule="exact"/>
        <w:rPr>
          <w:rFonts w:ascii="Times New Roman" w:cs="Times New Roman" w:eastAsia="Times New Roman" w:hAnsi="Times New Roman"/>
          <w:sz w:val="18"/>
          <w:szCs w:val="18"/>
          <w:color w:val="auto"/>
        </w:rPr>
      </w:pPr>
    </w:p>
    <w:p>
      <w:pPr>
        <w:ind w:left="243"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 also receive benefits under certain group health, long-term disability and life insurance plans that are generally available to all of our eligible employees.</w:t>
      </w:r>
    </w:p>
    <w:p>
      <w:pPr>
        <w:spacing w:after="0" w:line="40" w:lineRule="exact"/>
        <w:rPr>
          <w:rFonts w:ascii="Times New Roman" w:cs="Times New Roman" w:eastAsia="Times New Roman" w:hAnsi="Times New Roman"/>
          <w:sz w:val="18"/>
          <w:szCs w:val="18"/>
          <w:color w:val="auto"/>
        </w:rPr>
      </w:pPr>
    </w:p>
    <w:p>
      <w:pPr>
        <w:ind w:left="243"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six months of service with us, all of our employees, including our Named Executive Officers, are eligible to participate in our 401(k) Plan, and after one year of employment are eligible for a Company match. For the 2021 plan year, the Company suspended its QACA ("Qualified Automatic Contribution Arrangement") safe harbor and, while not required, the Company made a discretionary employer match for 2021. The Company has resumed its QACA safe harbor status for fiscal 2022.</w:t>
      </w:r>
    </w:p>
    <w:p>
      <w:pPr>
        <w:spacing w:after="0" w:line="69" w:lineRule="exact"/>
        <w:rPr>
          <w:rFonts w:ascii="Times New Roman" w:cs="Times New Roman" w:eastAsia="Times New Roman" w:hAnsi="Times New Roman"/>
          <w:sz w:val="18"/>
          <w:szCs w:val="18"/>
          <w:color w:val="auto"/>
        </w:rPr>
      </w:pPr>
    </w:p>
    <w:p>
      <w:pPr>
        <w:ind w:left="243" w:right="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Times New Roman" w:cs="Times New Roman" w:eastAsia="Times New Roman" w:hAnsi="Times New Roman"/>
          <w:sz w:val="18"/>
          <w:szCs w:val="18"/>
          <w:i w:val="1"/>
          <w:iCs w:val="1"/>
          <w:color w:val="auto"/>
        </w:rPr>
        <w:t>Employment Agreements</w:t>
      </w:r>
      <w:r>
        <w:rPr>
          <w:rFonts w:ascii="Times New Roman" w:cs="Times New Roman" w:eastAsia="Times New Roman" w:hAnsi="Times New Roman"/>
          <w:sz w:val="18"/>
          <w:szCs w:val="18"/>
          <w:color w:val="auto"/>
        </w:rPr>
        <w:t>” following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Our employment agreements do not contain any tax gross-ups pursuant to Section 280(g) of the Internal Revenue Code.</w:t>
      </w:r>
    </w:p>
    <w:p>
      <w:pPr>
        <w:spacing w:after="0" w:line="84"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Implications</w:t>
      </w:r>
    </w:p>
    <w:p>
      <w:pPr>
        <w:spacing w:after="0" w:line="105" w:lineRule="exact"/>
        <w:rPr>
          <w:rFonts w:ascii="Times New Roman" w:cs="Times New Roman" w:eastAsia="Times New Roman" w:hAnsi="Times New Roman"/>
          <w:sz w:val="18"/>
          <w:szCs w:val="18"/>
          <w:color w:val="auto"/>
        </w:rPr>
      </w:pPr>
    </w:p>
    <w:p>
      <w:pPr>
        <w:ind w:left="243" w:right="12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200" w:lineRule="exact"/>
        <w:rPr>
          <w:sz w:val="20"/>
          <w:szCs w:val="20"/>
          <w:color w:val="auto"/>
        </w:rPr>
      </w:pPr>
    </w:p>
    <w:p>
      <w:pPr>
        <w:spacing w:after="0" w:line="290"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430"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37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1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Willem Mesdag, Chair</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Jack Boyle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28" w:name="page29"/>
    <w:bookmarkEnd w:id="28"/>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Summary Compensation Table. </w:t>
      </w:r>
      <w:r>
        <w:rPr>
          <w:rFonts w:ascii="Times New Roman" w:cs="Times New Roman" w:eastAsia="Times New Roman" w:hAnsi="Times New Roman"/>
          <w:sz w:val="18"/>
          <w:szCs w:val="18"/>
          <w:color w:val="auto"/>
        </w:rPr>
        <w:t>The following Summary Compensation Table sets forth certain information regarding compensation paid or accrued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our Named Executive Officers for fiscal 2021.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240" w:type="dxa"/>
            <w:vAlign w:val="bottom"/>
          </w:tcPr>
          <w:p>
            <w:pPr>
              <w:spacing w:after="0"/>
              <w:rPr>
                <w:sz w:val="12"/>
                <w:szCs w:val="12"/>
                <w:color w:val="auto"/>
              </w:rPr>
            </w:pPr>
          </w:p>
        </w:tc>
        <w:tc>
          <w:tcPr>
            <w:tcW w:w="9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9"/>
              <w:spacing w:after="0" w:line="139" w:lineRule="exact"/>
              <w:rPr>
                <w:sz w:val="20"/>
                <w:szCs w:val="20"/>
                <w:color w:val="auto"/>
              </w:rPr>
            </w:pPr>
            <w:r>
              <w:rPr>
                <w:rFonts w:ascii="Times New Roman" w:cs="Times New Roman" w:eastAsia="Times New Roman" w:hAnsi="Times New Roman"/>
                <w:sz w:val="13"/>
                <w:szCs w:val="13"/>
                <w:b w:val="1"/>
                <w:bCs w:val="1"/>
                <w:color w:val="auto"/>
              </w:rPr>
              <w:t>Incentive Plan</w:t>
            </w:r>
          </w:p>
        </w:tc>
        <w:tc>
          <w:tcPr>
            <w:tcW w:w="2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40" w:type="dxa"/>
            <w:vAlign w:val="bottom"/>
          </w:tcPr>
          <w:p>
            <w:pPr>
              <w:spacing w:after="0"/>
              <w:rPr>
                <w:sz w:val="11"/>
                <w:szCs w:val="11"/>
                <w:color w:val="auto"/>
              </w:rPr>
            </w:pPr>
          </w:p>
        </w:tc>
        <w:tc>
          <w:tcPr>
            <w:tcW w:w="980" w:type="dxa"/>
            <w:vAlign w:val="bottom"/>
            <w:gridSpan w:val="2"/>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Salary ($)</w:t>
            </w:r>
          </w:p>
        </w:tc>
        <w:tc>
          <w:tcPr>
            <w:tcW w:w="2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Bonus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 (2) (3)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 (2) (3)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8"/>
              </w:rPr>
              <w:t>($)(4)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Harvey S. Kanter</w:t>
            </w:r>
          </w:p>
        </w:tc>
        <w:tc>
          <w:tcPr>
            <w:tcW w:w="80" w:type="dxa"/>
            <w:vAlign w:val="bottom"/>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735,000</w:t>
            </w: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73,500</w:t>
            </w:r>
          </w:p>
        </w:tc>
        <w:tc>
          <w:tcPr>
            <w:tcW w:w="4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443,260</w:t>
            </w: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207,035</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2,069,448</w:t>
            </w:r>
          </w:p>
        </w:tc>
        <w:tc>
          <w:tcPr>
            <w:tcW w:w="24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88,035</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3,616,278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President and Chief Executive</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686,942</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436,880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902,425</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84,682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2,110,929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Officer</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671,923</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1,941,974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435,346</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114,824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3,164,067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40" w:type="dxa"/>
            <w:vAlign w:val="bottom"/>
            <w:gridSpan w:val="2"/>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Peter H. Stratton, Jr.</w:t>
            </w:r>
          </w:p>
        </w:tc>
        <w:tc>
          <w:tcPr>
            <w:tcW w:w="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458,525</w:t>
            </w:r>
          </w:p>
        </w:tc>
        <w:tc>
          <w:tcPr>
            <w:tcW w:w="68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1,068,604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Executive Vice President, Chief</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369,173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61,358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200,022</w:t>
            </w:r>
          </w:p>
        </w:tc>
        <w:tc>
          <w:tcPr>
            <w:tcW w:w="68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Financial Officer and Treasurer</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108,625</w:t>
            </w:r>
          </w:p>
        </w:tc>
        <w:tc>
          <w:tcPr>
            <w:tcW w:w="68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Ujjwal Dhoot</w:t>
            </w:r>
          </w:p>
        </w:tc>
        <w:tc>
          <w:tcPr>
            <w:tcW w:w="5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38,500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336,767</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12,843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864,689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Marketing Officer</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322,885</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135,351</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614,812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gridSpan w:val="2"/>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40" w:type="dxa"/>
            <w:vAlign w:val="bottom"/>
            <w:gridSpan w:val="2"/>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S. Molloy</w:t>
            </w:r>
          </w:p>
        </w:tc>
        <w:tc>
          <w:tcPr>
            <w:tcW w:w="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397,809</w:t>
            </w:r>
          </w:p>
        </w:tc>
        <w:tc>
          <w:tcPr>
            <w:tcW w:w="68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980,419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350,481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156,598</w:t>
            </w:r>
          </w:p>
        </w:tc>
        <w:tc>
          <w:tcPr>
            <w:tcW w:w="68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592,925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65,625</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680" w:type="dxa"/>
            <w:vAlign w:val="bottom"/>
            <w:gridSpan w:val="2"/>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8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Anthony J. Gaeta</w:t>
            </w:r>
          </w:p>
        </w:tc>
        <w:tc>
          <w:tcPr>
            <w:tcW w:w="5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2021</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295,000</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29,500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73,256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38,281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267,217</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725,294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Chief Stores Officer</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275,711</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112,162</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21,864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455,561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291,730</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51,625</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43,176</w:t>
            </w:r>
          </w:p>
        </w:tc>
        <w:tc>
          <w:tcPr>
            <w:tcW w:w="680" w:type="dxa"/>
            <w:vAlign w:val="bottom"/>
            <w:gridSpan w:val="2"/>
            <w:shd w:val="clear" w:color="auto" w:fill="CFF0FC"/>
          </w:tcPr>
          <w:p>
            <w:pPr>
              <w:jc w:val="right"/>
              <w:ind w:right="291"/>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11,874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760" w:right="260" w:hanging="378"/>
        <w:spacing w:after="0" w:line="265"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cash bonuses in fiscal 2021 represent the discretionary cash award granted to all members of the 2021 AIP, see "</w:t>
      </w:r>
      <w:r>
        <w:rPr>
          <w:rFonts w:ascii="Times New Roman" w:cs="Times New Roman" w:eastAsia="Times New Roman" w:hAnsi="Times New Roman"/>
          <w:sz w:val="16"/>
          <w:szCs w:val="16"/>
          <w:i w:val="1"/>
          <w:iCs w:val="1"/>
          <w:color w:val="auto"/>
        </w:rPr>
        <w:t>Compensation Discussion and Analysis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Components and Fiscal 2021 Compensation Decisions - Discretionary Cash and Equity Awards</w:t>
      </w:r>
      <w:r>
        <w:rPr>
          <w:rFonts w:ascii="Times New Roman" w:cs="Times New Roman" w:eastAsia="Times New Roman" w:hAnsi="Times New Roman"/>
          <w:sz w:val="16"/>
          <w:szCs w:val="16"/>
          <w:color w:val="auto"/>
        </w:rPr>
        <w:t>" for a discussion of the award.</w:t>
      </w:r>
    </w:p>
    <w:p>
      <w:pPr>
        <w:spacing w:after="0" w:line="68" w:lineRule="exact"/>
        <w:rPr>
          <w:rFonts w:ascii="Times New Roman" w:cs="Times New Roman" w:eastAsia="Times New Roman" w:hAnsi="Times New Roman"/>
          <w:sz w:val="16"/>
          <w:szCs w:val="16"/>
          <w:color w:val="auto"/>
        </w:rPr>
      </w:pPr>
    </w:p>
    <w:p>
      <w:pPr>
        <w:ind w:left="760" w:right="40" w:hanging="378"/>
        <w:spacing w:after="0" w:line="250"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fair value, as of grant date, of awards computed in accordance with FASB ASC Topic 718, and not the actual amounts paid to or realized by the Named Executive Officers during the applicable fiscal year. The fair value of stock option awards were estimated as of the date of grant using a Black-Scholes valuation model. For fiscal 2019, the fair value of performance-based awards to Mr. Kanter, which were based on a market condition, was determined as of the date of grant using a Monte-Carlo valuation model. Additional information regarding the assumptions used to estimate the fair value of all awards is included in Note A and Note I to Consolidated Financial Statements contained in our Annual Report on Form 10-K for the fiscal year ended January 29, 2022.</w:t>
      </w:r>
    </w:p>
    <w:p>
      <w:pPr>
        <w:spacing w:after="0" w:line="79" w:lineRule="exact"/>
        <w:rPr>
          <w:rFonts w:ascii="Times New Roman" w:cs="Times New Roman" w:eastAsia="Times New Roman" w:hAnsi="Times New Roman"/>
          <w:sz w:val="16"/>
          <w:szCs w:val="16"/>
          <w:color w:val="auto"/>
        </w:rPr>
      </w:pPr>
    </w:p>
    <w:p>
      <w:pPr>
        <w:ind w:left="760" w:right="140" w:hanging="378"/>
        <w:spacing w:after="0" w:line="247"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reflected under "</w:t>
      </w:r>
      <w:r>
        <w:rPr>
          <w:rFonts w:ascii="Times New Roman" w:cs="Times New Roman" w:eastAsia="Times New Roman" w:hAnsi="Times New Roman"/>
          <w:sz w:val="16"/>
          <w:szCs w:val="16"/>
          <w:i w:val="1"/>
          <w:iCs w:val="1"/>
          <w:color w:val="auto"/>
        </w:rPr>
        <w:t>Stock Awards</w:t>
      </w:r>
      <w:r>
        <w:rPr>
          <w:rFonts w:ascii="Times New Roman" w:cs="Times New Roman" w:eastAsia="Times New Roman" w:hAnsi="Times New Roman"/>
          <w:sz w:val="16"/>
          <w:szCs w:val="16"/>
          <w:color w:val="auto"/>
        </w:rPr>
        <w:t>" represent the grant of restricted stock units on March 15, 2022 as a result of the Company's achieving its performance targets under the 2019-2021 LTIP. The potential value of the award at threshold, target and maximum was previously reported in the "</w:t>
      </w:r>
      <w:r>
        <w:rPr>
          <w:rFonts w:ascii="Times New Roman" w:cs="Times New Roman" w:eastAsia="Times New Roman" w:hAnsi="Times New Roman"/>
          <w:sz w:val="16"/>
          <w:szCs w:val="16"/>
          <w:i w:val="1"/>
          <w:iCs w:val="1"/>
          <w:color w:val="auto"/>
        </w:rPr>
        <w:t>2019 Grants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of Plan-Based Awards</w:t>
      </w:r>
      <w:r>
        <w:rPr>
          <w:rFonts w:ascii="Times New Roman" w:cs="Times New Roman" w:eastAsia="Times New Roman" w:hAnsi="Times New Roman"/>
          <w:sz w:val="16"/>
          <w:szCs w:val="16"/>
          <w:color w:val="auto"/>
        </w:rPr>
        <w:t>" under "</w:t>
      </w:r>
      <w:r>
        <w:rPr>
          <w:rFonts w:ascii="Times New Roman" w:cs="Times New Roman" w:eastAsia="Times New Roman" w:hAnsi="Times New Roman"/>
          <w:sz w:val="16"/>
          <w:szCs w:val="16"/>
          <w:i w:val="1"/>
          <w:iCs w:val="1"/>
          <w:color w:val="auto"/>
        </w:rPr>
        <w:t>Estimated Future Payouts Under Equity Incentive Plan Awards</w:t>
      </w: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ind w:left="7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below for a breakdown of 2021 amounts reflected in this column.</w:t>
      </w:r>
    </w:p>
    <w:p>
      <w:pPr>
        <w:spacing w:after="0" w:line="115" w:lineRule="exact"/>
        <w:rPr>
          <w:sz w:val="20"/>
          <w:szCs w:val="20"/>
          <w:color w:val="auto"/>
        </w:rPr>
      </w:pPr>
    </w:p>
    <w:p>
      <w:pPr>
        <w:ind w:left="760" w:right="20"/>
        <w:spacing w:after="0" w:line="237" w:lineRule="auto"/>
        <w:rPr>
          <w:sz w:val="20"/>
          <w:szCs w:val="20"/>
          <w:color w:val="auto"/>
        </w:rPr>
      </w:pPr>
      <w:r>
        <w:rPr>
          <w:rFonts w:ascii="Times New Roman" w:cs="Times New Roman" w:eastAsia="Times New Roman" w:hAnsi="Times New Roman"/>
          <w:sz w:val="16"/>
          <w:szCs w:val="16"/>
          <w:color w:val="auto"/>
        </w:rPr>
        <w:t>The fair value associated with the performance-based component of the equity awards under the 2021-2023 LTIP was determined based on the probable outcome of the performance conditions as of the service-inception date. Because the achievement of the performance targets under the 2021-2023 LTIP was not deemed probable as of the service-inception date, no value was attributed to the performance-based portion of the 2021-2023 LTIP assuming the highest level of performance conditions will be achieved for each of the Named Executive Officers:</w:t>
      </w:r>
    </w:p>
    <w:p>
      <w:pPr>
        <w:spacing w:after="0" w:line="12"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Harvey S. Kanter</w:t>
            </w:r>
          </w:p>
        </w:tc>
        <w:tc>
          <w:tcPr>
            <w:tcW w:w="20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468,563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Peter H. Stratton, Jr.</w:t>
            </w:r>
          </w:p>
        </w:tc>
        <w:tc>
          <w:tcPr>
            <w:tcW w:w="2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103,688</w:t>
            </w: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Ujjwal Dhoot</w:t>
            </w:r>
          </w:p>
        </w:tc>
        <w:tc>
          <w:tcPr>
            <w:tcW w:w="20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101,063</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Robert S. Molloy</w:t>
            </w:r>
          </w:p>
        </w:tc>
        <w:tc>
          <w:tcPr>
            <w:tcW w:w="2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98,438</w:t>
            </w: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J. Gaeta</w:t>
            </w:r>
          </w:p>
        </w:tc>
        <w:tc>
          <w:tcPr>
            <w:tcW w:w="20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77,438</w:t>
            </w:r>
          </w:p>
        </w:tc>
      </w:tr>
    </w:tbl>
    <w:p>
      <w:pPr>
        <w:spacing w:after="0" w:line="81" w:lineRule="exact"/>
        <w:rPr>
          <w:sz w:val="20"/>
          <w:szCs w:val="20"/>
          <w:color w:val="auto"/>
        </w:rPr>
      </w:pPr>
    </w:p>
    <w:p>
      <w:pPr>
        <w:ind w:left="760" w:right="300" w:hanging="378"/>
        <w:spacing w:after="0" w:line="246"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awards earned under the 2021 AIP, cash earned under the performance-based component of the 2019-2021 LTIP, the second tranche of time-vested cash of the 2019-2020 LTIP and the first tranche of time-vested cash of the 2020-2022 LTIP. See table “</w:t>
      </w:r>
      <w:r>
        <w:rPr>
          <w:rFonts w:ascii="Times New Roman" w:cs="Times New Roman" w:eastAsia="Times New Roman" w:hAnsi="Times New Roman"/>
          <w:sz w:val="16"/>
          <w:szCs w:val="16"/>
          <w:i w:val="1"/>
          <w:iCs w:val="1"/>
          <w:color w:val="auto"/>
        </w:rPr>
        <w:t>2021 Non-Equity (Cash) Incentive Plan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w:t>
      </w:r>
      <w:r>
        <w:rPr>
          <w:rFonts w:ascii="Times New Roman" w:cs="Times New Roman" w:eastAsia="Times New Roman" w:hAnsi="Times New Roman"/>
          <w:sz w:val="16"/>
          <w:szCs w:val="16"/>
          <w:color w:val="auto"/>
        </w:rPr>
        <w:t>” below for additional detail.</w:t>
      </w:r>
    </w:p>
    <w:p>
      <w:pPr>
        <w:spacing w:after="0" w:line="6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table “</w:t>
      </w:r>
      <w:r>
        <w:rPr>
          <w:rFonts w:ascii="Times New Roman" w:cs="Times New Roman" w:eastAsia="Times New Roman" w:hAnsi="Times New Roman"/>
          <w:sz w:val="16"/>
          <w:szCs w:val="16"/>
          <w:i w:val="1"/>
          <w:iCs w:val="1"/>
          <w:color w:val="auto"/>
        </w:rPr>
        <w:t>All Other Compensation</w:t>
      </w:r>
      <w:r>
        <w:rPr>
          <w:rFonts w:ascii="Times New Roman" w:cs="Times New Roman" w:eastAsia="Times New Roman" w:hAnsi="Times New Roman"/>
          <w:sz w:val="16"/>
          <w:szCs w:val="16"/>
          <w:color w:val="auto"/>
        </w:rPr>
        <w:t>” below for a breakdown of 2021 amounts reflected in this column.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amounts in fiscal 2021 in the “</w:t>
      </w:r>
      <w:r>
        <w:rPr>
          <w:rFonts w:ascii="Times New Roman" w:cs="Times New Roman" w:eastAsia="Times New Roman" w:hAnsi="Times New Roman"/>
          <w:sz w:val="18"/>
          <w:szCs w:val="18"/>
          <w:i w:val="1"/>
          <w:iCs w:val="1"/>
          <w:color w:val="auto"/>
        </w:rPr>
        <w:t>Option Awards</w:t>
      </w:r>
      <w:r>
        <w:rPr>
          <w:rFonts w:ascii="Times New Roman" w:cs="Times New Roman" w:eastAsia="Times New Roman" w:hAnsi="Times New Roman"/>
          <w:sz w:val="18"/>
          <w:szCs w:val="18"/>
          <w:color w:val="auto"/>
        </w:rPr>
        <w:t>” column of the Summary Compensation Table above: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2021-2023 LTIP (1)</w:t>
            </w:r>
          </w:p>
        </w:tc>
        <w:tc>
          <w:tcPr>
            <w:tcW w:w="32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Discretionary Grant of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Total Stock Option</w:t>
            </w:r>
          </w:p>
        </w:tc>
        <w:tc>
          <w:tcPr>
            <w:tcW w:w="0" w:type="dxa"/>
            <w:vAlign w:val="bottom"/>
          </w:tcPr>
          <w:p>
            <w:pPr>
              <w:spacing w:after="0"/>
              <w:rPr>
                <w:sz w:val="1"/>
                <w:szCs w:val="1"/>
                <w:color w:val="auto"/>
              </w:rPr>
            </w:pPr>
          </w:p>
        </w:tc>
      </w:tr>
      <w:tr>
        <w:trPr>
          <w:trHeight w:val="186"/>
        </w:trPr>
        <w:tc>
          <w:tcPr>
            <w:tcW w:w="5500" w:type="dxa"/>
            <w:vAlign w:val="bottom"/>
          </w:tcPr>
          <w:p>
            <w:pPr>
              <w:ind w:left="25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Options (2)</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216"/>
        </w:trPr>
        <w:tc>
          <w:tcPr>
            <w:tcW w:w="55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156,188</w:t>
            </w:r>
          </w:p>
        </w:tc>
        <w:tc>
          <w:tcPr>
            <w:tcW w:w="3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207,035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34,563</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6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w:t>
            </w: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25,812</w:t>
            </w:r>
          </w:p>
        </w:tc>
        <w:tc>
          <w:tcPr>
            <w:tcW w:w="6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-702310</wp:posOffset>
            </wp:positionV>
            <wp:extent cx="774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-702310</wp:posOffset>
            </wp:positionV>
            <wp:extent cx="6858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169" w:lineRule="exact"/>
        <w:rPr>
          <w:sz w:val="20"/>
          <w:szCs w:val="20"/>
          <w:color w:val="auto"/>
        </w:rPr>
      </w:pPr>
    </w:p>
    <w:p>
      <w:pPr>
        <w:ind w:left="760" w:right="40" w:hanging="378"/>
        <w:spacing w:after="0" w:line="280"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grant-date fair value of time-based stock options issued under the 2021-2023 LTIP, which vest in four tranches with the first 25% vesting on April 1, 2022 and the remaining tranches vesting on April 1, 2023, April 1, 2024 and April 1, 2025.</w:t>
      </w:r>
    </w:p>
    <w:p>
      <w:pPr>
        <w:spacing w:after="0" w:line="162" w:lineRule="exact"/>
        <w:rPr>
          <w:rFonts w:ascii="Times New Roman" w:cs="Times New Roman" w:eastAsia="Times New Roman" w:hAnsi="Times New Roman"/>
          <w:sz w:val="16"/>
          <w:szCs w:val="16"/>
          <w:color w:val="auto"/>
        </w:rPr>
      </w:pPr>
    </w:p>
    <w:p>
      <w:pPr>
        <w:ind w:left="760" w:right="40" w:hanging="378"/>
        <w:spacing w:after="0" w:line="253"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the grant-date fair value of a discretionary grant of stock options on March 9, 2021. See </w:t>
      </w:r>
      <w:r>
        <w:rPr>
          <w:rFonts w:ascii="Times New Roman" w:cs="Times New Roman" w:eastAsia="Times New Roman" w:hAnsi="Times New Roman"/>
          <w:sz w:val="16"/>
          <w:szCs w:val="16"/>
          <w:i w:val="1"/>
          <w:iCs w:val="1"/>
          <w:color w:val="auto"/>
        </w:rPr>
        <w:t>Compensation Discussion and Analysis - 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Components and Fiscal 2021 Compensation Decisions - Discretionary Cash and Equity Awards</w:t>
      </w:r>
      <w:r>
        <w:rPr>
          <w:rFonts w:ascii="Times New Roman" w:cs="Times New Roman" w:eastAsia="Times New Roman" w:hAnsi="Times New Roman"/>
          <w:sz w:val="16"/>
          <w:szCs w:val="16"/>
          <w:color w:val="auto"/>
        </w:rPr>
        <w:t>" for additional information regarding the award. The stock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vest in three equal installments, with the first tranche vesting on March 9, 2022, the second tranche on March 9, 2023 and remaining tranche on March 9,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amounts for fiscal 2021 in the “</w:t>
      </w:r>
      <w:r>
        <w:rPr>
          <w:rFonts w:ascii="Times New Roman" w:cs="Times New Roman" w:eastAsia="Times New Roman" w:hAnsi="Times New Roman"/>
          <w:sz w:val="18"/>
          <w:szCs w:val="18"/>
          <w:i w:val="1"/>
          <w:iCs w:val="1"/>
          <w:color w:val="auto"/>
        </w:rPr>
        <w:t>2021 Non-Equity (Cash) Incentive Plan Compensation”</w:t>
      </w:r>
      <w:r>
        <w:rPr>
          <w:rFonts w:ascii="Times New Roman" w:cs="Times New Roman" w:eastAsia="Times New Roman" w:hAnsi="Times New Roman"/>
          <w:sz w:val="18"/>
          <w:szCs w:val="18"/>
          <w:color w:val="auto"/>
        </w:rPr>
        <w:t xml:space="preserve"> column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Compensation Table above: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rPr>
              <w:t>2019-2021 LTIP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vMerge w:val="restart"/>
          </w:tcPr>
          <w:p>
            <w:pPr>
              <w:ind w:left="19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Annual Incentive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Performance-</w:t>
            </w:r>
          </w:p>
        </w:tc>
        <w:tc>
          <w:tcPr>
            <w:tcW w:w="180" w:type="dxa"/>
            <w:vAlign w:val="bottom"/>
          </w:tcPr>
          <w:p>
            <w:pPr>
              <w:spacing w:after="0"/>
              <w:rPr>
                <w:sz w:val="12"/>
                <w:szCs w:val="1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2019-2021 LTIP</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2020-2022 LTIP</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9"/>
              </w:rPr>
              <w:t>Total Non-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Plan (1)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Based(2)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Time-Based(3)</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Time-Based (3)</w:t>
            </w:r>
          </w:p>
        </w:tc>
        <w:tc>
          <w:tcPr>
            <w:tcW w:w="200" w:type="dxa"/>
            <w:vAlign w:val="bottom"/>
          </w:tcPr>
          <w:p>
            <w:pPr>
              <w:spacing w:after="0"/>
              <w:rPr>
                <w:sz w:val="15"/>
                <w:szCs w:val="15"/>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Equity (Cash)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443,260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2,069,448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261,376</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16,406</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168,149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3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60" w:hanging="378"/>
        <w:spacing w:after="0" w:line="24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Each Named Executive Officer earned a cash bonus under the 2021 AIP. See “</w:t>
      </w:r>
      <w:r>
        <w:rPr>
          <w:rFonts w:ascii="Times New Roman" w:cs="Times New Roman" w:eastAsia="Times New Roman" w:hAnsi="Times New Roman"/>
          <w:sz w:val="16"/>
          <w:szCs w:val="16"/>
          <w:i w:val="1"/>
          <w:iCs w:val="1"/>
          <w:color w:val="auto"/>
        </w:rPr>
        <w:t>Compensation, Discussion and Analysis-Compensation Components and Fiscal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2021 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2021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AIP.</w:t>
      </w:r>
    </w:p>
    <w:p>
      <w:pPr>
        <w:spacing w:after="0" w:line="221" w:lineRule="exact"/>
        <w:rPr>
          <w:rFonts w:ascii="Times New Roman" w:cs="Times New Roman" w:eastAsia="Times New Roman" w:hAnsi="Times New Roman"/>
          <w:sz w:val="18"/>
          <w:szCs w:val="18"/>
          <w:color w:val="auto"/>
        </w:rPr>
      </w:pPr>
    </w:p>
    <w:p>
      <w:pPr>
        <w:ind w:left="760" w:right="420" w:hanging="378"/>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cash portion of the award earned under the performance-based component of the 2019-2021 LTIP that was granted on March 15, 2022, with additional vesting through August 31, 2022.</w:t>
      </w:r>
    </w:p>
    <w:p>
      <w:pPr>
        <w:spacing w:after="0" w:line="213" w:lineRule="exact"/>
        <w:rPr>
          <w:rFonts w:ascii="Times New Roman" w:cs="Times New Roman" w:eastAsia="Times New Roman" w:hAnsi="Times New Roman"/>
          <w:sz w:val="18"/>
          <w:szCs w:val="18"/>
          <w:color w:val="auto"/>
        </w:rPr>
      </w:pPr>
    </w:p>
    <w:p>
      <w:pPr>
        <w:ind w:left="760" w:right="220" w:hanging="378"/>
        <w:spacing w:after="0" w:line="24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Represents the vesting of the second tranche of the time-based cash award granted in August 2019 under the 2019-2021 LTIP and the first tranche of the time-based cash award granted in June 2020 under the 2020-2022 LTIP. See “</w:t>
      </w:r>
      <w:r>
        <w:rPr>
          <w:rFonts w:ascii="Times New Roman" w:cs="Times New Roman" w:eastAsia="Times New Roman" w:hAnsi="Times New Roman"/>
          <w:sz w:val="16"/>
          <w:szCs w:val="16"/>
          <w:i w:val="1"/>
          <w:iCs w:val="1"/>
          <w:color w:val="auto"/>
        </w:rPr>
        <w:t>Compensation, Discussion and Analysis-Compensation Components and Fiscal 2021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Compensation Decisions, Performance-based annual incentive plan and Long-term incentive plans</w:t>
      </w:r>
      <w:r>
        <w:rPr>
          <w:rFonts w:ascii="Times New Roman" w:cs="Times New Roman" w:eastAsia="Times New Roman" w:hAnsi="Times New Roman"/>
          <w:sz w:val="16"/>
          <w:szCs w:val="16"/>
          <w:color w:val="auto"/>
        </w:rPr>
        <w:t>” for more information about the payouts under the 2019-2021 LTIP and the 2020-2022 LTIP.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amounts for fiscal 2021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of the Summary Compensation Table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Supplemental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20" w:type="dxa"/>
            <w:vAlign w:val="bottom"/>
            <w:gridSpan w:val="3"/>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Auto</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Healthcare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4"/>
                <w:szCs w:val="14"/>
                <w:color w:val="auto"/>
              </w:rPr>
            </w:pPr>
          </w:p>
        </w:tc>
        <w:tc>
          <w:tcPr>
            <w:tcW w:w="8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420" w:type="dxa"/>
            <w:vAlign w:val="bottom"/>
            <w:gridSpan w:val="3"/>
            <w:vMerge w:val="continue"/>
          </w:tcPr>
          <w:p>
            <w:pPr>
              <w:spacing w:after="0"/>
              <w:rPr>
                <w:sz w:val="16"/>
                <w:szCs w:val="16"/>
                <w:color w:val="auto"/>
              </w:rPr>
            </w:pPr>
          </w:p>
        </w:tc>
        <w:tc>
          <w:tcPr>
            <w:tcW w:w="8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8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200" w:type="dxa"/>
            <w:vAlign w:val="bottom"/>
            <w:tcBorders>
              <w:top w:val="single" w:sz="8" w:color="auto"/>
            </w:tcBorders>
            <w:shd w:val="clear" w:color="auto" w:fill="CFF0FC"/>
          </w:tcPr>
          <w:p>
            <w:pPr>
              <w:ind w:left="20"/>
              <w:spacing w:after="0" w:line="150" w:lineRule="exact"/>
              <w:rPr>
                <w:sz w:val="20"/>
                <w:szCs w:val="20"/>
                <w:color w:val="auto"/>
              </w:rPr>
            </w:pPr>
            <w:r>
              <w:rPr>
                <w:rFonts w:ascii="Times New Roman" w:cs="Times New Roman" w:eastAsia="Times New Roman" w:hAnsi="Times New Roman"/>
                <w:sz w:val="17"/>
                <w:szCs w:val="17"/>
                <w:color w:val="auto"/>
              </w:rPr>
              <w:t>Harvey S. Kanter</w:t>
            </w: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84,682</w:t>
            </w:r>
          </w:p>
        </w:tc>
        <w:tc>
          <w:tcPr>
            <w:tcW w:w="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4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color w:val="auto"/>
              </w:rPr>
              <w:t>Peter H. Stratton, Jr.</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420" w:type="dxa"/>
            <w:vAlign w:val="bottom"/>
            <w:gridSpan w:val="3"/>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rPr>
              <w:t>Ujjwal Dhoot</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4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8"/>
                <w:szCs w:val="18"/>
                <w:color w:val="auto"/>
              </w:rPr>
              <w:t>Robert S. Molloy</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420" w:type="dxa"/>
            <w:vAlign w:val="bottom"/>
            <w:gridSpan w:val="3"/>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rPr>
              <w:t>Anthony J. Gaeta</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annual compensation for our CEO, Mr. Kanter, for fiscal 2021, as shown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was $3,616,278. The total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compensation for our median employee, who is a full-time employee, was $35,240, calculated using the same methodology as used in the</w:t>
      </w: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Based on this information, for fiscal 2021 the ratio of the annual total compensation of Mr. Kanter, our CEO, to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median of the annual total compensation of all employees was 103 to 1.</w:t>
      </w:r>
    </w:p>
    <w:p>
      <w:pPr>
        <w:spacing w:after="0" w:line="19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2021 that would significantly affect the pay ratio disclosure, the employee representing the median-paid employee is the same employee selected in our 2020 disclosure. To identify the median employee in 2020, we evaluated all employees, other than our CEO, employed by the Company as of December 31, 2020, including those employees who were furloughed for any period of time, and utilized the following methodology:</w:t>
      </w:r>
    </w:p>
    <w:p>
      <w:pPr>
        <w:spacing w:after="0" w:line="181" w:lineRule="exact"/>
        <w:rPr>
          <w:sz w:val="20"/>
          <w:szCs w:val="20"/>
          <w:color w:val="auto"/>
        </w:rPr>
      </w:pPr>
    </w:p>
    <w:p>
      <w:pPr>
        <w:ind w:left="7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December 31, 2020, our employee population consisted of approximately 1,171 individuals, with 1,161 of these individuals located in the U.S. and 10 of these individuals located outside the U.S. This population includes our full-time, part-time, and seasonal employees. Approximately 81% of our total employee population at December 31, 2020 was considered full-time employees.</w:t>
      </w:r>
    </w:p>
    <w:p>
      <w:pPr>
        <w:spacing w:after="0" w:line="169"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2020.</w:t>
      </w:r>
    </w:p>
    <w:p>
      <w:pPr>
        <w:spacing w:after="0" w:line="148"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substantially all of our employees either took a temporary reduction in base salary during fiscal 2020 or were furloughed for a period of time, we did not annualize any compensation for any permanent full-time or part-time employees, who started employment at the Company during calendar 2020. We also did not annualize compensation for any seasonal or temporary employees. Our median employee was not furloughed and did not take any temporary reduction in base salary.</w:t>
      </w:r>
    </w:p>
    <w:p>
      <w:pPr>
        <w:spacing w:after="0" w:line="177" w:lineRule="exact"/>
        <w:rPr>
          <w:rFonts w:ascii="Times New Roman" w:cs="Times New Roman" w:eastAsia="Times New Roman" w:hAnsi="Times New Roman"/>
          <w:sz w:val="18"/>
          <w:szCs w:val="18"/>
          <w:color w:val="auto"/>
        </w:rPr>
      </w:pPr>
    </w:p>
    <w:p>
      <w:pPr>
        <w:ind w:left="760" w:right="40" w:hanging="378"/>
        <w:spacing w:after="0" w:line="269"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excluded employees located outside of the U.S. under the de minimis exception to the pay ratio rule, which permits exclusion if a company’s non-U.S. employees account for 5% or less of total employees. The jurisdictions and approximate number of employees excluded were Canada</w:t>
      </w: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 and Hong Kong (2).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Harvey S. Kanter, President, Chief Executive Officer and Director</w:t>
      </w:r>
    </w:p>
    <w:p>
      <w:pPr>
        <w:spacing w:after="0" w:line="22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was three years, ending March 31, 2022 (“Initial Term”), and could be automatically renewed, upon the same terms and conditions, for successive periods of one year, unless either party terminates in accordance with the terms of the employment agreement. The Company and Mr. Kanter entered into an Amended and Restated Employment Agreement (the "Amended Employment Agreement") on April 1, 2022. The terms of the Amended Employment, which will apply to Mr. Kanter's compensation for fiscal 2022 and beyond is discussed below under "</w:t>
      </w:r>
      <w:r>
        <w:rPr>
          <w:rFonts w:ascii="Times New Roman" w:cs="Times New Roman" w:eastAsia="Times New Roman" w:hAnsi="Times New Roman"/>
          <w:sz w:val="18"/>
          <w:szCs w:val="18"/>
          <w:i w:val="1"/>
          <w:iCs w:val="1"/>
          <w:color w:val="auto"/>
        </w:rPr>
        <w:t>Amended Employment Agreement with Mr. Kanter.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following discussion applies to the terms of the Employment Agreement in effect during fiscal 2021. Pursuant to his Employment Agreement, Mr. Kanter received an annual base salary of $735,000 as President and Chief Executive Officer with an annual automobile allowance of $10,000. In connection with his hiring, Mr. Kanter also received a housing allowance of $100,000 in April 2019, $50,000 in April 2020 and $50,000 on April 1, 2021.</w:t>
      </w:r>
    </w:p>
    <w:p>
      <w:pPr>
        <w:spacing w:after="0" w:line="17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w:t>
      </w:r>
    </w:p>
    <w:p>
      <w:pPr>
        <w:spacing w:after="0" w:line="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compensation and 50% will be performance-based compensation. Maximum payout of performance-based compensation is 150% of target.</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Pursuant to the initial Employment Agreement, if Mr. Kanter terminates his employment for Good Reason or the Company terminates his employment without Justifiable Cause:</w:t>
      </w:r>
    </w:p>
    <w:p>
      <w:pPr>
        <w:spacing w:after="0" w:line="162" w:lineRule="exact"/>
        <w:rPr>
          <w:sz w:val="20"/>
          <w:szCs w:val="20"/>
          <w:color w:val="auto"/>
        </w:rPr>
      </w:pPr>
    </w:p>
    <w:p>
      <w:pPr>
        <w:ind w:left="1140" w:right="180" w:hanging="758"/>
        <w:spacing w:after="0" w:line="24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194" w:lineRule="exact"/>
        <w:rPr>
          <w:rFonts w:ascii="Times New Roman" w:cs="Times New Roman" w:eastAsia="Times New Roman" w:hAnsi="Times New Roman"/>
          <w:sz w:val="18"/>
          <w:szCs w:val="18"/>
          <w:color w:val="auto"/>
        </w:rPr>
      </w:pPr>
    </w:p>
    <w:p>
      <w:pPr>
        <w:ind w:left="1140" w:hanging="758"/>
        <w:spacing w:after="0" w:line="25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90" w:lineRule="exact"/>
        <w:rPr>
          <w:rFonts w:ascii="Times New Roman" w:cs="Times New Roman" w:eastAsia="Times New Roman" w:hAnsi="Times New Roman"/>
          <w:sz w:val="18"/>
          <w:szCs w:val="18"/>
          <w:color w:val="auto"/>
        </w:rPr>
      </w:pPr>
    </w:p>
    <w:p>
      <w:pPr>
        <w:ind w:left="1140" w:right="500" w:hanging="758"/>
        <w:spacing w:after="0" w:line="25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9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spacing w:after="0" w:line="1" w:lineRule="exact"/>
        <w:rPr>
          <w:sz w:val="20"/>
          <w:szCs w:val="20"/>
          <w:color w:val="auto"/>
        </w:rPr>
      </w:pPr>
    </w:p>
    <w:p>
      <w:pPr>
        <w:ind w:right="400" w:firstLine="8"/>
        <w:spacing w:after="0" w:line="258" w:lineRule="auto"/>
        <w:tabs>
          <w:tab w:leader="none" w:pos="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Employment Agreements with Named Executive Officers</w:t>
      </w:r>
    </w:p>
    <w:p>
      <w:pPr>
        <w:spacing w:after="0" w:line="104"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We also have employment agreements with each of our other Named Executive Officers (the “NEO Employment Agreements”). The term of each NEO Employment Agreement begins on the respective effective date and continues until terminated by either party. Our Named Executive Officers are eligible to participate in our AIP. For fiscal 2021, Mr. Stratton participated at a target rate of 55%, Messrs. Dhoot and Molloy participated at a target rate of 50% and Mr. Gaeta participated at a target rate of 40%. For fiscal 2021, the Named Executive Officers were also eligible to participate in our LTIP at 70% of their respective average base salaries, as defined in the plan, depending on our performance (based on long-term performance goals). Beginning in fiscal 2022, Mr. Stratton will be eligible to participate in future LTIPs at 90% of his average base salary and the participation rate for all other Named Executive Officers will remain 70%. Each Named Executive Officer is entitled to vacation and to participate in and receive any other benefits customarily provided by us to our senior executives.</w:t>
      </w:r>
    </w:p>
    <w:p>
      <w:pPr>
        <w:spacing w:after="0" w:line="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Each of the NEO Employment Agreements provide that, if the executive officer’s employment is terminated by us at any time for any reason other than “justifiable cause” (as defined in the NEO Employment Agreements), disability or death, we are required to pay the executive his then current base salary for five months after the effective date of such termination. This severance benefit is conditioned upon the executive’s execution of a general release. These payments are not made if the executive is terminated with “justifiable cause,” the executive resigns, or the executive dies or becomes disabled. The Named Executive Officers would also be entitled to additional payments or acceleration of awards under the AIP and LTIP programs, in accordance with the terms of those plans.</w:t>
      </w:r>
    </w:p>
    <w:p>
      <w:pPr>
        <w:spacing w:after="0" w:line="8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If the Named Executive Officer’s employment is terminated at any time within one year following a Change of Control (as defined in the NEO Employment Agreements) other than for "justifiable cause," or if the executive resigns for “good reason,” then we will be obligated to pay the executive an amount equal to twelve months of the executive’s highest base salary in effect at any time during the six-month period ending on the date of the Change of Control. This payment also is conditioned upon the executive’s execution of a general release. Payments made under this provision are to be reduced if and to the extent necessary to avoid any payments or benefits to the executive being treated as “excess parachute payments” within the meaning of Internal Revenue Code Section 280G(b)(i).</w:t>
      </w:r>
    </w:p>
    <w:p>
      <w:pPr>
        <w:spacing w:after="0" w:line="7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NEO Employment Agreements contain confidentiality provisions pursuant to which each executive agrees not to disclose confidential information regarding our Company. The NEO Employment Agreements also contain covenants pursuant to which each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Estimated Potential Payments to Named Executive Officers</w:t>
      </w:r>
    </w:p>
    <w:p>
      <w:pPr>
        <w:spacing w:after="0" w:line="11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following table shows the payments that would be made to our Named Executive Officers assuming a “termination without cause” or a “resignation for good reason” (each a “Qualifying Termination”) or a Qualifying Termination following a Change in Control, as described in the employment agreements, as of January 29, 2022 (the last day of fiscal year 2021). As discussed below, subsequent to year-end, the Company and Mr. Kanter entered into an Amended Employment Agreement effective April 1, 2022. The amounts for Mr. Kanter in the table below reflect the terms of his agreement as in effect during fiscal 2021, and not the terms of his Amended Employment Agreement.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Long-Term Incentive Plan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Sign-on and</w:t>
            </w:r>
          </w:p>
        </w:tc>
        <w:tc>
          <w:tcPr>
            <w:tcW w:w="120" w:type="dxa"/>
            <w:vAlign w:val="bottom"/>
          </w:tcPr>
          <w:p>
            <w:pPr>
              <w:spacing w:after="0"/>
              <w:rPr>
                <w:sz w:val="12"/>
                <w:szCs w:val="12"/>
                <w:color w:val="auto"/>
              </w:rPr>
            </w:pPr>
          </w:p>
        </w:tc>
        <w:tc>
          <w:tcPr>
            <w:tcW w:w="6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Time-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1"/>
              <w:spacing w:after="0" w:line="148" w:lineRule="exact"/>
              <w:rPr>
                <w:sz w:val="20"/>
                <w:szCs w:val="20"/>
                <w:color w:val="auto"/>
              </w:rPr>
            </w:pPr>
            <w:r>
              <w:rPr>
                <w:rFonts w:ascii="Times New Roman" w:cs="Times New Roman" w:eastAsia="Times New Roman" w:hAnsi="Times New Roman"/>
                <w:sz w:val="16"/>
                <w:szCs w:val="16"/>
                <w:b w:val="1"/>
                <w:bCs w:val="1"/>
                <w:color w:val="auto"/>
              </w:rPr>
              <w:t>Performance-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restart"/>
          </w:tcPr>
          <w:p>
            <w:pPr>
              <w:jc w:val="center"/>
              <w:ind w:right="1"/>
              <w:spacing w:after="0" w:line="162" w:lineRule="exact"/>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9"/>
              </w:rPr>
              <w:t>Base</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240" w:type="dxa"/>
            <w:vAlign w:val="bottom"/>
          </w:tcPr>
          <w:p>
            <w:pPr>
              <w:spacing w:after="0"/>
              <w:rPr>
                <w:sz w:val="4"/>
                <w:szCs w:val="4"/>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Discretionary</w:t>
            </w:r>
          </w:p>
        </w:tc>
        <w:tc>
          <w:tcPr>
            <w:tcW w:w="120" w:type="dxa"/>
            <w:vAlign w:val="bottom"/>
          </w:tcPr>
          <w:p>
            <w:pPr>
              <w:spacing w:after="0"/>
              <w:rPr>
                <w:sz w:val="4"/>
                <w:szCs w:val="4"/>
                <w:color w:val="auto"/>
              </w:rPr>
            </w:pPr>
          </w:p>
        </w:tc>
        <w:tc>
          <w:tcPr>
            <w:tcW w:w="6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Based</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5"/>
                <w:szCs w:val="15"/>
                <w:b w:val="1"/>
                <w:bCs w:val="1"/>
                <w:color w:val="auto"/>
              </w:rPr>
              <w:t xml:space="preserve">Compensation </w:t>
            </w:r>
            <w:r>
              <w:rPr>
                <w:rFonts w:ascii="Times New Roman" w:cs="Times New Roman" w:eastAsia="Times New Roman" w:hAnsi="Times New Roman"/>
                <w:sz w:val="20"/>
                <w:szCs w:val="20"/>
                <w:b w:val="1"/>
                <w:bCs w:val="1"/>
                <w:color w:val="auto"/>
                <w:vertAlign w:val="superscript"/>
              </w:rPr>
              <w:t>(5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2"/>
                <w:szCs w:val="12"/>
                <w:b w:val="1"/>
                <w:bCs w:val="1"/>
                <w:color w:val="auto"/>
              </w:rPr>
              <w:t>Salary</w:t>
            </w:r>
            <w:r>
              <w:rPr>
                <w:rFonts w:ascii="Times New Roman" w:cs="Times New Roman" w:eastAsia="Times New Roman" w:hAnsi="Times New Roman"/>
                <w:sz w:val="15"/>
                <w:szCs w:val="15"/>
                <w:b w:val="1"/>
                <w:bCs w:val="1"/>
                <w:color w:val="auto"/>
                <w:vertAlign w:val="superscript"/>
              </w:rPr>
              <w:t>(1)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Plan </w:t>
            </w:r>
            <w:r>
              <w:rPr>
                <w:rFonts w:ascii="Times New Roman" w:cs="Times New Roman" w:eastAsia="Times New Roman" w:hAnsi="Times New Roman"/>
                <w:sz w:val="15"/>
                <w:szCs w:val="15"/>
                <w:b w:val="1"/>
                <w:bCs w:val="1"/>
                <w:color w:val="auto"/>
                <w:vertAlign w:val="superscript"/>
              </w:rPr>
              <w:t>(2)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Awards </w:t>
            </w:r>
            <w:r>
              <w:rPr>
                <w:rFonts w:ascii="Times New Roman" w:cs="Times New Roman" w:eastAsia="Times New Roman" w:hAnsi="Times New Roman"/>
                <w:sz w:val="15"/>
                <w:szCs w:val="15"/>
                <w:b w:val="1"/>
                <w:bCs w:val="1"/>
                <w:color w:val="auto"/>
                <w:vertAlign w:val="superscript"/>
              </w:rPr>
              <w:t>(3)</w:t>
            </w:r>
          </w:p>
        </w:tc>
        <w:tc>
          <w:tcPr>
            <w:tcW w:w="8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Awards </w:t>
            </w:r>
            <w:r>
              <w:rPr>
                <w:rFonts w:ascii="Times New Roman" w:cs="Times New Roman" w:eastAsia="Times New Roman" w:hAnsi="Times New Roman"/>
                <w:sz w:val="15"/>
                <w:szCs w:val="15"/>
                <w:b w:val="1"/>
                <w:bCs w:val="1"/>
                <w:color w:val="auto"/>
                <w:vertAlign w:val="superscript"/>
              </w:rPr>
              <w:t>(4)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Payments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Harvey S. Kanter</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765,836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2,400,113</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1,510,326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2,940,000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765,836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2,400,113</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1,510,326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9,086,274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Peter H. Stratton, Jr.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325,875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768,214</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334,218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1,668,473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42,666</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768,214</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1,865,973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Ujjwal Dhoot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FF0FC"/>
          </w:tcPr>
          <w:p>
            <w:pPr>
              <w:spacing w:after="0"/>
              <w:rPr>
                <w:sz w:val="17"/>
                <w:szCs w:val="17"/>
                <w:color w:val="auto"/>
              </w:rPr>
            </w:pPr>
          </w:p>
        </w:tc>
        <w:tc>
          <w:tcPr>
            <w:tcW w:w="4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192,500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261,376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12,226</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685,831</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220,574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1,372,506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685,831</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1,565,006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S. Molloy</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789,521</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271,875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40,504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789,521</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317,295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1,794,195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Anthony J. Gaeta</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42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Qualifying Termination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168,149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619,786</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249,606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1,215,825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Qualifying Termination due to change in control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619,786</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1,363,325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-2374265</wp:posOffset>
            </wp:positionV>
            <wp:extent cx="93980" cy="4540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454025"/>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-2374265</wp:posOffset>
            </wp:positionV>
            <wp:extent cx="93980" cy="45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454025"/>
                    </a:xfrm>
                    <a:prstGeom prst="rect">
                      <a:avLst/>
                    </a:prstGeom>
                    <a:noFill/>
                  </pic:spPr>
                </pic:pic>
              </a:graphicData>
            </a:graphic>
          </wp:anchor>
        </w:drawing>
      </w:r>
    </w:p>
    <w:p>
      <w:pPr>
        <w:spacing w:after="0" w:line="57" w:lineRule="exact"/>
        <w:rPr>
          <w:sz w:val="20"/>
          <w:szCs w:val="20"/>
          <w:color w:val="auto"/>
        </w:rPr>
      </w:pPr>
    </w:p>
    <w:p>
      <w:pPr>
        <w:ind w:left="760" w:right="40" w:hanging="378"/>
        <w:spacing w:after="0" w:line="251"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Mr. Kanter was in the Initial Term of his Employment Agreement as of January 29, 2022, for a Qualifying Termination, Mr. Kanter would have been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Continued base salary for Qualifying Termination due to change in control is the sum of two times base salary plus the then-amount of the annual incentive payout at target for Mr. Kanter and one-year base salary for the other Named Executive Officers. With respect to Mr. Kanter, it should be noted that pursuant to his Amended Employment Agreement, effective April 1, 2022, Mr. Kanter is in a new three-year Initial Term of his Amended Employment Agreement, whereby he would be entitled to receive, as continued base salary, the sum of the remaining base salary and annual incentive payout, assuming target, through the new Initial Term of his employment, or April 1, 2025.</w:t>
      </w:r>
    </w:p>
    <w:p>
      <w:pPr>
        <w:spacing w:after="0" w:line="76" w:lineRule="exact"/>
        <w:rPr>
          <w:rFonts w:ascii="Times New Roman" w:cs="Times New Roman" w:eastAsia="Times New Roman" w:hAnsi="Times New Roman"/>
          <w:sz w:val="14"/>
          <w:szCs w:val="14"/>
          <w:color w:val="auto"/>
        </w:rPr>
      </w:pPr>
    </w:p>
    <w:p>
      <w:pPr>
        <w:ind w:left="760" w:hanging="378"/>
        <w:spacing w:after="0" w:line="271"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the actual incentive earned for 2021 AIP. The amount does not include the discretionary 10% cash award that was subsequently awarded after year-end to all participants in the 2021 AIP, as for purposes of this table the Named Executive Officer is deemed to have been terminated as of the end of fiscal 2021. See "</w:t>
      </w:r>
      <w:r>
        <w:rPr>
          <w:rFonts w:ascii="Times New Roman" w:cs="Times New Roman" w:eastAsia="Times New Roman" w:hAnsi="Times New Roman"/>
          <w:sz w:val="14"/>
          <w:szCs w:val="14"/>
          <w:i w:val="1"/>
          <w:iCs w:val="1"/>
          <w:color w:val="auto"/>
        </w:rPr>
        <w:t>Compensation 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Analysis - Compensation Components and Fiscal 2021 Compensation Decisions - Discretionary Cash and Equity Awards</w:t>
      </w:r>
      <w:r>
        <w:rPr>
          <w:rFonts w:ascii="Times New Roman" w:cs="Times New Roman" w:eastAsia="Times New Roman" w:hAnsi="Times New Roman"/>
          <w:sz w:val="14"/>
          <w:szCs w:val="14"/>
          <w:color w:val="auto"/>
        </w:rPr>
        <w:t>" for more information regarding this award.</w:t>
      </w:r>
    </w:p>
    <w:p>
      <w:pPr>
        <w:spacing w:after="0" w:line="62" w:lineRule="exact"/>
        <w:rPr>
          <w:rFonts w:ascii="Times New Roman" w:cs="Times New Roman" w:eastAsia="Times New Roman" w:hAnsi="Times New Roman"/>
          <w:sz w:val="14"/>
          <w:szCs w:val="14"/>
          <w:color w:val="auto"/>
        </w:rPr>
      </w:pPr>
    </w:p>
    <w:p>
      <w:pPr>
        <w:ind w:left="760" w:right="60" w:hanging="378"/>
        <w:spacing w:after="0" w:line="271"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prorated vesting of a discretionary grant of stock options granted on March 9, 2021 to Mr. Kanter and all then-active participants of the 2018-2020 LTIP. See footnote 2 to the </w:t>
      </w:r>
      <w:r>
        <w:rPr>
          <w:rFonts w:ascii="Times New Roman" w:cs="Times New Roman" w:eastAsia="Times New Roman" w:hAnsi="Times New Roman"/>
          <w:sz w:val="14"/>
          <w:szCs w:val="14"/>
          <w:i w:val="1"/>
          <w:iCs w:val="1"/>
          <w:color w:val="auto"/>
        </w:rPr>
        <w:t>2021 Grants of Plan-Based Awards Table</w:t>
      </w:r>
      <w:r>
        <w:rPr>
          <w:rFonts w:ascii="Times New Roman" w:cs="Times New Roman" w:eastAsia="Times New Roman" w:hAnsi="Times New Roman"/>
          <w:sz w:val="14"/>
          <w:szCs w:val="14"/>
          <w:color w:val="auto"/>
        </w:rPr>
        <w:t xml:space="preserve"> for a discussion of this grant. The table also includes a prorated vesting of Mr. Kanter’s RSUs that were granted to him in connection with his hiring.</w:t>
      </w:r>
    </w:p>
    <w:p>
      <w:pPr>
        <w:spacing w:after="0" w:line="62" w:lineRule="exact"/>
        <w:rPr>
          <w:rFonts w:ascii="Times New Roman" w:cs="Times New Roman" w:eastAsia="Times New Roman" w:hAnsi="Times New Roman"/>
          <w:sz w:val="14"/>
          <w:szCs w:val="14"/>
          <w:color w:val="auto"/>
        </w:rPr>
      </w:pPr>
    </w:p>
    <w:p>
      <w:pPr>
        <w:ind w:left="760" w:right="100" w:hanging="378"/>
        <w:spacing w:after="0" w:line="256"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Time-based awards under our LTIPs represent time-based RSUs under our 2018-2020 LTIP, 2019-2021 LTIP, 2020-2022 LTIP and 2021-2023 LTIP. Because the respective performance periods for the 2018-2020 LTIP and the 2019-2021 LTIP would have been complete as of January 29, 2022, all outstanding awards would have become fully vested under both a Qualifying Termination and Qualifying Termination due to a change in control. Because the 2020-2022 LTIP would have completed the second year of its performance period and the 2021-2023 LTIP would have completed the first year of its performance period, as of January 29, 2022, each participant would have vested in shares based on a pro-rata vesting percentage, which is calculated based on the number of effective days of participation over the total number of days in the performance period.</w:t>
      </w:r>
    </w:p>
    <w:p>
      <w:pPr>
        <w:spacing w:after="0" w:line="72" w:lineRule="exact"/>
        <w:rPr>
          <w:rFonts w:ascii="Times New Roman" w:cs="Times New Roman" w:eastAsia="Times New Roman" w:hAnsi="Times New Roman"/>
          <w:sz w:val="14"/>
          <w:szCs w:val="14"/>
          <w:color w:val="auto"/>
        </w:rPr>
      </w:pPr>
    </w:p>
    <w:p>
      <w:pPr>
        <w:ind w:left="760" w:right="60" w:hanging="378"/>
        <w:spacing w:after="0" w:line="253" w:lineRule="auto"/>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actual performance award earned under the 2019-2021 LTIP. Because the performance periods for the 2020-2022 LTIP and the 2021-2023 LTIP were not complete as of January 29, 2022,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remaining PSUs would forfeit unexercised unless, during the thirty-days following his termination, a performance target is achieved. In such case, he would be entitled to any unvested PSUs that would have vested as though he had not been terminated.</w:t>
      </w:r>
    </w:p>
    <w:p>
      <w:pPr>
        <w:spacing w:after="0" w:line="8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time-based awards were valued using the closing stock price of our stock on January 28, 2022 of $4.33 per share.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Amended Employment Agreement with Mr. Kanter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in February 2022, the Compensation Committee engaged Segal to review the compensation of Mr. Kanter’s base salary and total direct compensation. Effective April 1, 2022, the Company and Mr. Kanter entered into an Amended Employment Agreement. The initial term of the Amended Employment Agreement is for three years, ending on April 1, 2025, unless terminated earlier in accordance with the terms of the Amended Employment Agreement (the “New Initial Term”). At the expiration of the New Initial Term, the Amended Employment Agreement will automatically renew, upon the same terms and conditions, for successive periods of one year, unless either party provides advance written notice in accordance with the agreement. Mr. Kanter's base salary under the Amended Employment Agreement increased to $850,000. Mr. Kanter will continue to participate in the Company's AIP and LTIPs at the same participation and payout rates as his initial Employment Agreement. Beginning with the first payroll in April 2022, Mr. Kanter receives a quarterly travel allowance in the amount of $30,000, which is intended to be used for travel between Mr. Kanter's home and the Company’s corporate offices.</w:t>
      </w:r>
    </w:p>
    <w:p>
      <w:pPr>
        <w:spacing w:after="0" w:line="8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Under Mr. Kanter's initial Employment Agreement, Mr. Kanter was granted 720,000 PSUs. Currently, 240,000 PSUs remain unvested and will expire on April 1, 2023 if the Average Share Price of $8.00 is not achieved by that date. In the Amended Employment Agreement, if the remaining 240,000 PSUs do not vest, the Company agreed to grant Mr. Kanter a new performance share award after April 1, 2023 (but not later than December 31, 2023), the amount and terms of which will be set by the Board in its sole discretion.</w:t>
      </w:r>
    </w:p>
    <w:p>
      <w:pPr>
        <w:spacing w:after="0" w:line="6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addition to the termination provisions that existed in the Employment Agreement, a clause was added to the Amended Employment Agreement that states that a termination of employment that meets the requirements of a Structured Retirement (as defined in the Fourth Amended and Restated Destination XL Group, Inc. Long-Term Incentive Plan) and that occurs prior to the expiration of the Initial Term, will be deemed to be a termination by the Company without Justifiable Cause. Additionally, for purposes of the Annual Incentive Plan, a termination of employment that meets the requirements of a Structured Retirement and that occurs at any time during the Employment Term (including after the Initial Term) will be deemed to be a termination by the Company without Justifiable Cause.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Clawback Policy</w:t>
      </w:r>
    </w:p>
    <w:p>
      <w:pPr>
        <w:spacing w:after="0" w:line="2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Our employment agreements with our executives, including our Named Executive Officers,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8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in August 2018, our Compensation Committee approved a clawback policy that requires our Named Executive Officers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4" w:name="page35"/>
    <w:bookmarkEnd w:id="34"/>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Grants of Plan-Based Awards. </w:t>
      </w:r>
      <w:r>
        <w:rPr>
          <w:rFonts w:ascii="Times New Roman" w:cs="Times New Roman" w:eastAsia="Times New Roman" w:hAnsi="Times New Roman"/>
          <w:sz w:val="18"/>
          <w:szCs w:val="18"/>
          <w:color w:val="auto"/>
        </w:rPr>
        <w:t>The following table sets forth certain information with respect to plan-based awards granted to the Named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in fiscal 2021.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GRANTS OF PLAN-BASED AWARDS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160" w:type="dxa"/>
            <w:vAlign w:val="bottom"/>
          </w:tcPr>
          <w:p>
            <w:pPr>
              <w:spacing w:after="0"/>
              <w:rPr>
                <w:sz w:val="9"/>
                <w:szCs w:val="9"/>
                <w:color w:val="auto"/>
              </w:rPr>
            </w:pPr>
          </w:p>
        </w:tc>
        <w:tc>
          <w:tcPr>
            <w:tcW w:w="6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gridSpan w:val="10"/>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8"/>
            <w:vMerge w:val="restart"/>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9"/>
              </w:rPr>
              <w:t>Estimated Future Payouts</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16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14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or Base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gridSpan w:val="10"/>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8"/>
            <w:vMerge w:val="continue"/>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6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40" w:type="dxa"/>
            <w:vAlign w:val="bottom"/>
          </w:tcPr>
          <w:p>
            <w:pPr>
              <w:spacing w:after="0"/>
              <w:rPr>
                <w:sz w:val="9"/>
                <w:szCs w:val="9"/>
                <w:color w:val="auto"/>
              </w:rPr>
            </w:pPr>
          </w:p>
        </w:tc>
        <w:tc>
          <w:tcPr>
            <w:tcW w:w="6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46"/>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Service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6"/>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Under Non-Equity</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5"/>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Under Equity</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of Shares</w:t>
            </w:r>
          </w:p>
        </w:tc>
        <w:tc>
          <w:tcPr>
            <w:tcW w:w="16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9"/>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7"/>
              </w:rPr>
              <w:t>Incentive Plan Awards</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8"/>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Incentive Plan Awards</w:t>
            </w: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 Stock</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1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80" w:type="dxa"/>
            <w:vAlign w:val="bottom"/>
          </w:tcPr>
          <w:p>
            <w:pPr>
              <w:ind w:left="140"/>
              <w:spacing w:after="0" w:line="106" w:lineRule="exact"/>
              <w:rPr>
                <w:sz w:val="20"/>
                <w:szCs w:val="20"/>
                <w:color w:val="auto"/>
              </w:rPr>
            </w:pPr>
            <w:r>
              <w:rPr>
                <w:rFonts w:ascii="Times New Roman" w:cs="Times New Roman" w:eastAsia="Times New Roman" w:hAnsi="Times New Roman"/>
                <w:sz w:val="11"/>
                <w:szCs w:val="11"/>
                <w:b w:val="1"/>
                <w:bCs w:val="1"/>
                <w:color w:val="auto"/>
              </w:rPr>
              <w:t>Grant</w:t>
            </w:r>
          </w:p>
        </w:tc>
        <w:tc>
          <w:tcPr>
            <w:tcW w:w="620" w:type="dxa"/>
            <w:vAlign w:val="bottom"/>
            <w:gridSpan w:val="2"/>
          </w:tcPr>
          <w:p>
            <w:pPr>
              <w:jc w:val="center"/>
              <w:ind w:right="20"/>
              <w:spacing w:after="0" w:line="106" w:lineRule="exact"/>
              <w:rPr>
                <w:sz w:val="20"/>
                <w:szCs w:val="20"/>
                <w:color w:val="auto"/>
              </w:rPr>
            </w:pPr>
            <w:r>
              <w:rPr>
                <w:rFonts w:ascii="Times New Roman" w:cs="Times New Roman" w:eastAsia="Times New Roman" w:hAnsi="Times New Roman"/>
                <w:sz w:val="11"/>
                <w:szCs w:val="11"/>
                <w:b w:val="1"/>
                <w:bCs w:val="1"/>
                <w:color w:val="auto"/>
                <w:w w:val="98"/>
              </w:rPr>
              <w:t>Inception</w:t>
            </w:r>
          </w:p>
        </w:tc>
        <w:tc>
          <w:tcPr>
            <w:tcW w:w="5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ind w:right="66"/>
              <w:spacing w:after="0" w:line="106"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6"/>
              <w:spacing w:after="0" w:line="106"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60" w:type="dxa"/>
            <w:vAlign w:val="bottom"/>
          </w:tcPr>
          <w:p>
            <w:pPr>
              <w:spacing w:after="0"/>
              <w:rPr>
                <w:sz w:val="9"/>
                <w:szCs w:val="9"/>
                <w:color w:val="auto"/>
              </w:rPr>
            </w:pPr>
          </w:p>
        </w:tc>
        <w:tc>
          <w:tcPr>
            <w:tcW w:w="640" w:type="dxa"/>
            <w:vAlign w:val="bottom"/>
            <w:gridSpan w:val="2"/>
          </w:tcPr>
          <w:p>
            <w:pPr>
              <w:jc w:val="right"/>
              <w:ind w:right="26"/>
              <w:spacing w:after="0" w:line="106"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jc w:val="right"/>
              <w:ind w:right="66"/>
              <w:spacing w:after="0" w:line="106"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Maximum</w:t>
            </w:r>
          </w:p>
        </w:tc>
        <w:tc>
          <w:tcPr>
            <w:tcW w:w="180" w:type="dxa"/>
            <w:vAlign w:val="bottom"/>
          </w:tcPr>
          <w:p>
            <w:pPr>
              <w:spacing w:after="0"/>
              <w:rPr>
                <w:sz w:val="9"/>
                <w:szCs w:val="9"/>
                <w:color w:val="auto"/>
              </w:rPr>
            </w:pPr>
          </w:p>
        </w:tc>
        <w:tc>
          <w:tcPr>
            <w:tcW w:w="6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9"/>
              </w:rPr>
              <w:t>or Units</w:t>
            </w:r>
          </w:p>
        </w:tc>
        <w:tc>
          <w:tcPr>
            <w:tcW w:w="160" w:type="dxa"/>
            <w:vAlign w:val="bottom"/>
          </w:tcPr>
          <w:p>
            <w:pPr>
              <w:spacing w:after="0"/>
              <w:rPr>
                <w:sz w:val="9"/>
                <w:szCs w:val="9"/>
                <w:color w:val="auto"/>
              </w:rPr>
            </w:pPr>
          </w:p>
        </w:tc>
        <w:tc>
          <w:tcPr>
            <w:tcW w:w="60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140" w:type="dxa"/>
            <w:vAlign w:val="bottom"/>
          </w:tcPr>
          <w:p>
            <w:pPr>
              <w:spacing w:after="0"/>
              <w:rPr>
                <w:sz w:val="9"/>
                <w:szCs w:val="9"/>
                <w:color w:val="auto"/>
              </w:rPr>
            </w:pPr>
          </w:p>
        </w:tc>
        <w:tc>
          <w:tcPr>
            <w:tcW w:w="60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26"/>
              <w:spacing w:after="0" w:line="106"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60" w:type="dxa"/>
            <w:vAlign w:val="bottom"/>
          </w:tcPr>
          <w:p>
            <w:pPr>
              <w:spacing w:after="0"/>
              <w:rPr>
                <w:sz w:val="12"/>
                <w:szCs w:val="12"/>
                <w:color w:val="auto"/>
              </w:rPr>
            </w:pPr>
          </w:p>
        </w:tc>
        <w:tc>
          <w:tcPr>
            <w:tcW w:w="4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82"/>
              </w:rPr>
              <w:t>) (1)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8"/>
              </w:rPr>
              <w:t>($) (1)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91"/>
              </w:rPr>
              <w:t>($) (1)</w:t>
            </w:r>
          </w:p>
        </w:tc>
        <w:tc>
          <w:tcPr>
            <w:tcW w:w="840" w:type="dxa"/>
            <w:vAlign w:val="bottom"/>
            <w:gridSpan w:val="2"/>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76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4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 / 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60" w:type="dxa"/>
            <w:vAlign w:val="bottom"/>
            <w:gridSpan w:val="2"/>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rPr>
              <w:t>Harvey S. Kanter</w:t>
            </w:r>
          </w:p>
        </w:tc>
        <w:tc>
          <w:tcPr>
            <w:tcW w:w="58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106,265</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147,000</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735,000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1,470,000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468,563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335,960</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156,188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78,094</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312,375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468,563</w:t>
            </w:r>
          </w:p>
        </w:tc>
        <w:tc>
          <w:tcPr>
            <w:tcW w:w="4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78,094</w:t>
            </w:r>
          </w:p>
        </w:tc>
        <w:tc>
          <w:tcPr>
            <w:tcW w:w="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312,375</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468,563</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70"/>
              </w:rPr>
              <w:t>Peter</w:t>
            </w:r>
          </w:p>
        </w:tc>
        <w:tc>
          <w:tcPr>
            <w:tcW w:w="19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H. Stratton, Jr.</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36,116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4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43,450</w:t>
            </w:r>
          </w:p>
        </w:tc>
        <w:tc>
          <w:tcPr>
            <w:tcW w:w="4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325,875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74,344</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17,281</w:t>
            </w:r>
          </w:p>
        </w:tc>
        <w:tc>
          <w:tcPr>
            <w:tcW w:w="4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103,688</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17,281</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69,125</w:t>
            </w:r>
          </w:p>
        </w:tc>
        <w:tc>
          <w:tcPr>
            <w:tcW w:w="100" w:type="dxa"/>
            <w:vAlign w:val="bottom"/>
          </w:tcPr>
          <w:p>
            <w:pPr>
              <w:spacing w:after="0"/>
              <w:rPr>
                <w:sz w:val="12"/>
                <w:szCs w:val="12"/>
                <w:color w:val="auto"/>
              </w:rPr>
            </w:pPr>
          </w:p>
        </w:tc>
        <w:tc>
          <w:tcPr>
            <w:tcW w:w="2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103,688</w:t>
            </w:r>
          </w:p>
        </w:tc>
        <w:tc>
          <w:tcPr>
            <w:tcW w:w="18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Ujjwal Dhoot</w:t>
            </w:r>
          </w:p>
        </w:tc>
        <w:tc>
          <w:tcPr>
            <w:tcW w:w="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10,349</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38,500</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192,500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288,750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101,063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72,461</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33,687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16,844</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67,375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101,063</w:t>
            </w:r>
          </w:p>
        </w:tc>
        <w:tc>
          <w:tcPr>
            <w:tcW w:w="4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16,844</w:t>
            </w:r>
          </w:p>
        </w:tc>
        <w:tc>
          <w:tcPr>
            <w:tcW w:w="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67,375</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101,063</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Robert S. Molloy</w:t>
            </w: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34,287</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4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4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281,250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70,579</w:t>
            </w:r>
          </w:p>
        </w:tc>
        <w:tc>
          <w:tcPr>
            <w:tcW w:w="140" w:type="dxa"/>
            <w:vAlign w:val="bottom"/>
          </w:tcPr>
          <w:p>
            <w:pPr>
              <w:spacing w:after="0"/>
              <w:rPr>
                <w:sz w:val="11"/>
                <w:szCs w:val="11"/>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1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16,406</w:t>
            </w:r>
          </w:p>
        </w:tc>
        <w:tc>
          <w:tcPr>
            <w:tcW w:w="120" w:type="dxa"/>
            <w:vAlign w:val="bottom"/>
          </w:tcPr>
          <w:p>
            <w:pPr>
              <w:spacing w:after="0"/>
              <w:rPr>
                <w:sz w:val="12"/>
                <w:szCs w:val="12"/>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98,438</w:t>
            </w:r>
          </w:p>
        </w:tc>
        <w:tc>
          <w:tcPr>
            <w:tcW w:w="4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16,406</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65,625</w:t>
            </w:r>
          </w:p>
        </w:tc>
        <w:tc>
          <w:tcPr>
            <w:tcW w:w="100" w:type="dxa"/>
            <w:vAlign w:val="bottom"/>
          </w:tcPr>
          <w:p>
            <w:pPr>
              <w:spacing w:after="0"/>
              <w:rPr>
                <w:sz w:val="12"/>
                <w:szCs w:val="12"/>
                <w:color w:val="auto"/>
              </w:rPr>
            </w:pPr>
          </w:p>
        </w:tc>
        <w:tc>
          <w:tcPr>
            <w:tcW w:w="2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98,438</w:t>
            </w:r>
          </w:p>
        </w:tc>
        <w:tc>
          <w:tcPr>
            <w:tcW w:w="18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0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Anthony J. Gaeta</w:t>
            </w:r>
          </w:p>
        </w:tc>
        <w:tc>
          <w:tcPr>
            <w:tcW w:w="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Discretionary grant (2)</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3/9/2021</w:t>
            </w:r>
          </w:p>
        </w:tc>
        <w:tc>
          <w:tcPr>
            <w:tcW w:w="5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26,058</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 AIP (3)</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4/1/2021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23,600</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118,000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177,000</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 w:type="dxa"/>
            <w:vAlign w:val="bottom"/>
            <w:shd w:val="clear" w:color="auto" w:fill="CFF0FC"/>
          </w:tcPr>
          <w:p>
            <w:pPr>
              <w:spacing w:after="0"/>
              <w:rPr>
                <w:sz w:val="11"/>
                <w:szCs w:val="11"/>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2021-2023 LTIP, Time-Based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77,438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55,522</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25,812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shd w:val="clear" w:color="auto" w:fill="CFF0FC"/>
          </w:tcPr>
          <w:p>
            <w:pPr>
              <w:spacing w:after="0"/>
              <w:rPr>
                <w:sz w:val="12"/>
                <w:szCs w:val="12"/>
                <w:color w:val="auto"/>
              </w:rPr>
            </w:pPr>
          </w:p>
        </w:tc>
        <w:tc>
          <w:tcPr>
            <w:tcW w:w="1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2021-2023 LTIP, Performance-Based (4)</w:t>
            </w:r>
          </w:p>
        </w:tc>
        <w:tc>
          <w:tcPr>
            <w:tcW w:w="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w w:val="97"/>
              </w:rPr>
              <w:t>3/8/2021</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1/31/2021</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48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77,438</w:t>
            </w:r>
          </w:p>
        </w:tc>
        <w:tc>
          <w:tcPr>
            <w:tcW w:w="440" w:type="dxa"/>
            <w:vAlign w:val="bottom"/>
            <w:gridSpan w:val="2"/>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12,906</w:t>
            </w:r>
          </w:p>
        </w:tc>
        <w:tc>
          <w:tcPr>
            <w:tcW w:w="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51,625</w:t>
            </w:r>
          </w:p>
        </w:tc>
        <w:tc>
          <w:tcPr>
            <w:tcW w:w="1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77,438</w:t>
            </w: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right="1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under the LTIP plans are denominated in dollars at the service inception date. The actual grant date of equity awards will occur only if the performance targets are achieved. See footnote 3 below for additional information on the 2021-2023 LTIP.</w:t>
      </w:r>
    </w:p>
    <w:p>
      <w:pPr>
        <w:spacing w:after="0" w:line="148" w:lineRule="exact"/>
        <w:rPr>
          <w:rFonts w:ascii="Times New Roman" w:cs="Times New Roman" w:eastAsia="Times New Roman" w:hAnsi="Times New Roman"/>
          <w:sz w:val="18"/>
          <w:szCs w:val="18"/>
          <w:color w:val="auto"/>
        </w:rPr>
      </w:pPr>
    </w:p>
    <w:p>
      <w:pPr>
        <w:ind w:left="760" w:right="560" w:hanging="378"/>
        <w:spacing w:after="0" w:line="25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2021, the Compensation Committee approved a discretionary grant of stock options to Mr. Kanter and all active members of management who were participants in the 2018-2020 LTIP. See "</w:t>
      </w:r>
      <w:r>
        <w:rPr>
          <w:rFonts w:ascii="Times New Roman" w:cs="Times New Roman" w:eastAsia="Times New Roman" w:hAnsi="Times New Roman"/>
          <w:sz w:val="18"/>
          <w:szCs w:val="18"/>
          <w:i w:val="1"/>
          <w:iCs w:val="1"/>
          <w:color w:val="auto"/>
        </w:rPr>
        <w:t>Compensation Components and Fiscal 2021 Compensation Decisions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Discretionary Cash and Equity Awards</w:t>
      </w:r>
      <w:r>
        <w:rPr>
          <w:rFonts w:ascii="Times New Roman" w:cs="Times New Roman" w:eastAsia="Times New Roman" w:hAnsi="Times New Roman"/>
          <w:sz w:val="18"/>
          <w:szCs w:val="18"/>
          <w:color w:val="auto"/>
        </w:rPr>
        <w:t>" for more information regarding this grant.</w:t>
      </w:r>
    </w:p>
    <w:p>
      <w:pPr>
        <w:spacing w:after="0" w:line="190" w:lineRule="exact"/>
        <w:rPr>
          <w:rFonts w:ascii="Times New Roman" w:cs="Times New Roman" w:eastAsia="Times New Roman" w:hAnsi="Times New Roman"/>
          <w:sz w:val="18"/>
          <w:szCs w:val="18"/>
          <w:color w:val="auto"/>
        </w:rPr>
      </w:pPr>
    </w:p>
    <w:p>
      <w:pPr>
        <w:ind w:left="760" w:hanging="378"/>
        <w:spacing w:after="0" w:line="24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payout for each executive assumes the achievement of only the individual personal goals, target payout assumes 100%, and the maximum payout assumes 150% of the payout targets under the 2021 AIP, with the exception of the maximum payout for Mr. Kanter which is 200%. See “</w:t>
      </w:r>
      <w:r>
        <w:rPr>
          <w:rFonts w:ascii="Times New Roman" w:cs="Times New Roman" w:eastAsia="Times New Roman" w:hAnsi="Times New Roman"/>
          <w:sz w:val="18"/>
          <w:szCs w:val="18"/>
          <w:i w:val="1"/>
          <w:iCs w:val="1"/>
          <w:color w:val="auto"/>
        </w:rPr>
        <w:t>Compensation Components and Fiscal 2021 Compensation Decisions - Performance-based annual incentive plan – 2021 AIP</w:t>
      </w:r>
      <w:r>
        <w:rPr>
          <w:rFonts w:ascii="Times New Roman" w:cs="Times New Roman" w:eastAsia="Times New Roman" w:hAnsi="Times New Roman"/>
          <w:sz w:val="18"/>
          <w:szCs w:val="18"/>
          <w:color w:val="auto"/>
        </w:rPr>
        <w:t>” for more information on the targets set under the 2021 AIP. The respective actual cash payment made to each of the Named Executive Officers under the 2021 AIP is included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for fiscal 2021.</w:t>
      </w:r>
    </w:p>
    <w:p>
      <w:pPr>
        <w:spacing w:after="0" w:line="181" w:lineRule="exact"/>
        <w:rPr>
          <w:rFonts w:ascii="Times New Roman" w:cs="Times New Roman" w:eastAsia="Times New Roman" w:hAnsi="Times New Roman"/>
          <w:sz w:val="18"/>
          <w:szCs w:val="18"/>
          <w:color w:val="auto"/>
        </w:rPr>
      </w:pPr>
    </w:p>
    <w:p>
      <w:pPr>
        <w:ind w:left="760" w:right="80" w:hanging="378"/>
        <w:spacing w:after="0" w:line="243"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2021, the Compensation Committee approved the performance target for the 2021-2023 LTIP. The performance-based awards represent 50% of the total potential payout under the 2021-2023 LTIP, and assumes that 50% is payable in cash and 50% payable in equity. The amounts in the above table represent the dollar value of any future grant of cash and equity assuming a potential payout at threshold, target and maximum for each executive estimated based on achieving 50%, 100% and 150%, respectively, of the payout targets set by the Compensation Committee. The actual grant of equity will occur only if the performance targets are achieved. The remaining 50% of the total potential payout under the 2021-2023 LTIP represents time-based awards, which were granted 75% cash and 25% in stock options. The above table reflects the cash award and the stock options that were granted on March 8, 2021. The cash award and the stock options vest in four equal tranches, with the first tranche vesting on April 1, 2022 and the remaining tranches vesting on April 1, 2023, April 1, 2024 and April 1, 2025. See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Components and Fiscal 2021 Compensation Decisions - Long-term incentive plans - 2021-2023 Performance Period</w:t>
      </w:r>
      <w:r>
        <w:rPr>
          <w:rFonts w:ascii="Times New Roman" w:cs="Times New Roman" w:eastAsia="Times New Roman" w:hAnsi="Times New Roman"/>
          <w:sz w:val="18"/>
          <w:szCs w:val="18"/>
          <w:color w:val="auto"/>
        </w:rPr>
        <w:t>” above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the targets.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5" w:name="page36"/>
    <w:bookmarkEnd w:id="35"/>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r>
        <w:rPr>
          <w:rFonts w:ascii="Times New Roman" w:cs="Times New Roman" w:eastAsia="Times New Roman" w:hAnsi="Times New Roman"/>
          <w:sz w:val="18"/>
          <w:szCs w:val="18"/>
          <w:color w:val="auto"/>
        </w:rPr>
        <w:t>. The following table sets forth certain information with respect to outstanding equity awards held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Named Executive Officers at the end of fiscal 2021.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OUTSTANDING EQUITY AWARDS AT FISCAL YEAR-END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Awards: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Equity</w:t>
            </w:r>
          </w:p>
        </w:tc>
        <w:tc>
          <w:tcPr>
            <w:tcW w:w="380" w:type="dxa"/>
            <w:vAlign w:val="bottom"/>
          </w:tcPr>
          <w:p>
            <w:pPr>
              <w:spacing w:after="0"/>
              <w:rPr>
                <w:sz w:val="12"/>
                <w:szCs w:val="12"/>
                <w:color w:val="auto"/>
              </w:rPr>
            </w:pP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Market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3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3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Value of</w:t>
            </w: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 Shares,</w:t>
            </w:r>
          </w:p>
        </w:tc>
        <w:tc>
          <w:tcPr>
            <w:tcW w:w="3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30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22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That</w:t>
            </w: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Rights That</w:t>
            </w:r>
          </w:p>
        </w:tc>
        <w:tc>
          <w:tcPr>
            <w:tcW w:w="3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30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Have</w:t>
            </w:r>
          </w:p>
        </w:tc>
        <w:tc>
          <w:tcPr>
            <w:tcW w:w="1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3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3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4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3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24"/>
                <w:szCs w:val="2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22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Harvey S. Kanter</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720,000</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576,000</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1340" w:type="dxa"/>
            <w:vAlign w:val="bottom"/>
            <w:gridSpan w:val="2"/>
            <w:vMerge w:val="continue"/>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144,000</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137,006</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109,605</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9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6/10/2030</w:t>
            </w:r>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884,080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6/11/2030</w:t>
            </w:r>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Peter H. Stratton, Jr.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w:t>
            </w: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90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3/16/2021</w:t>
            </w:r>
          </w:p>
        </w:tc>
        <w:tc>
          <w:tcPr>
            <w:tcW w:w="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33,816</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3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90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195,636</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6/11/2030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23,672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 $</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18,938</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30,317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24,254</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8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Ujjwal Dhoot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148,584</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vMerge w:val="restart"/>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gridSpan w:val="2"/>
            <w:vMerge w:val="restart"/>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6/11/2030</w:t>
            </w:r>
          </w:p>
        </w:tc>
        <w:tc>
          <w:tcPr>
            <w:tcW w:w="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080" w:type="dxa"/>
            <w:vAlign w:val="bottom"/>
            <w:gridSpan w:val="2"/>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20,315</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 $</w:t>
            </w: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16,252</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21,523</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17,218</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S. Molloy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13,955</w:t>
            </w:r>
          </w:p>
        </w:tc>
        <w:tc>
          <w:tcPr>
            <w:tcW w:w="1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3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90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3/16/2021</w:t>
            </w:r>
          </w:p>
        </w:tc>
        <w:tc>
          <w:tcPr>
            <w:tcW w:w="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54,951</w:t>
            </w:r>
          </w:p>
        </w:tc>
        <w:tc>
          <w:tcPr>
            <w:tcW w:w="1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3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90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185,731</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6/11/2030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22,474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 $</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17,979</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28,783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23,026</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88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Anthony J. Gaeta</w:t>
            </w:r>
          </w:p>
        </w:tc>
        <w:tc>
          <w:tcPr>
            <w:tcW w:w="8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18,719</w:t>
            </w:r>
          </w:p>
        </w:tc>
        <w:tc>
          <w:tcPr>
            <w:tcW w:w="1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6"/>
                <w:szCs w:val="16"/>
                <w:color w:val="auto"/>
              </w:rPr>
            </w:pPr>
          </w:p>
        </w:tc>
        <w:tc>
          <w:tcPr>
            <w:tcW w:w="380" w:type="dxa"/>
            <w:vAlign w:val="bottom"/>
            <w:vMerge w:val="restart"/>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900" w:type="dxa"/>
            <w:vAlign w:val="bottom"/>
            <w:gridSpan w:val="2"/>
            <w:vMerge w:val="restart"/>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5/28/2023</w:t>
            </w:r>
          </w:p>
        </w:tc>
        <w:tc>
          <w:tcPr>
            <w:tcW w:w="60" w:type="dxa"/>
            <w:vAlign w:val="bottom"/>
            <w:shd w:val="clear" w:color="auto" w:fill="CFF0FC"/>
          </w:tcPr>
          <w:p>
            <w:pPr>
              <w:spacing w:after="0"/>
              <w:rPr>
                <w:sz w:val="16"/>
                <w:szCs w:val="16"/>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6"/>
                <w:szCs w:val="16"/>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300" w:type="dxa"/>
            <w:vAlign w:val="bottom"/>
            <w:vMerge w:val="continue"/>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80" w:type="dxa"/>
            <w:vAlign w:val="bottom"/>
            <w:vMerge w:val="continue"/>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146,108</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90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6/11/2030</w:t>
            </w:r>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17,080</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 $</w:t>
            </w: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13,664</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22,642</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 $</w:t>
            </w:r>
          </w:p>
        </w:tc>
        <w:tc>
          <w:tcPr>
            <w:tcW w:w="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18,114</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-6706870</wp:posOffset>
            </wp:positionV>
            <wp:extent cx="3154680" cy="15811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54680" cy="1581150"/>
                    </a:xfrm>
                    <a:prstGeom prst="rect">
                      <a:avLst/>
                    </a:prstGeom>
                    <a:noFill/>
                  </pic:spPr>
                </pic:pic>
              </a:graphicData>
            </a:graphic>
          </wp:anchor>
        </w:drawing>
      </w:r>
    </w:p>
    <w:p>
      <w:pPr>
        <w:spacing w:after="0" w:line="70"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shares was calculated using the closing price of our common stock of $4.33 on January 28, 2022.</w:t>
      </w:r>
    </w:p>
    <w:p>
      <w:pPr>
        <w:spacing w:after="0" w:line="103"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sign-on awards granted to Mr. Kanter in fiscal 2019. The original awards consisted of a grant of 240,000 RSUs that are vesting ratably over four years, with the remaining two tranches vesting on April 1, 2023 and April 1, 2024 and a grant of 720,000 PSUs that vest in installments when the following milestones are met: one-third of the PSUs vest when the trailing 90-day volume-weighted average closing stock price (“VWAP”) is $4.00, one-third of the PSUs vest when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 w:name="page37"/>
    <w:bookmarkEnd w:id="36"/>
    <w:p>
      <w:pPr>
        <w:ind w:left="760" w:right="340"/>
        <w:spacing w:after="0" w:line="282" w:lineRule="auto"/>
        <w:rPr>
          <w:sz w:val="20"/>
          <w:szCs w:val="20"/>
          <w:color w:val="auto"/>
        </w:rPr>
      </w:pPr>
      <w:r>
        <w:rPr>
          <w:rFonts w:ascii="Times New Roman" w:cs="Times New Roman" w:eastAsia="Times New Roman" w:hAnsi="Times New Roman"/>
          <w:sz w:val="18"/>
          <w:szCs w:val="18"/>
          <w:color w:val="auto"/>
        </w:rPr>
        <w:t>the VWAP is $6.00 and one-third when the VWAP is $8.00. The first two tranches of the PSUs vested in fiscal 2021. The remaining 240,000 PSUs will expire on April 1, 2023 if the $8.00 VWAP is not achieved.</w:t>
      </w:r>
    </w:p>
    <w:p>
      <w:pPr>
        <w:spacing w:after="0" w:line="40" w:lineRule="exact"/>
        <w:rPr>
          <w:sz w:val="20"/>
          <w:szCs w:val="20"/>
          <w:color w:val="auto"/>
        </w:rPr>
      </w:pPr>
    </w:p>
    <w:p>
      <w:pPr>
        <w:ind w:left="760" w:right="18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August 7, 2019 in connection with our 2019-2021 LTIP. These awards vest in two remaining tranches on April 1, 2022 and April 1, 2023.</w:t>
      </w:r>
    </w:p>
    <w:p>
      <w:pPr>
        <w:spacing w:after="0" w:line="67" w:lineRule="exact"/>
        <w:rPr>
          <w:rFonts w:ascii="Times New Roman" w:cs="Times New Roman" w:eastAsia="Times New Roman" w:hAnsi="Times New Roman"/>
          <w:sz w:val="18"/>
          <w:szCs w:val="18"/>
          <w:color w:val="auto"/>
        </w:rPr>
      </w:pPr>
    </w:p>
    <w:p>
      <w:pPr>
        <w:ind w:left="760" w:right="54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represents a discretionary grant of stock options to Mr. Kanter in fiscal 2020 that originally vested in three equal tranches. The remaining two tranches vest on April 1, 2022 and April 1, 2023.</w:t>
      </w:r>
    </w:p>
    <w:p>
      <w:pPr>
        <w:spacing w:after="0" w:line="54"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June 11, 2020 in connection with the time-based portion of our 2020-2022 LTIP. The awards vest in four equal tranches on June 11, 2021, April 1, 2022, April 1, 2023 and April 1, 2024.</w:t>
      </w:r>
    </w:p>
    <w:p>
      <w:pPr>
        <w:spacing w:after="0" w:line="40"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stock options granted on March 8, 2021 in connection with the time-based portion of our 2021-2023 LTIP. The awards vest in four equal tranches on April 1, 2022, April 1, 2023, April 1, 2024 and April 1, 2025.</w:t>
      </w:r>
    </w:p>
    <w:p>
      <w:pPr>
        <w:spacing w:after="0" w:line="54"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a discretionary grant of stock options on March 9, 2021 to Mr. Kanter and all the-active members of management who were participants in the 2018-2020 LTIP. The awards vest in three equal tranches on March 9, 2022, March 9, 2023 and March 9, 2024.</w:t>
      </w:r>
    </w:p>
    <w:p>
      <w:pPr>
        <w:spacing w:after="0" w:line="40" w:lineRule="exact"/>
        <w:rPr>
          <w:rFonts w:ascii="Times New Roman" w:cs="Times New Roman" w:eastAsia="Times New Roman" w:hAnsi="Times New Roman"/>
          <w:sz w:val="18"/>
          <w:szCs w:val="18"/>
          <w:color w:val="auto"/>
        </w:rPr>
      </w:pPr>
    </w:p>
    <w:p>
      <w:pPr>
        <w:ind w:left="760" w:right="1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represent the unvested portion of RSUs granted on October 24, 2018 in connection with our 2018-2020 LTIP, except with respect to Mr. Dhoot for which awards were granted on December 16, 2019. The remaining awards vested on April 1, 2022.</w:t>
      </w:r>
    </w:p>
    <w:p>
      <w:pPr>
        <w:spacing w:after="0" w:line="15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Option Exercises and Stock Vested Table. </w:t>
      </w:r>
      <w:r>
        <w:rPr>
          <w:rFonts w:ascii="Times New Roman" w:cs="Times New Roman" w:eastAsia="Times New Roman" w:hAnsi="Times New Roman"/>
          <w:sz w:val="18"/>
          <w:szCs w:val="18"/>
          <w:color w:val="auto"/>
        </w:rPr>
        <w:t>The following table sets forth information for the Named Executive Officers with respect to the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awards and the vesting of stock awards during fiscal 2021.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758"/>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60" w:type="dxa"/>
            <w:vAlign w:val="bottom"/>
          </w:tcPr>
          <w:p>
            <w:pPr>
              <w:spacing w:after="0"/>
              <w:rPr>
                <w:sz w:val="17"/>
                <w:szCs w:val="17"/>
                <w:color w:val="auto"/>
              </w:rPr>
            </w:pPr>
          </w:p>
        </w:tc>
        <w:tc>
          <w:tcPr>
            <w:tcW w:w="252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26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9"/>
              </w:rPr>
              <w:t>Acquired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26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Vested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rPr>
              <w:t>on Vesting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($)(1)</w:t>
            </w:r>
          </w:p>
        </w:tc>
        <w:tc>
          <w:tcPr>
            <w:tcW w:w="1400" w:type="dxa"/>
            <w:vAlign w:val="bottom"/>
            <w:gridSpan w:val="2"/>
          </w:tcPr>
          <w:p>
            <w:pPr>
              <w:jc w:val="center"/>
              <w:ind w:left="175"/>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rPr>
              <w:t>($)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Harvey S. Kanter</w:t>
            </w:r>
          </w:p>
        </w:tc>
        <w:tc>
          <w:tcPr>
            <w:tcW w:w="14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371,020</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1,979,588</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585,669</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H. Stratton, Jr.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Ujjwal Dhoot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S. Molloy</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Anthony J. Gaeta</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-1092200</wp:posOffset>
            </wp:positionV>
            <wp:extent cx="102235" cy="419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235" cy="41973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-1092200</wp:posOffset>
            </wp:positionV>
            <wp:extent cx="93980" cy="419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-1092200</wp:posOffset>
            </wp:positionV>
            <wp:extent cx="93980" cy="419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41973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-1092200</wp:posOffset>
            </wp:positionV>
            <wp:extent cx="93980" cy="419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419735"/>
                    </a:xfrm>
                    <a:prstGeom prst="rect">
                      <a:avLst/>
                    </a:prstGeom>
                    <a:noFill/>
                  </pic:spPr>
                </pic:pic>
              </a:graphicData>
            </a:graphic>
          </wp:anchor>
        </w:drawing>
      </w:r>
    </w:p>
    <w:p>
      <w:pPr>
        <w:spacing w:after="0" w:line="286" w:lineRule="exact"/>
        <w:rPr>
          <w:sz w:val="20"/>
          <w:szCs w:val="20"/>
          <w:color w:val="auto"/>
        </w:rPr>
      </w:pPr>
    </w:p>
    <w:p>
      <w:pPr>
        <w:ind w:left="480" w:right="240" w:hanging="427"/>
        <w:spacing w:after="0" w:line="250"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82" w:lineRule="exact"/>
        <w:rPr>
          <w:rFonts w:ascii="Times New Roman" w:cs="Times New Roman" w:eastAsia="Times New Roman" w:hAnsi="Times New Roman"/>
          <w:sz w:val="18"/>
          <w:szCs w:val="18"/>
          <w:color w:val="auto"/>
        </w:rPr>
      </w:pPr>
    </w:p>
    <w:p>
      <w:pPr>
        <w:jc w:val="both"/>
        <w:ind w:left="480" w:right="80" w:hanging="427"/>
        <w:spacing w:after="0" w:line="250" w:lineRule="auto"/>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awards that vested during fiscal 2021 include the time-based awards granted under the 2018-2020 LTIP and 2019-2021 LTIP. The number of shares vested for Mr. Kanter also includes shares that vested pursuant to sign-on awards, including 480,000 performance stock units which vested during fiscal 2021 as a result of the Company's VWAP achieving $4.00 and $6.00 per share.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was a participant in any pension plan and, therefore, none has accumulated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do not offer to our executive officers or employees any defined contribution or similar plan that provides for the deferral of compensation on a basis that is not tax-qualified. We offer a 401(k) savings plan to all of our employees eligible to participate, as further described below.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table.</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fiscal 2018, the Board ratified and approved the recommendation of the Company’s management team to suspend employer contributions to the 401(k) Plan, for the period from July 1, 2018 until December 31, 2019 and resumed its QACA status for the 2020 plan year. For the 2021 plan year, the Company suspended its QACA safe harbor and, while not required, the Company made a discretionary employer match for 2021. The Company has resumed its QACA safe harbor status for fiscal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 Related Party Transactions in Fiscal 2021. </w:t>
      </w:r>
      <w:r>
        <w:rPr>
          <w:rFonts w:ascii="Times New Roman" w:cs="Times New Roman" w:eastAsia="Times New Roman" w:hAnsi="Times New Roman"/>
          <w:sz w:val="18"/>
          <w:szCs w:val="18"/>
          <w:color w:val="auto"/>
        </w:rPr>
        <w:t>Since February 1, 2021, we have not had any relationships or transactions with any of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beneficial owners of more than 5% of our common stock or any immediate family member of such persons that were required to be reported pursuant to Item 404(a) of Regulation S-K.</w:t>
      </w:r>
    </w:p>
    <w:p>
      <w:pPr>
        <w:spacing w:after="0" w:line="5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Review, Approval or Ratification of Transactions with Related Persons</w:t>
      </w:r>
      <w:r>
        <w:rPr>
          <w:rFonts w:ascii="Times New Roman" w:cs="Times New Roman" w:eastAsia="Times New Roman" w:hAnsi="Times New Roman"/>
          <w:sz w:val="18"/>
          <w:szCs w:val="18"/>
          <w:color w:val="auto"/>
        </w:rPr>
        <w:t>. Pursuant to its charter, the Audit Committee reviews all related-party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ongoing basis and, to the extent required by the Sarbanes−Oxley Act of 2002, the SEC or Nasdaq, all such transactions must be approved by the Audit Committee except as otherwise delegated by the Audit Committee to another independent body of the Board.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2021, we believe that the Reporting Persons complied with all applicable Section 16(a) reporting requirements and that all required reports were filed in a timely manner.</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of this Proxy Statement, including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section, provides a summary of our financial performance in fiscal 2021 and describes our executive compensation programs and the decisions made by the Compensation Committee with respect to compensation for fiscal 2021. We encourage you to read our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for a complete discussion of our executive compensation program, including detailed information about the fiscal 2021 compensation of our Named Executive Officers.</w:t>
      </w:r>
    </w:p>
    <w:p>
      <w:pPr>
        <w:spacing w:after="0" w:line="17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8"/>
          <w:szCs w:val="18"/>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6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compensation of our Named Executive Officers as disclosed in this Proxy Statement.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70"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Subject to ratification by our stockholders, the Audit Committee has appointed KPMG LLP (“KPMG”) as our independent registered public accounting firm for the fiscal year ending January 28, 2023, subject to completion of KPMG’s customary client acceptance procedures. KPMG has served as our independent registered public accounting firm since June 6, 2013.</w:t>
      </w:r>
    </w:p>
    <w:p>
      <w:pPr>
        <w:spacing w:after="0" w:line="16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Representatives of KPMG are expected to be present at the annual meeting to respond to appropriate stockholders' questions and to make any statements they consider appropriate.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fees accrued or paid to the Company’s independent registered accounting firm for the fiscal years ended January 29, 2022 (“fiscal 2021”) and January 30, 2021 (“fiscal 2020”):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Fiscal 2021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Fiscal 2020</w:t>
            </w:r>
          </w:p>
        </w:tc>
      </w:tr>
      <w:tr>
        <w:trPr>
          <w:trHeight w:val="209"/>
        </w:trPr>
        <w:tc>
          <w:tcPr>
            <w:tcW w:w="77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1,060,500</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730,000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 (2)</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1,162,280</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-736600</wp:posOffset>
            </wp:positionV>
            <wp:extent cx="685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680" w:right="200" w:hanging="372"/>
        <w:spacing w:after="0" w:line="244"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 Fees related to professional services rendered in connection with the audits of our financial statements included in our Annual Reports on Form 10-K for fiscal 2021 and fiscal 2020, services performed related to compliance with Section 404 of the Sarbanes-Oxley Act of 2002 for fiscal 2021, reviews of the financial statements included in each of our Quarterly Reports on Form 10-Q for fiscal 2021 and fiscal 2020, and </w:t>
      </w:r>
      <w:r>
        <w:rPr>
          <w:rFonts w:ascii="Times New Roman" w:cs="Times New Roman" w:eastAsia="Times New Roman" w:hAnsi="Times New Roman"/>
          <w:sz w:val="18"/>
          <w:szCs w:val="18"/>
          <w:color w:val="212121"/>
        </w:rPr>
        <w:t xml:space="preserve">services normally provided by the independent auditor in connection with statutory and regulatory filings </w:t>
      </w:r>
      <w:r>
        <w:rPr>
          <w:rFonts w:ascii="Times New Roman" w:cs="Times New Roman" w:eastAsia="Times New Roman" w:hAnsi="Times New Roman"/>
          <w:sz w:val="18"/>
          <w:szCs w:val="18"/>
          <w:color w:val="252525"/>
        </w:rPr>
        <w:t>in both fiscal years.</w:t>
      </w:r>
    </w:p>
    <w:p>
      <w:pPr>
        <w:ind w:left="680" w:hanging="372"/>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professional services rendered in connection with income tax return preparation and compliance services.</w:t>
      </w:r>
    </w:p>
    <w:p>
      <w:pPr>
        <w:spacing w:after="0" w:line="22"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related to an annual fee for access to an online accounting research tool.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Services by Independent Auditors</w:t>
      </w:r>
    </w:p>
    <w:p>
      <w:pPr>
        <w:spacing w:after="0" w:line="22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 The policy provides that any proposed engagement that does not fit within the definition of a pre-approved service or is not within the fee limits must be presented to the Audit Committee for consideration at its next regular meeting or to the Chair of the Audit Committee in time sensitive cases. The Audit Committee will regularly review summary reports detailing all services (and related fees and expenses) being provided to us by the independent registered public accounting firm.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services provided in fiscal 2021 and fiscal 2020 under Audit Fees, Tax Fees and All Other Fees were pre-approved by the Audit Committee.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Needed for Approval</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January 28,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0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28, 2023.</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January 29, 2022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8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January 29, 2022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(PCAOB)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8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matters required to be discussed by PCAOB Auditing Standard No. 1301, </w:t>
      </w:r>
      <w:r>
        <w:rPr>
          <w:rFonts w:ascii="Times New Roman" w:cs="Times New Roman" w:eastAsia="Times New Roman" w:hAnsi="Times New Roman"/>
          <w:sz w:val="18"/>
          <w:szCs w:val="18"/>
          <w:i w:val="1"/>
          <w:iCs w:val="1"/>
          <w:color w:val="auto"/>
        </w:rPr>
        <w:t>Communications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and the overall quality of our financial reporting. The Audit Committee held six meetings during the fiscal year ended January 29, 2022.</w:t>
      </w:r>
    </w:p>
    <w:p>
      <w:pPr>
        <w:spacing w:after="0" w:line="19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(and the Board approved) that the audited consolidated financial statements be included in the Annual Report on Form 10-K for the fiscal year ended January 29, 2022 for filing with the SEC.</w:t>
      </w:r>
    </w:p>
    <w:p>
      <w:pPr>
        <w:spacing w:after="0" w:line="16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Pursuant to Section 404 of the Sarbanes-Oxley Act, management was required to prepare as part of our Annual Report on Form 10-K for the year ended January 29, 2022 a report on its assessment of our internal control over financial reporting, including management’s assessment of the effectiveness of such internal controls. KPMG LLP issued an audit report relative to our internal control over financial reporting at January 29, 2022. During the course of the fiscal year ended January 29, 2022,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were included as part of our Annual Report on Form 10-K for the year ended January 29, 2022.</w:t>
      </w:r>
    </w:p>
    <w:p>
      <w:pPr>
        <w:spacing w:after="0" w:line="20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 xml:space="preserve">The Audit Committee is governed by a written charter, which can be found under “Corporate Governance – Charters &amp; Policies” on the Investor Relations page of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The members of the Audit Committee are considered independent because they satisfy the independence requirements for Board members prescribed by Nasdaq listing standards and Rule 10A-3 of the Exchange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Lionel F. Conacher, Chairman of the Audit Committee</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Willem Mesdag</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Ivy Ross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21"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persons known to us to be the beneficial owners of more than five percent of the issued and outstanding shares of our common stock as of June 13, 2022. We were informed that, except as indicated, each person has sole voting and investment power with respect to all shares of our common stock shown as beneficially owned by such person, subject to community property laws where applicable.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14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480" w:type="dxa"/>
            <w:vAlign w:val="bottom"/>
          </w:tcPr>
          <w:p>
            <w:pPr>
              <w:spacing w:after="0"/>
              <w:rPr>
                <w:sz w:val="16"/>
                <w:szCs w:val="16"/>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Percent of Class</w:t>
            </w:r>
          </w:p>
        </w:tc>
        <w:tc>
          <w:tcPr>
            <w:tcW w:w="0" w:type="dxa"/>
            <w:vAlign w:val="bottom"/>
          </w:tcPr>
          <w:p>
            <w:pPr>
              <w:spacing w:after="0"/>
              <w:rPr>
                <w:sz w:val="1"/>
                <w:szCs w:val="1"/>
                <w:color w:val="auto"/>
              </w:rPr>
            </w:pPr>
          </w:p>
        </w:tc>
      </w:tr>
      <w:tr>
        <w:trPr>
          <w:trHeight w:val="212"/>
        </w:trPr>
        <w:tc>
          <w:tcPr>
            <w:tcW w:w="77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7740" w:type="dxa"/>
            <w:vAlign w:val="bottom"/>
          </w:tcPr>
          <w:p>
            <w:pPr>
              <w:ind w:left="20"/>
              <w:spacing w:after="0" w:line="146" w:lineRule="exact"/>
              <w:rPr>
                <w:sz w:val="20"/>
                <w:szCs w:val="20"/>
                <w:color w:val="auto"/>
              </w:rPr>
            </w:pPr>
            <w:r>
              <w:rPr>
                <w:rFonts w:ascii="Times New Roman" w:cs="Times New Roman" w:eastAsia="Times New Roman" w:hAnsi="Times New Roman"/>
                <w:sz w:val="16"/>
                <w:szCs w:val="16"/>
                <w:color w:val="auto"/>
              </w:rPr>
              <w:t>AWM Investment Company, Inc.</w:t>
            </w:r>
          </w:p>
        </w:tc>
        <w:tc>
          <w:tcPr>
            <w:tcW w:w="140" w:type="dxa"/>
            <w:vAlign w:val="bottom"/>
          </w:tcPr>
          <w:p>
            <w:pPr>
              <w:spacing w:after="0"/>
              <w:rPr>
                <w:sz w:val="12"/>
                <w:szCs w:val="12"/>
                <w:color w:val="auto"/>
              </w:rPr>
            </w:pPr>
          </w:p>
        </w:tc>
        <w:tc>
          <w:tcPr>
            <w:tcW w:w="1520" w:type="dxa"/>
            <w:vAlign w:val="bottom"/>
          </w:tcPr>
          <w:p>
            <w:pPr>
              <w:jc w:val="right"/>
              <w:spacing w:after="0" w:line="146" w:lineRule="exact"/>
              <w:rPr>
                <w:sz w:val="20"/>
                <w:szCs w:val="20"/>
                <w:color w:val="auto"/>
              </w:rPr>
            </w:pPr>
            <w:r>
              <w:rPr>
                <w:rFonts w:ascii="Times New Roman" w:cs="Times New Roman" w:eastAsia="Times New Roman" w:hAnsi="Times New Roman"/>
                <w:sz w:val="16"/>
                <w:szCs w:val="16"/>
                <w:color w:val="auto"/>
              </w:rPr>
              <w:t>10,970,434</w:t>
            </w:r>
          </w:p>
        </w:tc>
        <w:tc>
          <w:tcPr>
            <w:tcW w:w="480" w:type="dxa"/>
            <w:vAlign w:val="bottom"/>
          </w:tcPr>
          <w:p>
            <w:pPr>
              <w:jc w:val="right"/>
              <w:ind w:right="99"/>
              <w:spacing w:after="0" w:line="146" w:lineRule="exact"/>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spacing w:after="0" w:line="146" w:lineRule="exact"/>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jc w:val="right"/>
              <w:spacing w:after="0" w:line="146"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 Special Situations Funds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527 Madison Avenue, Suite 2600</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New York 10022</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7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Seymour Holtzman</w:t>
            </w:r>
          </w:p>
        </w:tc>
        <w:tc>
          <w:tcPr>
            <w:tcW w:w="166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4,469,018</w:t>
            </w:r>
          </w:p>
        </w:tc>
        <w:tc>
          <w:tcPr>
            <w:tcW w:w="480" w:type="dxa"/>
            <w:vAlign w:val="bottom"/>
          </w:tcPr>
          <w:p>
            <w:pPr>
              <w:jc w:val="right"/>
              <w:ind w:right="99"/>
              <w:spacing w:after="0" w:line="148" w:lineRule="exact"/>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19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 N Wilkes Barre Blvd.</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-662305</wp:posOffset>
            </wp:positionV>
            <wp:extent cx="7132320" cy="445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Wilkes Barre, PA 18702</w:t>
      </w:r>
    </w:p>
    <w:p>
      <w:pPr>
        <w:spacing w:after="0" w:line="212" w:lineRule="exact"/>
        <w:rPr>
          <w:sz w:val="20"/>
          <w:szCs w:val="20"/>
          <w:color w:val="auto"/>
        </w:rPr>
      </w:pPr>
    </w:p>
    <w:p>
      <w:pPr>
        <w:ind w:left="760" w:right="100" w:hanging="378"/>
        <w:spacing w:after="0" w:line="264" w:lineRule="auto"/>
        <w:tabs>
          <w:tab w:leader="none" w:pos="7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62,643,335 shares of our common stock outstanding as of June 13, 2022.</w:t>
      </w:r>
    </w:p>
    <w:p>
      <w:pPr>
        <w:spacing w:after="0" w:line="58" w:lineRule="exact"/>
        <w:rPr>
          <w:rFonts w:ascii="Times New Roman" w:cs="Times New Roman" w:eastAsia="Times New Roman" w:hAnsi="Times New Roman"/>
          <w:sz w:val="17"/>
          <w:szCs w:val="17"/>
          <w:color w:val="auto"/>
        </w:rPr>
      </w:pPr>
    </w:p>
    <w:p>
      <w:pPr>
        <w:ind w:left="760" w:right="40" w:hanging="378"/>
        <w:spacing w:after="0" w:line="250"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on April 21, 2022. AWM Investment Company, Inc. is the investment adviser to Special Situations Fund III QP, L.P. (“SSFQP”), Special Situations Cayman Fund, L.P. (“SSCF”) and Special Situations Private Equity Fund, L.P. (“SSPE,” and together with SSFQP and SSCF, “the Funds”). Of the shares reflected in the table, (i) 6,578,108 shares are held directly by SSFQP, (ii) 2,231,647 shares are held directly by SSCF and (iii) 2,160,679 shares are held directly by SSPE. As the investment adviser to the Funds, AWM holds sole voting and investment power over these shares.</w:t>
      </w:r>
    </w:p>
    <w:p>
      <w:pPr>
        <w:spacing w:after="0" w:line="69" w:lineRule="exact"/>
        <w:rPr>
          <w:rFonts w:ascii="Times New Roman" w:cs="Times New Roman" w:eastAsia="Times New Roman" w:hAnsi="Times New Roman"/>
          <w:sz w:val="18"/>
          <w:szCs w:val="18"/>
          <w:color w:val="auto"/>
        </w:rPr>
      </w:pPr>
    </w:p>
    <w:p>
      <w:pPr>
        <w:jc w:val="both"/>
        <w:ind w:left="760" w:right="40" w:hanging="378"/>
        <w:spacing w:after="0" w:line="258"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Amendment No. 62 to Schedule 13D dated August 5, 2021. Of these shares, 339,594 shares are held by Jewelcor Management, Inc. Mr. Holtzman is the chairman, chief executive officer and president and, together with his wife, indirectly, the majority shareholder of Jewelcor Management,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 following table sets forth certain information as of June 13, 2022, with respect to our directors, our Named Executive Officers (as defined above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149"/>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120" w:type="dxa"/>
            <w:vAlign w:val="bottom"/>
          </w:tcPr>
          <w:p>
            <w:pPr>
              <w:spacing w:after="0"/>
              <w:rPr>
                <w:sz w:val="12"/>
                <w:szCs w:val="12"/>
                <w:color w:val="auto"/>
              </w:rPr>
            </w:pPr>
          </w:p>
        </w:tc>
        <w:tc>
          <w:tcPr>
            <w:tcW w:w="146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480" w:type="dxa"/>
            <w:vAlign w:val="bottom"/>
          </w:tcPr>
          <w:p>
            <w:pPr>
              <w:spacing w:after="0"/>
              <w:rPr>
                <w:sz w:val="12"/>
                <w:szCs w:val="12"/>
                <w:color w:val="auto"/>
              </w:rPr>
            </w:pPr>
          </w:p>
        </w:tc>
        <w:tc>
          <w:tcPr>
            <w:tcW w:w="14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6"/>
                <w:szCs w:val="16"/>
                <w:b w:val="1"/>
                <w:bCs w:val="1"/>
                <w:color w:val="auto"/>
              </w:rPr>
              <w:t>Percent of Class</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480" w:type="dxa"/>
            <w:vAlign w:val="bottom"/>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Lionel F. Conacher</w:t>
            </w: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358,069</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Chairman of the Board</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Harvey S. Kanter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804,519</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Peter H. Stratton, Jr.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307,413</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Executive Vice President, Chief Financial Officer and Treasurer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Ujjwal Dhoot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162,765</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Marketing Officer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Robert S. Molloy</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388,886</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Anthony J. Gaeta</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257,659</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Stores Officer</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Jack Boyle, Director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476,315</w:t>
            </w:r>
          </w:p>
        </w:tc>
        <w:tc>
          <w:tcPr>
            <w:tcW w:w="4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Carmen R. Bauza, Director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Willem Mesdag, Director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3,000,997</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Ivy Ross, Director</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209,395</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Elaine K. Rubin, Director</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54,610</w:t>
            </w:r>
          </w:p>
        </w:tc>
        <w:tc>
          <w:tcPr>
            <w:tcW w:w="4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Directors and executive officers as a group (15 persons)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6,806,159</w:t>
            </w:r>
          </w:p>
        </w:tc>
        <w:tc>
          <w:tcPr>
            <w:tcW w:w="4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-2061845</wp:posOffset>
            </wp:positionV>
            <wp:extent cx="71323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w:t>
      </w:r>
    </w:p>
    <w:p>
      <w:pPr>
        <w:spacing w:after="0" w:line="36" w:lineRule="exact"/>
        <w:rPr>
          <w:sz w:val="20"/>
          <w:szCs w:val="20"/>
          <w:color w:val="auto"/>
        </w:rPr>
      </w:pPr>
    </w:p>
    <w:p>
      <w:pPr>
        <w:ind w:left="380" w:right="180" w:hanging="372"/>
        <w:spacing w:after="0" w:line="24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62,643,335 shares of our common stock outstanding as of June 13, 2022.</w:t>
      </w:r>
    </w:p>
    <w:p>
      <w:pPr>
        <w:spacing w:after="0" w:line="2" w:lineRule="exact"/>
        <w:rPr>
          <w:rFonts w:ascii="Times New Roman" w:cs="Times New Roman" w:eastAsia="Times New Roman" w:hAnsi="Times New Roman"/>
          <w:sz w:val="18"/>
          <w:szCs w:val="18"/>
          <w:color w:val="auto"/>
        </w:rPr>
      </w:pPr>
    </w:p>
    <w:p>
      <w:pPr>
        <w:ind w:left="380" w:hanging="372"/>
        <w:spacing w:after="0" w:line="234"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w:t>
      </w: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490,432 shares subject to stock options exercisable within 60 days.</w:t>
      </w:r>
    </w:p>
    <w:p>
      <w:pPr>
        <w:spacing w:after="0" w:line="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128,442 shares subject to stock options exercisable within 60 days.</w:t>
      </w:r>
    </w:p>
    <w:p>
      <w:pPr>
        <w:ind w:left="380" w:hanging="372"/>
        <w:spacing w:after="0" w:line="234"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95,856 shares subject to stock options exercisable within 60 days.</w:t>
      </w: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140,257 shares subject to stock options exercisable within 60 days.</w:t>
      </w:r>
    </w:p>
    <w:p>
      <w:pPr>
        <w:spacing w:after="0" w:line="7" w:lineRule="exact"/>
        <w:rPr>
          <w:rFonts w:ascii="Times New Roman" w:cs="Times New Roman" w:eastAsia="Times New Roman" w:hAnsi="Times New Roman"/>
          <w:sz w:val="18"/>
          <w:szCs w:val="18"/>
          <w:color w:val="auto"/>
        </w:rPr>
      </w:pPr>
    </w:p>
    <w:p>
      <w:pPr>
        <w:ind w:left="380" w:hanging="372"/>
        <w:spacing w:after="0" w:line="236"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114,340 shares subject to stock options exercisable within 60 days.</w:t>
      </w:r>
    </w:p>
    <w:p>
      <w:pPr>
        <w:ind w:left="380" w:right="180" w:hanging="372"/>
        <w:spacing w:after="0" w:line="239"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 shares subject to stock options exercisable within 60 days and 435,568 shares of deferred stock receivable upon Mr. Mesdag’s separation from the Board. Mr. Mesdag’s ownership includes (i) 1,763,373 shares held by Red Mountain Capital Partners LLC; (ii) 224,495 shares held by Red Mountain Capital Management Inc., (iii) 420,286 shares held by the Mesdag Family Limited Partnership, (iv) 97,529 shares held by the Mesdag Family Foundation and (v) 44,746 shares held by the 2012 Mesdag Trust, all of which are held by entities controlled by Mr. Mesdag and, by virtue of his direct or indirect control of such entities, he may be deemed to beneficially own all such shares. With the exception of the stock options and deferred stock, the shares reported herein are held in margin account(s). There are currently no margin borrowings on the account(s) and the shares are not otherwise pledged.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1,393,152 shares subject to stock options exercisable within 60 days and 435,568 shares of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-2498090</wp:posOffset>
            </wp:positionV>
            <wp:extent cx="951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0" w:right="29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Access to this information as well as other information on our Company is also available on our website at </w:t>
      </w:r>
      <w:r>
        <w:rPr>
          <w:rFonts w:ascii="Times New Roman" w:cs="Times New Roman" w:eastAsia="Times New Roman" w:hAnsi="Times New Roman"/>
          <w:sz w:val="18"/>
          <w:szCs w:val="18"/>
          <w:i w:val="1"/>
          <w:iCs w:val="1"/>
          <w:color w:val="auto"/>
        </w:rPr>
        <w:t>https://investor.dxl.com.</w:t>
      </w:r>
      <w:r>
        <w:rPr>
          <w:rFonts w:ascii="Times New Roman" w:cs="Times New Roman" w:eastAsia="Times New Roman" w:hAnsi="Times New Roman"/>
          <w:sz w:val="18"/>
          <w:szCs w:val="18"/>
          <w:color w:val="auto"/>
        </w:rPr>
        <w:t xml:space="preserve"> We will furnish without charge to each person whose proxy is being solicited, upon request of any such person, a copy of the Annual Report for the year ended January 29, 2022 as filed with the SEC, including the financial statements and schedules thereto. A request for a copy of such report should be directed to Destination XL Group, Inc., 555 Turnpike Street, Canton, MA 02021, Attention: Investor Relations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1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i w:val="1"/>
          <w:iCs w:val="1"/>
          <w:color w:val="auto"/>
        </w:rPr>
        <w:t>Stockholder proposals for inclusion in our proxy statement</w:t>
      </w:r>
      <w:r>
        <w:rPr>
          <w:rFonts w:ascii="Times New Roman" w:cs="Times New Roman" w:eastAsia="Times New Roman" w:hAnsi="Times New Roman"/>
          <w:sz w:val="18"/>
          <w:szCs w:val="18"/>
          <w:color w:val="auto"/>
        </w:rPr>
        <w:t>: Under the rules of the SEC, in order for any stockholder proposal to be included in 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proxy card for presentation at the 2023 Annual Meeting of Stockholders, the proposal must be received by the Secretary of our Company at our principal executive offices by March 2, 2023 (120 days before the anniversary of the date this Proxy Statement is being mailed to our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stockholder proposals</w:t>
      </w:r>
      <w:r>
        <w:rPr>
          <w:rFonts w:ascii="Times New Roman" w:cs="Times New Roman" w:eastAsia="Times New Roman" w:hAnsi="Times New Roman"/>
          <w:sz w:val="18"/>
          <w:szCs w:val="18"/>
          <w:color w:val="auto"/>
        </w:rPr>
        <w:t>: Our By-Laws provide that for business to be properly brought before an Annual Meeting of Stockholders (or any Special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2023 Annual Meeting, a stockholder must deliver the requisite notice of such item to the Secretary of our Company not before April 6, 2023 or after May 6, 2023.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45" w:name="page46"/>
    <w:bookmarkEnd w:id="45"/>
    <w:p>
      <w:pPr>
        <w:ind w:left="5000"/>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Notice of 2022 Annual Meeting of</w:t>
      </w:r>
    </w:p>
    <w:p>
      <w:pPr>
        <w:ind w:left="5000"/>
        <w:spacing w:after="0" w:line="234" w:lineRule="auto"/>
        <w:rPr>
          <w:sz w:val="20"/>
          <w:szCs w:val="20"/>
          <w:color w:val="auto"/>
        </w:rPr>
      </w:pPr>
      <w:r>
        <w:rPr>
          <w:rFonts w:ascii="Times New Roman" w:cs="Times New Roman" w:eastAsia="Times New Roman" w:hAnsi="Times New Roman"/>
          <w:sz w:val="18"/>
          <w:szCs w:val="18"/>
          <w:b w:val="1"/>
          <w:bCs w:val="1"/>
          <w:color w:val="auto"/>
        </w:rPr>
        <w:t>Stockholders and Proxy Statement</w:t>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Thursday, August 4, 2022</w:t>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11:30 A.M. EDT</w:t>
      </w:r>
    </w:p>
    <w:p>
      <w:pPr>
        <w:spacing w:after="0" w:line="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Canton, Massachusetts 02021</w:t>
      </w:r>
    </w:p>
    <w:p>
      <w:pPr>
        <w:spacing w:after="0" w:line="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Please sign your proxy and</w:t>
      </w:r>
    </w:p>
    <w:p>
      <w:pPr>
        <w:spacing w:after="0" w:line="1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return it in the enclosed</w:t>
      </w:r>
    </w:p>
    <w:p>
      <w:pPr>
        <w:ind w:left="5000"/>
        <w:spacing w:after="0"/>
        <w:rPr>
          <w:sz w:val="20"/>
          <w:szCs w:val="20"/>
          <w:color w:val="auto"/>
        </w:rPr>
      </w:pPr>
      <w:r>
        <w:rPr>
          <w:rFonts w:ascii="Times New Roman" w:cs="Times New Roman" w:eastAsia="Times New Roman" w:hAnsi="Times New Roman"/>
          <w:sz w:val="18"/>
          <w:szCs w:val="18"/>
          <w:b w:val="1"/>
          <w:bCs w:val="1"/>
          <w:color w:val="auto"/>
        </w:rPr>
        <w:t>postage-paid envelope so</w:t>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that you may be represented</w:t>
      </w:r>
    </w:p>
    <w:p>
      <w:pPr>
        <w:ind w:left="5000"/>
        <w:spacing w:after="0"/>
        <w:rPr>
          <w:sz w:val="20"/>
          <w:szCs w:val="20"/>
          <w:color w:val="auto"/>
        </w:rPr>
      </w:pPr>
      <w:r>
        <w:rPr>
          <w:rFonts w:ascii="Times New Roman" w:cs="Times New Roman" w:eastAsia="Times New Roman" w:hAnsi="Times New Roman"/>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454660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46" w:name="page47"/>
    <w:bookmarkEnd w:id="46"/>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10"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DESTINATION XL GROUP, INC.</w:t>
      </w:r>
    </w:p>
    <w:p>
      <w:pPr>
        <w:ind w:left="4620"/>
        <w:spacing w:after="0"/>
        <w:rPr>
          <w:sz w:val="20"/>
          <w:szCs w:val="20"/>
          <w:color w:val="auto"/>
        </w:rPr>
      </w:pPr>
      <w:r>
        <w:rPr>
          <w:rFonts w:ascii="Times New Roman" w:cs="Times New Roman" w:eastAsia="Times New Roman" w:hAnsi="Times New Roman"/>
          <w:sz w:val="18"/>
          <w:szCs w:val="18"/>
          <w:b w:val="1"/>
          <w:bCs w:val="1"/>
          <w:color w:val="auto"/>
        </w:rPr>
        <w:t>August 4, 2022</w:t>
      </w:r>
    </w:p>
    <w:p>
      <w:pPr>
        <w:spacing w:after="0" w:line="19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1"/>
          <w:szCs w:val="11"/>
          <w:b w:val="1"/>
          <w:bCs w:val="1"/>
          <w:color w:val="auto"/>
        </w:rPr>
        <w:t>GO GREEN</w:t>
      </w:r>
    </w:p>
    <w:p>
      <w:pPr>
        <w:spacing w:after="0" w:line="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1"/>
          <w:szCs w:val="11"/>
          <w:color w:val="auto"/>
        </w:rPr>
        <w:t>e-consent makes it easy to go paperless. With e-consent, you can quickly access your proxy material, statements and other eligible documents online, while</w:t>
      </w:r>
    </w:p>
    <w:p>
      <w:pPr>
        <w:jc w:val="center"/>
        <w:ind w:right="-619"/>
        <w:spacing w:after="0"/>
        <w:rPr>
          <w:sz w:val="20"/>
          <w:szCs w:val="20"/>
          <w:color w:val="auto"/>
        </w:rPr>
      </w:pPr>
      <w:r>
        <w:rPr>
          <w:rFonts w:ascii="Times New Roman" w:cs="Times New Roman" w:eastAsia="Times New Roman" w:hAnsi="Times New Roman"/>
          <w:sz w:val="11"/>
          <w:szCs w:val="11"/>
          <w:color w:val="auto"/>
        </w:rPr>
        <w:t>reducing costs, clutter and paper waste. Enroll today via www.astfinancial.com to enjoy online access.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Important Notice Regarding Internet Availability of Proxy Materials for the Annual Meeting of Stockholders to be Held on August 4, 2022</w:t>
      </w:r>
      <w:r>
        <w:rPr>
          <w:rFonts w:ascii="Times New Roman" w:cs="Times New Roman" w:eastAsia="Times New Roman" w:hAnsi="Times New Roman"/>
          <w:sz w:val="16"/>
          <w:szCs w:val="16"/>
          <w:color w:val="auto"/>
        </w:rPr>
        <w:t>:</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Proxy Statement and 2022 Annual Report to Stockholders are available at https://investor.dxl.com/financial-information/annual-reports</w:t>
      </w:r>
    </w:p>
    <w:p>
      <w:pPr>
        <w:spacing w:after="0" w:line="194"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color w:val="auto"/>
        </w:rPr>
        <w:t>PLEASE SIGN, DATE AND MAIL</w:t>
      </w:r>
    </w:p>
    <w:p>
      <w:pPr>
        <w:spacing w:after="0" w:line="1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color w:val="auto"/>
        </w:rPr>
        <w:t>YOUR PROXY CARD IN THE ENVELOPE</w:t>
      </w:r>
    </w:p>
    <w:p>
      <w:pPr>
        <w:spacing w:after="0" w:line="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4"/>
          <w:szCs w:val="14"/>
          <w:color w:val="auto"/>
        </w:rPr>
        <w:t>PROVIDED AS SOON AS POSSIBLE.</w:t>
      </w:r>
    </w:p>
    <w:p>
      <w:pPr>
        <w:spacing w:after="0" w:line="21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1"/>
          <w:szCs w:val="11"/>
          <w:color w:val="auto"/>
        </w:rPr>
        <w:t>Please detach along perforated line and mail in the envelope provided</w:t>
      </w:r>
      <w:r>
        <w:rPr>
          <w:rFonts w:ascii="Times New Roman" w:cs="Times New Roman" w:eastAsia="Times New Roman" w:hAnsi="Times New Roman"/>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271145</wp:posOffset>
            </wp:positionV>
            <wp:extent cx="713232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DIRECTORS,</w:t>
      </w:r>
    </w:p>
    <w:p>
      <w:pPr>
        <w:spacing w:after="0" w:line="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AND “FOR” PROPOSALS 2 and 3.</w:t>
      </w:r>
    </w:p>
    <w:p>
      <w:pPr>
        <w:ind w:left="620"/>
        <w:spacing w:after="0"/>
        <w:rPr>
          <w:sz w:val="20"/>
          <w:szCs w:val="20"/>
          <w:color w:val="auto"/>
        </w:rPr>
      </w:pPr>
      <w:r>
        <w:rPr>
          <w:rFonts w:ascii="Times New Roman" w:cs="Times New Roman" w:eastAsia="Times New Roman" w:hAnsi="Times New Roman"/>
          <w:sz w:val="12"/>
          <w:szCs w:val="12"/>
          <w:b w:val="1"/>
          <w:bCs w:val="1"/>
          <w:color w:val="auto"/>
        </w:rPr>
        <w:t>PLEASE SIGN, DATE AND RETURN PROMPTLY IN THE ENCLOSED ENVELOPE. PLEASE MARK YOUR VOTE IN BLUE OR BLACK INK AS SHOWN HERE</w:t>
      </w:r>
    </w:p>
    <w:p>
      <w:pPr>
        <w:sectPr>
          <w:pgSz w:w="11900" w:h="16838" w:orient="portrait"/>
          <w:cols w:equalWidth="0" w:num="1">
            <w:col w:w="9760"/>
          </w:cols>
          <w:pgMar w:left="760" w:top="536" w:right="1379" w:bottom="1440" w:gutter="0" w:footer="0" w:header="0"/>
        </w:sectPr>
      </w:pPr>
    </w:p>
    <w:p>
      <w:pPr>
        <w:spacing w:after="0" w:line="184" w:lineRule="auto"/>
        <w:tabs>
          <w:tab w:leader="none" w:pos="1600" w:val="left"/>
        </w:tabs>
        <w:rPr>
          <w:sz w:val="20"/>
          <w:szCs w:val="20"/>
          <w:color w:val="auto"/>
        </w:rPr>
      </w:pPr>
      <w:r>
        <w:rPr>
          <w:rFonts w:ascii="Times New Roman" w:cs="Times New Roman" w:eastAsia="Times New Roman" w:hAnsi="Times New Roman"/>
          <w:sz w:val="34"/>
          <w:szCs w:val="34"/>
          <w:color w:val="auto"/>
          <w:vertAlign w:val="subscript"/>
        </w:rPr>
        <w:t>1.</w:t>
      </w:r>
      <w:r>
        <w:rPr>
          <w:sz w:val="20"/>
          <w:szCs w:val="20"/>
          <w:color w:val="auto"/>
        </w:rPr>
        <w:tab/>
      </w:r>
      <w:r>
        <w:rPr>
          <w:rFonts w:ascii="Times New Roman" w:cs="Times New Roman" w:eastAsia="Times New Roman" w:hAnsi="Times New Roman"/>
          <w:sz w:val="14"/>
          <w:szCs w:val="14"/>
          <w:b w:val="1"/>
          <w:bCs w:val="1"/>
          <w:color w:val="auto"/>
        </w:rPr>
        <w:t xml:space="preserve">Election of Directors. </w:t>
      </w:r>
      <w:r>
        <w:rPr>
          <w:rFonts w:ascii="Times New Roman" w:cs="Times New Roman" w:eastAsia="Times New Roman" w:hAnsi="Times New Roman"/>
          <w:sz w:val="14"/>
          <w:szCs w:val="14"/>
          <w:color w:val="auto"/>
        </w:rPr>
        <w:t>THE BOARD OF</w:t>
      </w:r>
    </w:p>
    <w:p>
      <w:pPr>
        <w:spacing w:after="0" w:line="235" w:lineRule="exact"/>
        <w:rPr>
          <w:sz w:val="20"/>
          <w:szCs w:val="20"/>
          <w:color w:val="auto"/>
        </w:rPr>
      </w:pPr>
    </w:p>
    <w:p>
      <w:pPr>
        <w:ind w:left="1620" w:right="200"/>
        <w:spacing w:after="0" w:line="233" w:lineRule="auto"/>
        <w:rPr>
          <w:sz w:val="20"/>
          <w:szCs w:val="20"/>
          <w:color w:val="auto"/>
        </w:rPr>
      </w:pPr>
      <w:r>
        <w:rPr>
          <w:rFonts w:ascii="Times New Roman" w:cs="Times New Roman" w:eastAsia="Times New Roman" w:hAnsi="Times New Roman"/>
          <w:sz w:val="14"/>
          <w:szCs w:val="14"/>
          <w:color w:val="auto"/>
        </w:rPr>
        <w:t>DIRECTORS RECOMMENDS A VOTE “FOR” EACH OF THE NOMINEES NAMED BELOW.</w:t>
      </w:r>
    </w:p>
    <w:p>
      <w:pPr>
        <w:spacing w:after="0" w:line="200" w:lineRule="exact"/>
        <w:rPr>
          <w:sz w:val="20"/>
          <w:szCs w:val="20"/>
          <w:color w:val="auto"/>
        </w:rPr>
      </w:pPr>
    </w:p>
    <w:p>
      <w:pPr>
        <w:spacing w:after="0" w:line="2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Harvey S. Kanter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Carmen R. Bauza</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Jack Boyle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Lionel F. Conacher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Willem Mesdag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Ivy Ross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Elaine K. Rubin</w:t>
      </w:r>
    </w:p>
    <w:p>
      <w:pPr>
        <w:spacing w:after="0" w:line="30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36"/>
          <w:szCs w:val="36"/>
          <w:color w:val="auto"/>
          <w:vertAlign w:val="subscript"/>
        </w:rPr>
        <w:t>2.</w:t>
      </w:r>
      <w:r>
        <w:rPr>
          <w:sz w:val="20"/>
          <w:szCs w:val="20"/>
          <w:color w:val="auto"/>
        </w:rPr>
        <w:tab/>
      </w:r>
      <w:r>
        <w:rPr>
          <w:rFonts w:ascii="Times New Roman" w:cs="Times New Roman" w:eastAsia="Times New Roman" w:hAnsi="Times New Roman"/>
          <w:sz w:val="14"/>
          <w:szCs w:val="14"/>
          <w:b w:val="1"/>
          <w:bCs w:val="1"/>
          <w:color w:val="auto"/>
        </w:rPr>
        <w:t>To approve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on an advisory basis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named</w:t>
      </w:r>
    </w:p>
    <w:p>
      <w:pPr>
        <w:spacing w:after="0" w:line="234" w:lineRule="exact"/>
        <w:rPr>
          <w:sz w:val="20"/>
          <w:szCs w:val="20"/>
          <w:color w:val="auto"/>
        </w:rPr>
      </w:pPr>
    </w:p>
    <w:p>
      <w:pPr>
        <w:ind w:left="1620" w:right="180"/>
        <w:spacing w:after="0" w:line="233" w:lineRule="auto"/>
        <w:rPr>
          <w:sz w:val="20"/>
          <w:szCs w:val="20"/>
          <w:color w:val="auto"/>
        </w:rPr>
      </w:pPr>
      <w:r>
        <w:rPr>
          <w:rFonts w:ascii="Times New Roman" w:cs="Times New Roman" w:eastAsia="Times New Roman" w:hAnsi="Times New Roman"/>
          <w:sz w:val="14"/>
          <w:szCs w:val="14"/>
          <w:b w:val="1"/>
          <w:bCs w:val="1"/>
          <w:color w:val="auto"/>
        </w:rPr>
        <w:t>executive officer compensation</w:t>
      </w:r>
      <w:r>
        <w:rPr>
          <w:rFonts w:ascii="Times New Roman" w:cs="Times New Roman" w:eastAsia="Times New Roman" w:hAnsi="Times New Roman"/>
          <w:sz w:val="14"/>
          <w:szCs w:val="14"/>
          <w:color w:val="auto"/>
        </w:rPr>
        <w: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OF DIRECTORS RECOMMENDS A VOTE “FOR” PROPOSAL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20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473"/>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877"/>
        </w:trPr>
        <w:tc>
          <w:tcPr>
            <w:tcW w:w="10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567"/>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877"/>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878"/>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878"/>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878"/>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64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20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98"/>
        </w:trPr>
        <w:tc>
          <w:tcPr>
            <w:tcW w:w="10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134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r>
      <w:tr>
        <w:trPr>
          <w:trHeight w:val="688"/>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20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3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-5161915</wp:posOffset>
            </wp:positionV>
            <wp:extent cx="7157720" cy="5627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5627370"/>
                    </a:xfrm>
                    <a:prstGeom prst="rect">
                      <a:avLst/>
                    </a:prstGeom>
                    <a:noFill/>
                  </pic:spPr>
                </pic:pic>
              </a:graphicData>
            </a:graphic>
          </wp:anchor>
        </w:drawing>
      </w:r>
    </w:p>
    <w:p>
      <w:pPr>
        <w:sectPr>
          <w:pgSz w:w="11900" w:h="16838" w:orient="portrait"/>
          <w:cols w:equalWidth="0" w:num="2">
            <w:col w:w="4540" w:space="720"/>
            <w:col w:w="4500"/>
          </w:cols>
          <w:pgMar w:left="760" w:top="536" w:right="1379" w:bottom="1440" w:gutter="0" w:footer="0" w:header="0"/>
          <w:type w:val="continuous"/>
        </w:sectPr>
      </w:pPr>
    </w:p>
    <w:bookmarkStart w:id="47" w:name="page48"/>
    <w:bookmarkEnd w:id="47"/>
    <w:p>
      <w:pPr>
        <w:ind w:left="320"/>
        <w:spacing w:after="0" w:line="181" w:lineRule="auto"/>
        <w:tabs>
          <w:tab w:leader="none" w:pos="1920" w:val="left"/>
        </w:tabs>
        <w:rPr>
          <w:sz w:val="20"/>
          <w:szCs w:val="20"/>
          <w:color w:val="auto"/>
        </w:rPr>
      </w:pPr>
      <w:r>
        <w:rPr>
          <w:rFonts w:ascii="Times New Roman" w:cs="Times New Roman" w:eastAsia="Times New Roman" w:hAnsi="Times New Roman"/>
          <w:sz w:val="33"/>
          <w:szCs w:val="33"/>
          <w:color w:val="auto"/>
          <w:vertAlign w:val="subscript"/>
        </w:rPr>
        <w:t>3.</w:t>
      </w:r>
      <w:r>
        <w:rPr>
          <w:sz w:val="20"/>
          <w:szCs w:val="20"/>
          <w:color w:val="auto"/>
        </w:rPr>
        <w:tab/>
      </w:r>
      <w:r>
        <w:rPr>
          <w:rFonts w:ascii="Times New Roman" w:cs="Times New Roman" w:eastAsia="Times New Roman" w:hAnsi="Times New Roman"/>
          <w:sz w:val="14"/>
          <w:szCs w:val="14"/>
          <w:b w:val="1"/>
          <w:bCs w:val="1"/>
          <w:color w:val="auto"/>
        </w:rPr>
        <w:t>To ratify the appointment of KPMG LLP as</w:t>
      </w:r>
    </w:p>
    <w:p>
      <w:pPr>
        <w:spacing w:after="0" w:line="2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the Company’s independent registered</w:t>
      </w:r>
    </w:p>
    <w:p>
      <w:pPr>
        <w:ind w:left="1940"/>
        <w:spacing w:after="0" w:line="221" w:lineRule="auto"/>
        <w:rPr>
          <w:sz w:val="20"/>
          <w:szCs w:val="20"/>
          <w:color w:val="auto"/>
        </w:rPr>
      </w:pPr>
      <w:r>
        <w:rPr>
          <w:rFonts w:ascii="Times New Roman" w:cs="Times New Roman" w:eastAsia="Times New Roman" w:hAnsi="Times New Roman"/>
          <w:sz w:val="14"/>
          <w:szCs w:val="14"/>
          <w:b w:val="1"/>
          <w:bCs w:val="1"/>
          <w:color w:val="auto"/>
        </w:rPr>
        <w:t>public accounting firm for fiscal year ending</w:t>
      </w:r>
    </w:p>
    <w:p>
      <w:pPr>
        <w:ind w:left="1940"/>
        <w:spacing w:after="0" w:line="221" w:lineRule="auto"/>
        <w:rPr>
          <w:sz w:val="20"/>
          <w:szCs w:val="20"/>
          <w:color w:val="auto"/>
        </w:rPr>
      </w:pPr>
      <w:r>
        <w:rPr>
          <w:rFonts w:ascii="Times New Roman" w:cs="Times New Roman" w:eastAsia="Times New Roman" w:hAnsi="Times New Roman"/>
          <w:sz w:val="14"/>
          <w:szCs w:val="14"/>
          <w:b w:val="1"/>
          <w:bCs w:val="1"/>
          <w:color w:val="auto"/>
        </w:rPr>
        <w:t xml:space="preserve">January 28, 2023. </w:t>
      </w:r>
      <w:r>
        <w:rPr>
          <w:rFonts w:ascii="Times New Roman" w:cs="Times New Roman" w:eastAsia="Times New Roman" w:hAnsi="Times New Roman"/>
          <w:sz w:val="14"/>
          <w:szCs w:val="14"/>
          <w:color w:val="auto"/>
        </w:rPr>
        <w:t>THE BOARD OF</w:t>
      </w:r>
    </w:p>
    <w:p>
      <w:pPr>
        <w:ind w:left="1940"/>
        <w:spacing w:after="0" w:line="222" w:lineRule="auto"/>
        <w:rPr>
          <w:sz w:val="20"/>
          <w:szCs w:val="20"/>
          <w:color w:val="auto"/>
        </w:rPr>
      </w:pPr>
      <w:r>
        <w:rPr>
          <w:rFonts w:ascii="Times New Roman" w:cs="Times New Roman" w:eastAsia="Times New Roman" w:hAnsi="Times New Roman"/>
          <w:sz w:val="14"/>
          <w:szCs w:val="14"/>
          <w:color w:val="auto"/>
        </w:rPr>
        <w:t>DIRECTORS RECOMMENDS A VOTE</w:t>
      </w:r>
    </w:p>
    <w:p>
      <w:pPr>
        <w:ind w:left="1940"/>
        <w:spacing w:after="0"/>
        <w:rPr>
          <w:sz w:val="20"/>
          <w:szCs w:val="20"/>
          <w:color w:val="auto"/>
        </w:rPr>
      </w:pPr>
      <w:r>
        <w:rPr>
          <w:rFonts w:ascii="Times New Roman" w:cs="Times New Roman" w:eastAsia="Times New Roman" w:hAnsi="Times New Roman"/>
          <w:sz w:val="14"/>
          <w:szCs w:val="14"/>
          <w:color w:val="auto"/>
        </w:rPr>
        <w:t>“FOR” PROPOSAL 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PROXY IS PROPERLY EXECUTED AND RETURNED IT WILL BE</w:t>
      </w:r>
    </w:p>
    <w:p>
      <w:pPr>
        <w:spacing w:after="0" w:line="17"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4"/>
          <w:szCs w:val="14"/>
          <w:color w:val="auto"/>
        </w:rPr>
        <w:t>VOTED AS SPECIFIED HEREIN. IF NO SPECIFIC DIRECTION IS GIVEN, IT WILL BE VOTED “FOR” EACH DIRECTOR NOMINEE AND “FOR” EACH OF THE OTHER PROPOSALS. RECEIPT IS HEREBY ACKNOWLEDGED OF THE NOTICE OF ANNUAL MEETING AND PROXY STATEMENT OF DESTINATION XL GROUP, INC. DATED JUNE 30, 2022.</w:t>
      </w:r>
    </w:p>
    <w:p>
      <w:pPr>
        <w:spacing w:after="0" w:line="259"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41" w:lineRule="exact"/>
        <w:tabs>
          <w:tab w:leader="none" w:pos="1880" w:val="left"/>
          <w:tab w:leader="none" w:pos="40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-135890</wp:posOffset>
            </wp:positionV>
            <wp:extent cx="7132320" cy="3103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5020" w:space="720"/>
            <w:col w:w="5000"/>
          </w:cols>
          <w:pgMar w:left="440" w:top="0" w:right="719" w:bottom="1440" w:gutter="0" w:footer="0" w:header="0"/>
        </w:sect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Please sign exactly as your name or names appear on this Proxy. When shares are held jointly, each holder should sign. When signing as executor, administrator, attorney, trustee or</w:t>
      </w:r>
    </w:p>
    <w:p>
      <w:pPr>
        <w:spacing w:after="0" w:line="17"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guardian, please give full title as such. If the signer is a corporation, please sign full corporate name by duly authorized officer, giving full title as such. If signer is a partnership, please sign in partnership name by authorized person.</w:t>
      </w:r>
    </w:p>
    <w:p>
      <w:pPr>
        <w:spacing w:after="0" w:line="365" w:lineRule="exact"/>
        <w:rPr>
          <w:sz w:val="20"/>
          <w:szCs w:val="20"/>
          <w:color w:val="auto"/>
        </w:rPr>
      </w:pPr>
    </w:p>
    <w:p>
      <w:pPr>
        <w:ind w:left="1100"/>
        <w:spacing w:after="0"/>
        <w:tabs>
          <w:tab w:leader="none" w:pos="2780" w:val="left"/>
          <w:tab w:leader="none" w:pos="4280" w:val="left"/>
          <w:tab w:leader="none" w:pos="7680" w:val="left"/>
        </w:tabs>
        <w:rPr>
          <w:sz w:val="20"/>
          <w:szCs w:val="20"/>
          <w:color w:val="auto"/>
        </w:rPr>
      </w:pP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of Stockholder</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1622425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40" w:top="0" w:right="71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-172085</wp:posOffset>
            </wp:positionV>
            <wp:extent cx="7132320" cy="254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5715"/>
                    </a:xfrm>
                    <a:prstGeom prst="rect">
                      <a:avLst/>
                    </a:prstGeom>
                    <a:noFill/>
                  </pic:spPr>
                </pic:pic>
              </a:graphicData>
            </a:graphic>
          </wp:anchor>
        </w:drawing>
      </w:r>
    </w:p>
    <w:p>
      <w:pPr>
        <w:jc w:val="center"/>
        <w:spacing w:after="0" w:line="219" w:lineRule="auto"/>
        <w:rPr>
          <w:sz w:val="20"/>
          <w:szCs w:val="20"/>
          <w:color w:val="auto"/>
        </w:rPr>
      </w:pPr>
      <w:r>
        <w:rPr>
          <w:rFonts w:ascii="Times New Roman" w:cs="Times New Roman" w:eastAsia="Times New Roman" w:hAnsi="Times New Roman"/>
          <w:sz w:val="18"/>
          <w:szCs w:val="18"/>
          <w:color w:val="auto"/>
        </w:rPr>
        <w:t>555 Turnpike Street</w:t>
      </w:r>
    </w:p>
    <w:p>
      <w:pPr>
        <w:jc w:val="center"/>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1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August 4, 2022</w:t>
      </w:r>
    </w:p>
    <w:p>
      <w:pPr>
        <w:spacing w:after="0" w:line="17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4, 2022, at 11:30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1001395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204" w:right="45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4"/>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3"/>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2022-06-30T06:03:31Z</dcterms:created>
  <dcterms:modified xsi:type="dcterms:W3CDTF">2022-06-30T06:03:31Z</dcterms:modified>
</cp:coreProperties>
</file>