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182245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182880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700" w:type="dxa"/>
            <w:vAlign w:val="bottom"/>
          </w:tcPr>
          <w:p>
            <w:pPr>
              <w:jc w:val="right"/>
              <w:ind w:right="151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397"/>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174625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346075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On November 20, 2015, Destination XL Group, Inc. (the “Company”) issued a press release announcing the Company’s operating results for the third quarter of fiscal 2015. A copy of this press release is attached hereto as Exhibit 99.1.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2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(d) Exhibits</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43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Description</w:t>
            </w:r>
          </w:p>
        </w:tc>
        <w:tc>
          <w:tcPr>
            <w:tcW w:w="7460" w:type="dxa"/>
            <w:vAlign w:val="bottom"/>
          </w:tcPr>
          <w:p>
            <w:pPr>
              <w:spacing w:after="0"/>
              <w:rPr>
                <w:sz w:val="24"/>
                <w:szCs w:val="24"/>
                <w:color w:val="auto"/>
              </w:rPr>
            </w:pPr>
          </w:p>
        </w:tc>
      </w:tr>
      <w:tr>
        <w:trPr>
          <w:trHeight w:val="72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1200" w:type="dxa"/>
            <w:vAlign w:val="bottom"/>
          </w:tcPr>
          <w:p>
            <w:pPr>
              <w:spacing w:after="0"/>
              <w:rPr>
                <w:sz w:val="24"/>
                <w:szCs w:val="24"/>
                <w:color w:val="auto"/>
              </w:rPr>
            </w:pPr>
          </w:p>
        </w:tc>
        <w:tc>
          <w:tcPr>
            <w:tcW w:w="912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7"/>
              </w:rPr>
              <w:t>Press release issued by Destination XL Group, Inc. on November 20, 2015 regarding operating results</w:t>
            </w:r>
          </w:p>
        </w:tc>
      </w:tr>
      <w:tr>
        <w:trPr>
          <w:trHeight w:val="283"/>
        </w:trPr>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12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for the third quarter of fiscal year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42" w:right="31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November 20, 2015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11430</wp:posOffset>
            </wp:positionV>
            <wp:extent cx="298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60"/>
          </w:cols>
          <w:pgMar w:left="240" w:top="108"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0904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6686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 Unger</w:t>
      </w:r>
    </w:p>
    <w:p>
      <w:pPr>
        <w:spacing w:after="0"/>
        <w:rPr>
          <w:sz w:val="20"/>
          <w:szCs w:val="20"/>
          <w:color w:val="auto"/>
        </w:rPr>
      </w:pPr>
      <w:r>
        <w:rPr>
          <w:rFonts w:ascii="Times New Roman" w:cs="Times New Roman" w:eastAsia="Times New Roman" w:hAnsi="Times New Roman"/>
          <w:sz w:val="20"/>
          <w:szCs w:val="20"/>
          <w:color w:val="auto"/>
        </w:rPr>
        <w:t>Vice President Investor Relations</w:t>
      </w:r>
    </w:p>
    <w:p>
      <w:pPr>
        <w:spacing w:after="0"/>
        <w:rPr>
          <w:sz w:val="20"/>
          <w:szCs w:val="20"/>
          <w:color w:val="auto"/>
        </w:rPr>
      </w:pPr>
      <w:r>
        <w:rPr>
          <w:rFonts w:ascii="Times New Roman" w:cs="Times New Roman" w:eastAsia="Times New Roman" w:hAnsi="Times New Roman"/>
          <w:sz w:val="20"/>
          <w:szCs w:val="20"/>
          <w:color w:val="auto"/>
        </w:rPr>
        <w:t>(561) 482-9715</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Destination XL Group, Inc. Reports Third-Quarter 2015 Financial Results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+9.2% DXL Comparable Sales Increase, Building On +12.8% Comp Increase in Third Quarter 2014</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Company Affirms EPS Guidance for Fiscal 2015</w:t>
      </w:r>
    </w:p>
    <w:p>
      <w:pPr>
        <w:spacing w:after="0" w:line="12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CANTON, Mass., Nov. 20, 2015 – </w:t>
      </w:r>
      <w:r>
        <w:rPr>
          <w:rFonts w:ascii="Times New Roman" w:cs="Times New Roman" w:eastAsia="Times New Roman" w:hAnsi="Times New Roman"/>
          <w:sz w:val="20"/>
          <w:szCs w:val="20"/>
          <w:u w:val="single" w:color="auto"/>
          <w:color w:val="auto"/>
        </w:rPr>
        <w:t>Destination XL Group, Inc.</w:t>
      </w:r>
      <w:r>
        <w:rPr>
          <w:rFonts w:ascii="Times New Roman" w:cs="Times New Roman" w:eastAsia="Times New Roman" w:hAnsi="Times New Roman"/>
          <w:sz w:val="20"/>
          <w:szCs w:val="20"/>
          <w:color w:val="auto"/>
        </w:rPr>
        <w:t xml:space="preserve"> (NASDAQ: DXLG), the largest omni-channel specialty retailer of big and tall men's apparel, today reported operating results for the third quarter of fiscal 2015.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Third-Quarter Fiscal 2015 Highlights</w:t>
      </w:r>
    </w:p>
    <w:p>
      <w:pPr>
        <w:spacing w:after="0" w:line="139"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comparable sales increased +4.3%, on top of +5.5% in the prior-year quarter</w:t>
      </w:r>
    </w:p>
    <w:p>
      <w:pPr>
        <w:spacing w:after="0" w:line="17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119 DXL retail stores, open at least 13 months, had a +9.2% comparable sales increase on top of +12.8% in the prior-year quarter</w:t>
      </w:r>
    </w:p>
    <w:p>
      <w:pPr>
        <w:spacing w:after="0" w:line="17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loss of $(4.6) million versus an operating loss of $(5.5) million in the prior-year quarter</w:t>
      </w:r>
    </w:p>
    <w:p>
      <w:pPr>
        <w:spacing w:after="0" w:line="17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from continuing operations increased to $2.5 million from $0.5 million in the prior-year quarter</w:t>
      </w:r>
    </w:p>
    <w:p>
      <w:pPr>
        <w:spacing w:after="0" w:line="175"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per square foot for DXL retail stores, on a rolling 12-month basis, were $174, compared with $160 for the prior-year quarter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third-quarter financial results prove, once again, that our DXL transition strategy is working,” said President and CEO David Levin. “Our DXL retail stores delivered a strong comp sales increase of +9.2%, on top of +12.8% from the third quarter last year. Our increasing brand awareness enabled us to not only drive sales performance, but also allowed us to further improve gross margins. EBITDA for the quarter increased 372% from the third quarter of 2014.</w:t>
      </w:r>
    </w:p>
    <w:p>
      <w:pPr>
        <w:spacing w:after="0" w:line="10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color w:val="auto"/>
        </w:rPr>
        <w:t xml:space="preserve">“We kicked off our fall marketing campaign in October on the NFL Network with </w:t>
      </w:r>
      <w:r>
        <w:rPr>
          <w:rFonts w:ascii="Times New Roman" w:cs="Times New Roman" w:eastAsia="Times New Roman" w:hAnsi="Times New Roman"/>
          <w:sz w:val="20"/>
          <w:szCs w:val="20"/>
          <w:i w:val="1"/>
          <w:iCs w:val="1"/>
          <w:color w:val="auto"/>
        </w:rPr>
        <w:t>Thursday Night Football</w:t>
      </w:r>
      <w:r>
        <w:rPr>
          <w:rFonts w:ascii="Times New Roman" w:cs="Times New Roman" w:eastAsia="Times New Roman" w:hAnsi="Times New Roman"/>
          <w:sz w:val="20"/>
          <w:szCs w:val="20"/>
          <w:color w:val="auto"/>
        </w:rPr>
        <w:t>. Our fall campaign in 2015 will have the same timing as our successful campaign a year ago,” Levin continued.</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are on pace to open our 175th DXL store by the end of fiscal 2015. Our consistent performance for the first three quarters is right in line with our expectations. However, as we move into the fourth quarter of fiscal 2015, we are beginning to see slower-than-expected demand from our seasonal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 w:name="page5"/>
    <w:bookmarkEnd w:id="4"/>
    <w:p>
      <w:pPr>
        <w:ind w:right="180"/>
        <w:spacing w:after="0" w:line="249" w:lineRule="auto"/>
        <w:rPr>
          <w:sz w:val="20"/>
          <w:szCs w:val="20"/>
          <w:color w:val="auto"/>
        </w:rPr>
      </w:pPr>
      <w:r>
        <w:rPr>
          <w:rFonts w:ascii="Times New Roman" w:cs="Times New Roman" w:eastAsia="Times New Roman" w:hAnsi="Times New Roman"/>
          <w:sz w:val="20"/>
          <w:szCs w:val="20"/>
          <w:color w:val="auto"/>
        </w:rPr>
        <w:t>categories because of the unseasonably warm weather that has affected much of the country. To reflect this trend, we are narrowing our fiscal 2015 sales and EBITDA guidance but maintaining our EPS guidance, due to improved forecasts for depreciation and interest. We remain on track with our fiscal 2016 projections for sales of $470 million and EBITDA of $35 million and positive free cash flow in fiscal 2016,” Levin concluded.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Third-Quarter 2015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For the third quarter of fiscal 2015, total sales rose 6.4% to $99.6 million from $93.6 million in the third quarter of fiscal 2014. The increase of $6.0 million in total sales was primarily driven by our comparable DXL stores which increased $3.5 million for the third quarter. On a comparable basis, total transactions in the Company’s DXL stores were up 5.8% over the prior-year third quarter.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3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For the third quarter of fiscal 2015, gross margin, inclusive of occupancy costs, was 45.0%, compared with gross margin of 43.3% for the third quarter of fiscal 2014. The increase of 170 basis points was the result of a 50-basis-point improvement in occupancy costs as a percentage of total sales, due to sales leverage, and a 120-basis-point improvement in merchandise margin, primarily due to lower markdowns as a result of the Company’s higher penetration into sales of full-price merchandise.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SG&amp;A expenses for the third quarter of fiscal 2015 were 42.6% of sales, compared with 42.8% in the third quarter of fiscal 2014. On a dollar basis, SG&amp;A expense increased $2.4 million from the same quarter a year ago. The results for the third quarter of fiscal 2015 include DXL transition costs of approximately $1.4 million, compared with $1.1 million for the third quarter of the prior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from Continuing Operations</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Earnings before interest, taxes, depreciation and amortization (EBITDA) from continuing operations, a non-GAAP measure, for the third quarter of fiscal 2015 were $2.5 million, compared with $0.5 million for the third quarter of fiscal 2014. The improvement was primarily driven by an increase in sales from the same quarter of the prior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 for the third quarter of fiscal 2015 was $(5.5) million, or $(0.11) per diluted share, compared with a net loss of $(6.3) million, or</w:t>
      </w:r>
    </w:p>
    <w:p>
      <w:pPr>
        <w:spacing w:after="0" w:line="2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$(0.13) per diluted share, for the third quarter of fiscal 2014. On a non-GAAP basis, assuming a normalized tax rate of 40%, adjusted net loss for the third quarter of fiscal 2015 was $(0.07) per diluted share as compared with $(0.08) per diluted share for the third quarter of fiscal 2014.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Cash flow used for operations for the first nine months of fiscal 2015 was $(5.1) million, compared with cash flow used for operations of</w:t>
      </w:r>
    </w:p>
    <w:p>
      <w:pPr>
        <w:spacing w:after="0" w:line="2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$(15.4) million in the same period of fiscal 2014. After capital expenditures, free cash flow, a non-GAAP measure, for the first nine months of fiscal 2015 improved by $15.8 million to $(30.4) million from $(46.2) million for the same period of fiscal 2014.</w:t>
      </w:r>
    </w:p>
    <w:p>
      <w:pPr>
        <w:spacing w:after="0" w:line="11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Capital expenditures for the first nine months of fiscal 2015 were $25.4 million, compared with $30.8 million for the same period of the prior year. All capital expenditures are subject to ROIC (“Return on Invested Capital”) hurdles.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EBITDA from continuing operations, adjusted net loss per share and free cash flow are non-GAAP financial measures. Please see “Non-GAAP Measures” below and a reconciliation of these non-GAAP measures to the comparable GAAP measures that follows the table below.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At October 31, 2015, the Company had cash and cash equivalents of $5.6 million. Total debt at October 31, 2015 consisted of $55.9 million outstanding under the Company’s credit facility, net of unamortized debt issuance costs, and $28.0 million outstanding under its term loan and equipment financing notes, net of unamortized debt issuance costs. At October 31, 2015, the Company had $62.8 million of excess availability under its credit facility.</w:t>
      </w:r>
    </w:p>
    <w:p>
      <w:pPr>
        <w:spacing w:after="0" w:line="1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Inventory was $133.3 million at October 31, 2015, compared with $115.2 million at January 31, 2015 and $126.4 million at November 1, 2014. The increase in inventory over both year end and last year’s third quarter is due to an increase in total store square footage and the higher mix of branded product due to having more DXL stores open. Clearance inventory represented 9% of total inventory for both the third quarter of 2015 and the third quarter of 2014.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store count, with respective square footage by store concept: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5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Year End 2013</w:t>
            </w:r>
          </w:p>
        </w:tc>
        <w:tc>
          <w:tcPr>
            <w:tcW w:w="2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Year End 2014</w:t>
            </w:r>
          </w:p>
        </w:tc>
        <w:tc>
          <w:tcPr>
            <w:tcW w:w="24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At October 31, 2015</w:t>
            </w:r>
          </w:p>
        </w:tc>
        <w:tc>
          <w:tcPr>
            <w:tcW w:w="1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Year End 2015E</w:t>
            </w:r>
          </w:p>
        </w:tc>
      </w:tr>
      <w:tr>
        <w:trPr>
          <w:trHeight w:val="211"/>
        </w:trPr>
        <w:tc>
          <w:tcPr>
            <w:tcW w:w="2160" w:type="dxa"/>
            <w:vAlign w:val="bottom"/>
            <w:shd w:val="clear" w:color="auto" w:fill="CFF0FC"/>
          </w:tcPr>
          <w:p>
            <w:pPr>
              <w:spacing w:after="0"/>
              <w:rPr>
                <w:sz w:val="18"/>
                <w:szCs w:val="18"/>
                <w:color w:val="auto"/>
              </w:rPr>
            </w:pPr>
          </w:p>
        </w:tc>
        <w:tc>
          <w:tcPr>
            <w:tcW w:w="82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 of</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Sq Ft.</w:t>
            </w:r>
          </w:p>
        </w:tc>
        <w:tc>
          <w:tcPr>
            <w:tcW w:w="12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 of</w:t>
            </w:r>
          </w:p>
        </w:tc>
        <w:tc>
          <w:tcPr>
            <w:tcW w:w="110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97"/>
              </w:rPr>
              <w:t>Sq Ft.</w:t>
            </w:r>
          </w:p>
        </w:tc>
        <w:tc>
          <w:tcPr>
            <w:tcW w:w="12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 of</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Sq Ft.</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 of</w:t>
            </w: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7"/>
              </w:rPr>
              <w:t>Sq Ft.</w:t>
            </w:r>
          </w:p>
        </w:tc>
      </w:tr>
      <w:tr>
        <w:trPr>
          <w:trHeight w:val="234"/>
        </w:trPr>
        <w:tc>
          <w:tcPr>
            <w:tcW w:w="2160" w:type="dxa"/>
            <w:vAlign w:val="bottom"/>
            <w:shd w:val="clear" w:color="auto" w:fill="CFF0FC"/>
          </w:tcPr>
          <w:p>
            <w:pPr>
              <w:spacing w:after="0"/>
              <w:rPr>
                <w:sz w:val="20"/>
                <w:szCs w:val="20"/>
                <w:color w:val="auto"/>
              </w:rPr>
            </w:pPr>
          </w:p>
        </w:tc>
        <w:tc>
          <w:tcPr>
            <w:tcW w:w="82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Stores</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6"/>
              </w:rPr>
              <w:t>(000’s)</w:t>
            </w:r>
          </w:p>
        </w:tc>
        <w:tc>
          <w:tcPr>
            <w:tcW w:w="128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Stores</w:t>
            </w:r>
          </w:p>
        </w:tc>
        <w:tc>
          <w:tcPr>
            <w:tcW w:w="110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96"/>
              </w:rPr>
              <w:t>(000’s)</w:t>
            </w:r>
          </w:p>
        </w:tc>
        <w:tc>
          <w:tcPr>
            <w:tcW w:w="12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Stores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(000’s)</w:t>
            </w: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Stores</w:t>
            </w: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6"/>
              </w:rPr>
              <w:t>(000’s)</w:t>
            </w:r>
          </w:p>
        </w:tc>
      </w:tr>
      <w:tr>
        <w:trPr>
          <w:trHeight w:val="22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DXL Retail</w:t>
            </w: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60" w:type="dxa"/>
            <w:vAlign w:val="bottom"/>
          </w:tcPr>
          <w:p>
            <w:pPr>
              <w:spacing w:after="0"/>
              <w:rPr>
                <w:sz w:val="19"/>
                <w:szCs w:val="19"/>
                <w:color w:val="auto"/>
              </w:rPr>
            </w:pPr>
          </w:p>
        </w:tc>
      </w:tr>
      <w:tr>
        <w:trPr>
          <w:trHeight w:val="230"/>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Outlets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FF0FC"/>
          </w:tcPr>
          <w:p>
            <w:pPr>
              <w:spacing w:after="0"/>
              <w:rPr>
                <w:sz w:val="19"/>
                <w:szCs w:val="19"/>
                <w:color w:val="auto"/>
              </w:rPr>
            </w:pP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CMXL Retail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tcPr>
          <w:p>
            <w:pPr>
              <w:spacing w:after="0"/>
              <w:rPr>
                <w:sz w:val="19"/>
                <w:szCs w:val="19"/>
                <w:color w:val="auto"/>
              </w:rPr>
            </w:pPr>
          </w:p>
        </w:tc>
      </w:tr>
      <w:tr>
        <w:trPr>
          <w:trHeight w:val="230"/>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CMXL Outlets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Rochester Clothing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2015 Outlook</w:t>
      </w:r>
    </w:p>
    <w:p>
      <w:pPr>
        <w:spacing w:after="0" w:line="1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Company has seen a slower-than-expected increase in fourth-quarter sales from its cold-weather assortments. Accordingly, the Company is taking a cautious approach to its guidance for the remainder of fiscal 2015. As a result, the Company now expects: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Total sales in the range of $438.0 to $440.0 million (a change from the previous guidance of $438.0 million to $443.0 million).</w:t>
      </w:r>
    </w:p>
    <w:p>
      <w:pPr>
        <w:spacing w:after="0" w:line="17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total comparable sales increase of approximately 4.0 to 4.5% (a change from the previous guidance of 5.6%).</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Gross profit margin of approximately 45.9% (unchanged).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SG&amp;A costs of approximately $180.5 million (unchanged).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Depreciation and amortization expense of approximately $28.1 million (a decrease from the previous guidance of $28.5 million).</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Interest expense of approximately $3.4 million (a decrease from previous guidance of $3.8 million).</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EBITDA in the range of $21.0 to $22.0 million (a change from the previous guidance of $21.0 to $23.0 million).</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loss of between (1.7%) and (1.2%) (unchanged).</w:t>
      </w:r>
    </w:p>
    <w:p>
      <w:pPr>
        <w:spacing w:after="0" w:line="175"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net loss of $(0.20) to $(0.23) per diluted share (unchanged). On a non-GAAP basis, an adjusted net loss of $(0.12) to $(0.14) per diluted share (unchanged). This guidance is presented on a non-GAAP basis for comparative purposes to fiscal 2014 earnings, assuming a normal tax benefit of approximately 40%. The Company expects to continue to provide a full valuation allowance against its deferred tax assets in fiscal 2015 and will not recognize any income tax benefit on its operating loss in fiscal 2015.</w:t>
      </w:r>
    </w:p>
    <w:p>
      <w:pPr>
        <w:spacing w:after="0" w:line="125" w:lineRule="exact"/>
        <w:rPr>
          <w:rFonts w:ascii="Times New Roman" w:cs="Times New Roman" w:eastAsia="Times New Roman" w:hAnsi="Times New Roman"/>
          <w:sz w:val="17"/>
          <w:szCs w:val="17"/>
          <w:color w:val="auto"/>
        </w:rPr>
      </w:pPr>
    </w:p>
    <w:p>
      <w:pPr>
        <w:ind w:left="880" w:right="20" w:hanging="440"/>
        <w:spacing w:after="0" w:line="254"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open approximately 29 DXL retail and 7 DXL outlet stores and close approximately 42 Casual Male XL and 3 Rochester Clothing stores (a change from previous guidance of 30 DXL retail and 8 DXL outlet store openings and 41 Casual Male XL and 3 Rochester store closings).</w:t>
      </w:r>
    </w:p>
    <w:p>
      <w:pPr>
        <w:spacing w:after="0" w:line="13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Capital expenditures, net of tenant allowances of $6.0-$7.0 million, of approximately $30.0 to $32.0 million (unchanged).</w:t>
      </w:r>
    </w:p>
    <w:p>
      <w:pPr>
        <w:spacing w:after="0" w:line="175" w:lineRule="exact"/>
        <w:rPr>
          <w:rFonts w:ascii="Times New Roman" w:cs="Times New Roman" w:eastAsia="Times New Roman" w:hAnsi="Times New Roman"/>
          <w:sz w:val="18"/>
          <w:szCs w:val="18"/>
          <w:color w:val="auto"/>
        </w:rPr>
      </w:pPr>
    </w:p>
    <w:p>
      <w:pPr>
        <w:ind w:left="880" w:right="200" w:hanging="440"/>
        <w:spacing w:after="0" w:line="254"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Borrowings at the end of fiscal 2015 in the range of $72.0 to $76.0 million consisting of $45.3 to $49.3 million under the credit facility, a term loan of approximately $13.8 million, and equipment financing notes of approximately $12.9 million (unchanged). Free cash flow in the range of $(18.5) to $(22.5) million (unchanged).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hold a conference call to review its financial results today, Friday, November 20, 2015 at 9:00 a.m. ET. To listen to the live webcast, visit the "</w:t>
      </w:r>
      <w:r>
        <w:rPr>
          <w:rFonts w:ascii="Times New Roman" w:cs="Times New Roman" w:eastAsia="Times New Roman" w:hAnsi="Times New Roman"/>
          <w:sz w:val="20"/>
          <w:szCs w:val="20"/>
          <w:u w:val="single" w:color="auto"/>
          <w:color w:val="auto"/>
        </w:rPr>
        <w:t>Investor Relations</w:t>
      </w:r>
      <w:r>
        <w:rPr>
          <w:rFonts w:ascii="Times New Roman" w:cs="Times New Roman" w:eastAsia="Times New Roman" w:hAnsi="Times New Roman"/>
          <w:sz w:val="20"/>
          <w:szCs w:val="20"/>
          <w:color w:val="auto"/>
        </w:rPr>
        <w:t>" section of the Company's website. The live call also can be accessed by dialing: (888) 510-1765. Please reference conference ID:</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4481327. An archived version of the webcast may be accessed by visiting the "</w:t>
      </w:r>
      <w:r>
        <w:rPr>
          <w:rFonts w:ascii="Times New Roman" w:cs="Times New Roman" w:eastAsia="Times New Roman" w:hAnsi="Times New Roman"/>
          <w:sz w:val="20"/>
          <w:szCs w:val="20"/>
          <w:u w:val="single" w:color="auto"/>
          <w:color w:val="auto"/>
        </w:rPr>
        <w:t>Events</w:t>
      </w:r>
      <w:r>
        <w:rPr>
          <w:rFonts w:ascii="Times New Roman" w:cs="Times New Roman" w:eastAsia="Times New Roman" w:hAnsi="Times New Roman"/>
          <w:sz w:val="20"/>
          <w:szCs w:val="20"/>
          <w:color w:val="auto"/>
        </w:rPr>
        <w:t>" section of the Company's website for up to one year.</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refers to free cash flow, EBITDA from continuing operations and adjusted net loss per diluted share. The presentation of these non-GAAP measures is not in accordance with GAAP, and should not be considered superior to or as a substitute for net income (loss), earnings (loss) per diluted share, income (loss) from continuing operations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 calculates free cash flow as cash flow from operating activities less capital expenditures and less discretionary store asset acquisitions, if applicable. EBITDA is calculated as earnings before interest, taxes, depreciation and amortization. EBITDA from continuing operations is calculated as EBITDA before discontinued operations. Adjusted net loss per diluted share has been adjusted for a normal tax rate, assuming 40%. Reconciliations of these non-GAAP measures to their comparable GAAP measures are provided in the tables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the Company’s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line="243" w:lineRule="auto"/>
        <w:rPr>
          <w:sz w:val="20"/>
          <w:szCs w:val="20"/>
          <w:color w:val="auto"/>
        </w:rPr>
      </w:pPr>
      <w:r>
        <w:rPr>
          <w:rFonts w:ascii="Times New Roman" w:cs="Times New Roman" w:eastAsia="Times New Roman" w:hAnsi="Times New Roman"/>
          <w:sz w:val="20"/>
          <w:szCs w:val="20"/>
          <w:i w:val="1"/>
          <w:iCs w:val="1"/>
          <w:color w:val="auto"/>
        </w:rPr>
        <w:t>expectations with respect to its projected sales, EBITDA and cash flows for fiscal 2016 and cash flows, operating and gross profit margins, store counts, pace of store openings, costs, capital expenditures, borrowings, sales, EBITDA, profitability and earnings expectations for fiscal 2015.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25, 2015,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15" w:lineRule="exact"/>
        <w:rPr>
          <w:sz w:val="20"/>
          <w:szCs w:val="20"/>
          <w:color w:val="auto"/>
        </w:rPr>
      </w:pPr>
    </w:p>
    <w:p>
      <w:pPr>
        <w:jc w:val="both"/>
        <w:ind w:right="58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9" w:name="page10"/>
    <w:bookmarkEnd w:id="9"/>
    <w:p>
      <w:pPr>
        <w:jc w:val="center"/>
        <w:ind w:right="8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October 31, 2015</w:t>
            </w:r>
          </w:p>
        </w:tc>
        <w:tc>
          <w:tcPr>
            <w:tcW w:w="5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November 1, 2014</w:t>
            </w:r>
          </w:p>
        </w:tc>
        <w:tc>
          <w:tcPr>
            <w:tcW w:w="10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October 31, 2015</w:t>
            </w:r>
          </w:p>
        </w:tc>
        <w:tc>
          <w:tcPr>
            <w:tcW w:w="1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November 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99,625</w:t>
            </w:r>
          </w:p>
        </w:tc>
        <w:tc>
          <w:tcPr>
            <w:tcW w:w="3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93,640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318,177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294,461</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54,761</w:t>
            </w:r>
          </w:p>
        </w:tc>
        <w:tc>
          <w:tcPr>
            <w:tcW w:w="36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171,191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161,714</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44,864</w:t>
            </w: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132,747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42,414</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20,526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(4,626)</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(4,544)</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(11,023)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(783)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 before provision for income taxes</w:t>
            </w:r>
          </w:p>
        </w:tc>
        <w:tc>
          <w:tcPr>
            <w:tcW w:w="1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(5,409)</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(6,028)</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(6,834)</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(5,472)</w:t>
            </w:r>
          </w:p>
        </w:tc>
        <w:tc>
          <w:tcPr>
            <w:tcW w:w="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(6,091)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(13,849)</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(0.11)</w:t>
            </w: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(0.11)</w:t>
            </w:r>
          </w:p>
        </w:tc>
        <w:tc>
          <w:tcPr>
            <w:tcW w:w="106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49,116</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49,116</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 w:name="page11"/>
    <w:bookmarkEnd w:id="10"/>
    <w:p>
      <w:pPr>
        <w:jc w:val="center"/>
        <w:ind w:right="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October 31, 2015, January 31, 2015 and November 1, 2014</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October 31,</w:t>
            </w:r>
          </w:p>
        </w:tc>
        <w:tc>
          <w:tcPr>
            <w:tcW w:w="3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January 31,</w:t>
            </w:r>
          </w:p>
        </w:tc>
        <w:tc>
          <w:tcPr>
            <w:tcW w:w="30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November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2015</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color w:val="auto"/>
              </w:rPr>
              <w:t>2014</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288,120</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259,881</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278,832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99,049</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sale-leaseback</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88,249</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92,390</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259,881</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1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GAAP TO NON-GAAP RECONCILIATION OF EBITDA FROM CONTINUING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Fiscal 2015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For the third quarter</w:t>
            </w:r>
          </w:p>
        </w:tc>
        <w:tc>
          <w:tcPr>
            <w:tcW w:w="13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Fiscal 2014</w:t>
            </w:r>
          </w:p>
        </w:tc>
        <w:tc>
          <w:tcPr>
            <w:tcW w:w="0" w:type="dxa"/>
            <w:vAlign w:val="bottom"/>
          </w:tcPr>
          <w:p>
            <w:pPr>
              <w:spacing w:after="0"/>
              <w:rPr>
                <w:sz w:val="1"/>
                <w:szCs w:val="1"/>
                <w:color w:val="auto"/>
              </w:rPr>
            </w:pPr>
          </w:p>
        </w:tc>
      </w:tr>
      <w:tr>
        <w:trPr>
          <w:trHeight w:val="142"/>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520" w:type="dxa"/>
            <w:vAlign w:val="bottom"/>
            <w:gridSpan w:val="2"/>
            <w:vMerge w:val="continue"/>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GAAP basis</w:t>
            </w:r>
          </w:p>
        </w:tc>
        <w:tc>
          <w:tcPr>
            <w:tcW w:w="1240" w:type="dxa"/>
            <w:vAlign w:val="bottom"/>
          </w:tcPr>
          <w:p>
            <w:pPr>
              <w:jc w:val="right"/>
              <w:ind w:right="107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non-GAAP basis</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from continuing operations, non-GAAP basis</w:t>
            </w:r>
          </w:p>
        </w:tc>
        <w:tc>
          <w:tcPr>
            <w:tcW w:w="1240" w:type="dxa"/>
            <w:vAlign w:val="bottom"/>
            <w:tcBorders>
              <w:top w:val="single" w:sz="8" w:color="auto"/>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NET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color w:val="auto"/>
              </w:rPr>
              <w:t>October 31, 2015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gridSpan w:val="5"/>
          </w:tcPr>
          <w:p>
            <w:pPr>
              <w:jc w:val="right"/>
              <w:ind w:right="142"/>
              <w:spacing w:after="0"/>
              <w:rPr>
                <w:sz w:val="20"/>
                <w:szCs w:val="20"/>
                <w:color w:val="auto"/>
              </w:rPr>
            </w:pPr>
            <w:r>
              <w:rPr>
                <w:rFonts w:ascii="Times New Roman" w:cs="Times New Roman" w:eastAsia="Times New Roman" w:hAnsi="Times New Roman"/>
                <w:sz w:val="14"/>
                <w:szCs w:val="14"/>
                <w:color w:val="auto"/>
              </w:rPr>
              <w:t>November 1, 2014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80"/>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GAAP basis</w:t>
            </w:r>
          </w:p>
        </w:tc>
        <w:tc>
          <w:tcPr>
            <w:tcW w:w="3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(5,472)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560" w:type="dxa"/>
            <w:vAlign w:val="bottom"/>
            <w:tcBorders>
              <w:right w:val="single" w:sz="8" w:color="CFF0FC"/>
            </w:tcBorders>
            <w:gridSpan w:val="2"/>
            <w:shd w:val="clear" w:color="auto" w:fill="CFF0FC"/>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(6,281)</w:t>
            </w:r>
          </w:p>
        </w:tc>
        <w:tc>
          <w:tcPr>
            <w:tcW w:w="74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 Actual income tax provision</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 assuming normal tax rate of 40%</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net loss, non-GAAP basis</w:t>
            </w: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on a diluted basis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48,773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40" w:type="dxa"/>
            <w:vAlign w:val="bottom"/>
            <w:gridSpan w:val="10"/>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GAAP TO NON-GAAP FREE CASH FLOW RECONCILIATION</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Projected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00" w:type="dxa"/>
            <w:vAlign w:val="bottom"/>
            <w:gridSpan w:val="3"/>
            <w:vMerge w:val="continue"/>
          </w:tcPr>
          <w:p>
            <w:pPr>
              <w:spacing w:after="0"/>
              <w:rPr>
                <w:sz w:val="14"/>
                <w:szCs w:val="14"/>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color w:val="auto"/>
              </w:rPr>
              <w:t>October 31, 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color w:val="auto"/>
              </w:rPr>
              <w:t>November 1, 2014</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Fiscal 2015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 from operating activities, GAAP basis</w:t>
            </w: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gridSpan w:val="2"/>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vMerge w:val="continue"/>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vMerge w:val="continue"/>
            <w:shd w:val="clear" w:color="auto" w:fill="CFF0FC"/>
          </w:tcPr>
          <w:p>
            <w:pPr>
              <w:spacing w:after="0"/>
              <w:rPr>
                <w:sz w:val="18"/>
                <w:szCs w:val="18"/>
                <w:color w:val="auto"/>
              </w:rPr>
            </w:pPr>
          </w:p>
        </w:tc>
        <w:tc>
          <w:tcPr>
            <w:tcW w:w="1300" w:type="dxa"/>
            <w:vAlign w:val="bottom"/>
            <w:gridSpan w:val="4"/>
            <w:shd w:val="clear" w:color="auto" w:fill="CFF0FC"/>
          </w:tcPr>
          <w:p>
            <w:pPr>
              <w:jc w:val="center"/>
              <w:ind w:left="439"/>
              <w:spacing w:after="0"/>
              <w:rPr>
                <w:sz w:val="20"/>
                <w:szCs w:val="20"/>
                <w:color w:val="auto"/>
              </w:rPr>
            </w:pPr>
            <w:r>
              <w:rPr>
                <w:rFonts w:ascii="Times New Roman" w:cs="Times New Roman" w:eastAsia="Times New Roman" w:hAnsi="Times New Roman"/>
                <w:sz w:val="16"/>
                <w:szCs w:val="16"/>
                <w:color w:val="auto"/>
              </w:rPr>
              <w:t>$16.5-$17.5</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Capital expenditures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840" w:type="dxa"/>
            <w:vAlign w:val="bottom"/>
            <w:gridSpan w:val="6"/>
          </w:tcPr>
          <w:p>
            <w:pPr>
              <w:jc w:val="center"/>
              <w:ind w:left="156"/>
              <w:spacing w:after="0"/>
              <w:rPr>
                <w:sz w:val="20"/>
                <w:szCs w:val="20"/>
                <w:color w:val="auto"/>
              </w:rPr>
            </w:pPr>
            <w:r>
              <w:rPr>
                <w:rFonts w:ascii="Times New Roman" w:cs="Times New Roman" w:eastAsia="Times New Roman" w:hAnsi="Times New Roman"/>
                <w:sz w:val="16"/>
                <w:szCs w:val="16"/>
                <w:color w:val="auto"/>
              </w:rPr>
              <w:t>(36.0)-(39.0)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Store acquisitions, if applicable</w:t>
            </w:r>
          </w:p>
        </w:tc>
        <w:tc>
          <w:tcPr>
            <w:tcW w:w="9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Free Cash Flow, non-GAAP basis</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7"/>
                <w:szCs w:val="17"/>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0" w:type="dxa"/>
            <w:vAlign w:val="bottom"/>
          </w:tcPr>
          <w:p>
            <w:pPr>
              <w:spacing w:after="0"/>
              <w:rPr>
                <w:sz w:val="17"/>
                <w:szCs w:val="17"/>
                <w:color w:val="auto"/>
              </w:rPr>
            </w:pPr>
          </w:p>
        </w:tc>
        <w:tc>
          <w:tcPr>
            <w:tcW w:w="1700" w:type="dxa"/>
            <w:vAlign w:val="bottom"/>
            <w:gridSpan w:val="5"/>
          </w:tcPr>
          <w:p>
            <w:pPr>
              <w:jc w:val="center"/>
              <w:ind w:left="19"/>
              <w:spacing w:after="0"/>
              <w:rPr>
                <w:sz w:val="20"/>
                <w:szCs w:val="20"/>
                <w:color w:val="auto"/>
              </w:rPr>
            </w:pPr>
            <w:r>
              <w:rPr>
                <w:rFonts w:ascii="Times New Roman" w:cs="Times New Roman" w:eastAsia="Times New Roman" w:hAnsi="Times New Roman"/>
                <w:sz w:val="16"/>
                <w:szCs w:val="16"/>
                <w:color w:val="auto"/>
              </w:rPr>
              <w:t>$(18.5)-$(22.5)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2019-12-06T00:45:57Z</dcterms:created>
  <dcterms:modified xsi:type="dcterms:W3CDTF">2019-12-06T00:45:57Z</dcterms:modified>
</cp:coreProperties>
</file>