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3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August 2, 1997</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38" w:orient="portrait"/>
          <w:cols w:equalWidth="0" w:num="3">
            <w:col w:w="2980" w:space="720"/>
            <w:col w:w="2320" w:space="300"/>
            <w:col w:w="3899"/>
          </w:cols>
          <w:pgMar w:left="240" w:top="649" w:right="1440" w:bottom="0" w:gutter="0" w:footer="0" w:header="0"/>
          <w:type w:val="continuous"/>
        </w:sectPr>
      </w:pPr>
    </w:p>
    <w:p>
      <w:pPr>
        <w:spacing w:after="0" w:line="226"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DESIGNS, INC.</w:t>
      </w:r>
    </w:p>
    <w:p>
      <w:pPr>
        <w:spacing w:after="0" w:line="21" w:lineRule="exact"/>
        <w:rPr>
          <w:sz w:val="24"/>
          <w:szCs w:val="24"/>
          <w:color w:val="auto"/>
        </w:rPr>
      </w:pPr>
    </w:p>
    <w:p>
      <w:pPr>
        <w:ind w:left="37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0" w:gutter="0" w:footer="0" w:header="0"/>
          <w:type w:val="continuous"/>
        </w:sectPr>
      </w:pPr>
    </w:p>
    <w:p>
      <w:pPr>
        <w:spacing w:after="0" w:line="224"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920" w:space="720"/>
            <w:col w:w="5579"/>
          </w:cols>
          <w:pgMar w:left="240" w:top="649" w:right="1440" w:bottom="0" w:gutter="0" w:footer="0" w:header="0"/>
          <w:type w:val="continuous"/>
        </w:sect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66 B Street, Needham, MA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180" w:space="720"/>
            <w:col w:w="4319"/>
          </w:cols>
          <w:pgMar w:left="240" w:top="649"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(781) 444-7222</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(Registrant's telephone</w:t>
      </w:r>
    </w:p>
    <w:p>
      <w:pPr>
        <w:spacing w:after="0" w:line="3"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number, including area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540" w:type="dxa"/>
            <w:vAlign w:val="bottom"/>
            <w:gridSpan w:val="3"/>
          </w:tcPr>
          <w:p>
            <w:pPr>
              <w:spacing w:after="0"/>
              <w:rPr>
                <w:sz w:val="20"/>
                <w:szCs w:val="20"/>
                <w:color w:val="auto"/>
              </w:rPr>
            </w:pPr>
            <w:r>
              <w:rPr>
                <w:rFonts w:ascii="Courier New" w:cs="Courier New" w:eastAsia="Courier New" w:hAnsi="Courier New"/>
                <w:sz w:val="18"/>
                <w:szCs w:val="18"/>
                <w:color w:val="auto"/>
                <w:w w:val="98"/>
              </w:rPr>
              <w:t>Indicate by "X" whether the registrant (1) has filed</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all reports required</w:t>
            </w:r>
          </w:p>
        </w:tc>
      </w:tr>
      <w:tr>
        <w:trPr>
          <w:trHeight w:val="203"/>
        </w:trPr>
        <w:tc>
          <w:tcPr>
            <w:tcW w:w="5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to be filed by Section 13 or 15(d) of the Securities</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Act of 1934 during</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preceding 12</w:t>
            </w:r>
          </w:p>
        </w:tc>
        <w:tc>
          <w:tcPr>
            <w:tcW w:w="6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months (or for such shorter period that the registrant was</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required to file</w:t>
            </w:r>
          </w:p>
        </w:tc>
        <w:tc>
          <w:tcPr>
            <w:tcW w:w="6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such reports), and (2) has been subject to such filing</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requirements for</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past 90 days.</w:t>
            </w:r>
          </w:p>
        </w:tc>
        <w:tc>
          <w:tcPr>
            <w:tcW w:w="236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Yes   X</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No</w:t>
            </w:r>
          </w:p>
        </w:tc>
        <w:tc>
          <w:tcPr>
            <w:tcW w:w="38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03"/>
        </w:trPr>
        <w:tc>
          <w:tcPr>
            <w:tcW w:w="1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5"/>
              </w:rPr>
              <w:t>------</w:t>
            </w:r>
          </w:p>
        </w:tc>
        <w:tc>
          <w:tcPr>
            <w:tcW w:w="4480" w:type="dxa"/>
            <w:vAlign w:val="bottom"/>
            <w:gridSpan w:val="2"/>
          </w:tcPr>
          <w:p>
            <w:pPr>
              <w:jc w:val="right"/>
              <w:ind w:right="281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608"/>
        </w:trPr>
        <w:tc>
          <w:tcPr>
            <w:tcW w:w="5540" w:type="dxa"/>
            <w:vAlign w:val="bottom"/>
            <w:gridSpan w:val="3"/>
          </w:tcPr>
          <w:p>
            <w:pPr>
              <w:spacing w:after="0"/>
              <w:rPr>
                <w:sz w:val="20"/>
                <w:szCs w:val="20"/>
                <w:color w:val="auto"/>
              </w:rPr>
            </w:pPr>
            <w:r>
              <w:rPr>
                <w:rFonts w:ascii="Courier New" w:cs="Courier New" w:eastAsia="Courier New" w:hAnsi="Courier New"/>
                <w:sz w:val="18"/>
                <w:szCs w:val="18"/>
                <w:color w:val="auto"/>
                <w:w w:val="98"/>
              </w:rPr>
              <w:t>Indicate the number of shares outstanding of each of</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the issuer's classes</w:t>
            </w:r>
          </w:p>
        </w:tc>
      </w:tr>
      <w:tr>
        <w:trPr>
          <w:trHeight w:val="203"/>
        </w:trPr>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of common stock,</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of the latest practicable date.</w:t>
            </w:r>
          </w:p>
        </w:tc>
        <w:tc>
          <w:tcPr>
            <w:tcW w:w="2360" w:type="dxa"/>
            <w:vAlign w:val="bottom"/>
          </w:tcPr>
          <w:p>
            <w:pPr>
              <w:spacing w:after="0"/>
              <w:rPr>
                <w:sz w:val="17"/>
                <w:szCs w:val="17"/>
                <w:color w:val="auto"/>
              </w:rPr>
            </w:pPr>
          </w:p>
        </w:tc>
      </w:tr>
      <w:tr>
        <w:trPr>
          <w:trHeight w:val="405"/>
        </w:trPr>
        <w:tc>
          <w:tcPr>
            <w:tcW w:w="106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Class</w:t>
            </w:r>
          </w:p>
        </w:tc>
        <w:tc>
          <w:tcPr>
            <w:tcW w:w="3800" w:type="dxa"/>
            <w:vAlign w:val="bottom"/>
          </w:tcPr>
          <w:p>
            <w:pPr>
              <w:ind w:left="1960"/>
              <w:spacing w:after="0"/>
              <w:rPr>
                <w:sz w:val="20"/>
                <w:szCs w:val="20"/>
                <w:color w:val="auto"/>
              </w:rPr>
            </w:pPr>
            <w:r>
              <w:rPr>
                <w:rFonts w:ascii="Courier New" w:cs="Courier New" w:eastAsia="Courier New" w:hAnsi="Courier New"/>
                <w:sz w:val="18"/>
                <w:szCs w:val="18"/>
                <w:color w:val="auto"/>
                <w:w w:val="99"/>
              </w:rPr>
              <w:t>Outstanding as of</w:t>
            </w:r>
          </w:p>
        </w:tc>
        <w:tc>
          <w:tcPr>
            <w:tcW w:w="2360" w:type="dxa"/>
            <w:vAlign w:val="bottom"/>
          </w:tcPr>
          <w:p>
            <w:pPr>
              <w:ind w:left="60"/>
              <w:spacing w:after="0"/>
              <w:rPr>
                <w:sz w:val="20"/>
                <w:szCs w:val="20"/>
                <w:color w:val="auto"/>
              </w:rPr>
            </w:pPr>
            <w:r>
              <w:rPr>
                <w:rFonts w:ascii="Courier New" w:cs="Courier New" w:eastAsia="Courier New" w:hAnsi="Courier New"/>
                <w:sz w:val="18"/>
                <w:szCs w:val="18"/>
                <w:color w:val="auto"/>
              </w:rPr>
              <w:t>August 2, 1997</w:t>
            </w:r>
          </w:p>
        </w:tc>
      </w:tr>
      <w:tr>
        <w:trPr>
          <w:trHeight w:val="203"/>
        </w:trPr>
        <w:tc>
          <w:tcPr>
            <w:tcW w:w="10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6160" w:type="dxa"/>
            <w:vAlign w:val="bottom"/>
            <w:gridSpan w:val="2"/>
          </w:tcPr>
          <w:p>
            <w:pPr>
              <w:ind w:left="19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Common</w:t>
            </w:r>
          </w:p>
        </w:tc>
        <w:tc>
          <w:tcPr>
            <w:tcW w:w="3800" w:type="dxa"/>
            <w:vAlign w:val="bottom"/>
          </w:tcPr>
          <w:p>
            <w:pPr>
              <w:ind w:left="2700"/>
              <w:spacing w:after="0" w:line="203" w:lineRule="exact"/>
              <w:rPr>
                <w:sz w:val="20"/>
                <w:szCs w:val="20"/>
                <w:color w:val="auto"/>
              </w:rPr>
            </w:pPr>
            <w:r>
              <w:rPr>
                <w:rFonts w:ascii="Courier New" w:cs="Courier New" w:eastAsia="Courier New" w:hAnsi="Courier New"/>
                <w:sz w:val="18"/>
                <w:szCs w:val="18"/>
                <w:color w:val="auto"/>
                <w:w w:val="99"/>
              </w:rPr>
              <w:t>15,623,046</w:t>
            </w:r>
          </w:p>
        </w:tc>
        <w:tc>
          <w:tcPr>
            <w:tcW w:w="2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DESIGNS, INC.</w:t>
      </w:r>
    </w:p>
    <w:p>
      <w:pPr>
        <w:jc w:val="center"/>
        <w:ind w:right="2939"/>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line="5"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August 2, 1997,  August 3, 1996 and February 1, 1997 (In thousands, except share data) (Unaudited)</w:t>
      </w: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14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August 2,</w:t>
            </w:r>
          </w:p>
        </w:tc>
        <w:tc>
          <w:tcPr>
            <w:tcW w:w="11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4"/>
              </w:rPr>
              <w:t>August 3,</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February 1,</w:t>
            </w:r>
          </w:p>
        </w:tc>
      </w:tr>
      <w:tr>
        <w:trPr>
          <w:trHeight w:val="203"/>
        </w:trPr>
        <w:tc>
          <w:tcPr>
            <w:tcW w:w="4160" w:type="dxa"/>
            <w:vAlign w:val="bottom"/>
          </w:tcPr>
          <w:p>
            <w:pPr>
              <w:spacing w:after="0"/>
              <w:rPr>
                <w:sz w:val="17"/>
                <w:szCs w:val="17"/>
                <w:color w:val="auto"/>
              </w:rPr>
            </w:pPr>
          </w:p>
        </w:tc>
        <w:tc>
          <w:tcPr>
            <w:tcW w:w="144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1997</w:t>
            </w: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1996</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160" w:type="dxa"/>
            <w:vAlign w:val="bottom"/>
          </w:tcPr>
          <w:p>
            <w:pPr>
              <w:spacing w:after="0"/>
              <w:rPr>
                <w:sz w:val="17"/>
                <w:szCs w:val="17"/>
                <w:color w:val="auto"/>
              </w:rPr>
            </w:pPr>
          </w:p>
        </w:tc>
        <w:tc>
          <w:tcPr>
            <w:tcW w:w="14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15,771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3,390</w:t>
            </w: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7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5,887</w:t>
            </w: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7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558</w:t>
            </w: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Inventories (Note 6)</w:t>
            </w:r>
          </w:p>
        </w:tc>
        <w:tc>
          <w:tcPr>
            <w:tcW w:w="7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80,376</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64,610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79,958</w:t>
            </w: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deferred and refundable</w:t>
            </w:r>
          </w:p>
        </w:tc>
        <w:tc>
          <w:tcPr>
            <w:tcW w:w="7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14,115</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1,160</w:t>
            </w:r>
          </w:p>
        </w:tc>
      </w:tr>
      <w:tr>
        <w:trPr>
          <w:trHeight w:val="203"/>
        </w:trPr>
        <w:tc>
          <w:tcPr>
            <w:tcW w:w="4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Pre-opening costs, net</w:t>
            </w:r>
          </w:p>
        </w:tc>
        <w:tc>
          <w:tcPr>
            <w:tcW w:w="74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w:t>
            </w:r>
          </w:p>
        </w:tc>
        <w:tc>
          <w:tcPr>
            <w:tcW w:w="1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524</w:t>
            </w:r>
          </w:p>
        </w:tc>
      </w:tr>
    </w:tbl>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Prepaid expenses</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5,269</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4,056</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4,834</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100,783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87,339</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96,311</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 net of accumulated</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40,275</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39,216</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Long-term investments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5,766</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2,700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2,737</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2,743</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3,040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2,716</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3,078</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assets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662</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412</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assets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$147,049</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$140,220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$141,760</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ind w:left="120"/>
              <w:spacing w:after="0"/>
              <w:rPr>
                <w:sz w:val="20"/>
                <w:szCs w:val="20"/>
                <w:color w:val="auto"/>
              </w:rPr>
            </w:pPr>
            <w:r>
              <w:rPr>
                <w:rFonts w:ascii="Courier New" w:cs="Courier New" w:eastAsia="Courier New" w:hAnsi="Courier New"/>
                <w:sz w:val="18"/>
                <w:szCs w:val="18"/>
                <w:color w:val="auto"/>
              </w:rPr>
              <w:t>LIABILITIES AND STOCKHOLDERS' EQUITY</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$ 16,893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$ 12,868</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$ 12,194</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expenses and other current</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liabilities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11,444</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11,787</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7,046</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rent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2,848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2,739</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2,398</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Reserve for store closings (Note 6)</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6,123</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1,353</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payable (Note 4)</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12,950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50,258</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28,394</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23,991</w:t>
            </w:r>
          </w:p>
        </w:tc>
      </w:tr>
      <w:tr>
        <w:trPr>
          <w:trHeight w:val="608"/>
        </w:trPr>
        <w:tc>
          <w:tcPr>
            <w:tcW w:w="4640" w:type="dxa"/>
            <w:vAlign w:val="bottom"/>
          </w:tcPr>
          <w:p>
            <w:pPr>
              <w:spacing w:after="0"/>
              <w:rPr>
                <w:sz w:val="20"/>
                <w:szCs w:val="20"/>
                <w:color w:val="auto"/>
              </w:rPr>
            </w:pPr>
            <w:r>
              <w:rPr>
                <w:rFonts w:ascii="Courier New" w:cs="Courier New" w:eastAsia="Courier New" w:hAnsi="Courier New"/>
                <w:sz w:val="18"/>
                <w:szCs w:val="18"/>
                <w:color w:val="auto"/>
              </w:rPr>
              <w:t>Minority interest (Note 2)</w:t>
            </w: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5,397</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6,371</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6,724</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 $0.01 par value,</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1,000,000 shares authorized, none issued</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$0.01 par value, 50,000,000</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authorized, 15,904,000, 15,819,000</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15,873,000 shares issued at August 2,</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1997, August 3, 1996 and February 1, 1997,</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53,373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52,784</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53,320</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39,689</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52,513</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59,393</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Treasury stock at cost, 281,000 shares</w:t>
            </w: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August 2, 1997 and February 1, 1997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(1,827)</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(1,827)</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91,394</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105,455</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111,045</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Total liabilities and stockholders' equity</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$147,049</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$140,220</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$141,760</w:t>
            </w:r>
          </w:p>
        </w:tc>
      </w:tr>
      <w:tr>
        <w:trPr>
          <w:trHeight w:val="203"/>
        </w:trPr>
        <w:tc>
          <w:tcPr>
            <w:tcW w:w="464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293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3459"/>
        <w:spacing w:after="0"/>
        <w:rPr>
          <w:sz w:val="20"/>
          <w:szCs w:val="20"/>
          <w:color w:val="auto"/>
        </w:rPr>
      </w:pPr>
      <w:r>
        <w:rPr>
          <w:rFonts w:ascii="Courier New" w:cs="Courier New" w:eastAsia="Courier New" w:hAnsi="Courier New"/>
          <w:sz w:val="18"/>
          <w:szCs w:val="18"/>
          <w:color w:val="auto"/>
        </w:rPr>
        <w:t>DESIGNS, INC.</w:t>
      </w:r>
    </w:p>
    <w:p>
      <w:pPr>
        <w:jc w:val="center"/>
        <w:ind w:right="345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345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345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August 2,</w:t>
            </w:r>
          </w:p>
        </w:tc>
        <w:tc>
          <w:tcPr>
            <w:tcW w:w="2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August 3,</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1997</w:t>
            </w:r>
          </w:p>
        </w:tc>
        <w:tc>
          <w:tcPr>
            <w:tcW w:w="26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64,543</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66,524</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occupancy</w:t>
            </w: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67,128</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45,959</w:t>
            </w:r>
          </w:p>
        </w:tc>
      </w:tr>
      <w:tr>
        <w:trPr>
          <w:trHeight w:val="203"/>
        </w:trPr>
        <w:tc>
          <w:tcPr>
            <w:tcW w:w="4120" w:type="dxa"/>
            <w:vAlign w:val="bottom"/>
          </w:tcPr>
          <w:p>
            <w:pPr>
              <w:spacing w:after="0"/>
              <w:rPr>
                <w:sz w:val="17"/>
                <w:szCs w:val="17"/>
                <w:color w:val="auto"/>
              </w:rPr>
            </w:pPr>
          </w:p>
        </w:tc>
        <w:tc>
          <w:tcPr>
            <w:tcW w:w="14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(loss) (Note 6)</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(2,585)</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20,565</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16,949</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17,177</w:t>
            </w: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Provision for impairment of assets and</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store closings</w:t>
            </w: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6,046</w:t>
            </w:r>
          </w:p>
        </w:tc>
        <w:tc>
          <w:tcPr>
            <w:tcW w:w="2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2,881</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2,666</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25,876</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19,843</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20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(28,461)</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722</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200" w:type="dxa"/>
            <w:vAlign w:val="bottom"/>
          </w:tcPr>
          <w:p>
            <w:pPr>
              <w:spacing w:after="0"/>
              <w:rPr>
                <w:sz w:val="24"/>
                <w:szCs w:val="24"/>
                <w:color w:val="auto"/>
              </w:rPr>
            </w:pP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255</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44</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262</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Income (loss) before minority interest</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income taxes</w:t>
            </w:r>
          </w:p>
        </w:tc>
        <w:tc>
          <w:tcPr>
            <w:tcW w:w="200" w:type="dxa"/>
            <w:vAlign w:val="bottom"/>
          </w:tcPr>
          <w:p>
            <w:pPr>
              <w:spacing w:after="0"/>
              <w:rPr>
                <w:sz w:val="17"/>
                <w:szCs w:val="17"/>
                <w:color w:val="auto"/>
              </w:rPr>
            </w:pP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(28,703)</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940</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20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(410)</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Income (loss) before income taxes</w:t>
            </w:r>
          </w:p>
        </w:tc>
        <w:tc>
          <w:tcPr>
            <w:tcW w:w="20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(28,293)</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939</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Provision (benefit) for income taxes</w:t>
            </w:r>
          </w:p>
        </w:tc>
        <w:tc>
          <w:tcPr>
            <w:tcW w:w="200" w:type="dxa"/>
            <w:vAlign w:val="bottom"/>
          </w:tcPr>
          <w:p>
            <w:pPr>
              <w:spacing w:after="0"/>
              <w:rPr>
                <w:sz w:val="24"/>
                <w:szCs w:val="24"/>
                <w:color w:val="auto"/>
              </w:rPr>
            </w:pPr>
          </w:p>
        </w:tc>
        <w:tc>
          <w:tcPr>
            <w:tcW w:w="12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(11,712)</w:t>
            </w:r>
          </w:p>
        </w:tc>
        <w:tc>
          <w:tcPr>
            <w:tcW w:w="26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385</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(16,581)</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554</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4"/>
              </w:rPr>
              <w:t>========</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810"/>
        </w:trPr>
        <w:tc>
          <w:tcPr>
            <w:tcW w:w="4120" w:type="dxa"/>
            <w:vAlign w:val="bottom"/>
          </w:tcPr>
          <w:p>
            <w:pPr>
              <w:spacing w:after="0"/>
              <w:rPr>
                <w:sz w:val="20"/>
                <w:szCs w:val="20"/>
                <w:color w:val="auto"/>
              </w:rPr>
            </w:pPr>
            <w:r>
              <w:rPr>
                <w:rFonts w:ascii="Courier New" w:cs="Courier New" w:eastAsia="Courier New" w:hAnsi="Courier New"/>
                <w:sz w:val="18"/>
                <w:szCs w:val="18"/>
                <w:color w:val="auto"/>
              </w:rPr>
              <w:t>Net income (loss) per common and</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(1.06)</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0.04</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Weighted average common and common</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equivalent shares outstanding</w:t>
            </w:r>
          </w:p>
        </w:tc>
        <w:tc>
          <w:tcPr>
            <w:tcW w:w="20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15,622</w:t>
            </w:r>
          </w:p>
        </w:tc>
        <w:tc>
          <w:tcPr>
            <w:tcW w:w="2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15,817</w:t>
            </w:r>
          </w:p>
        </w:tc>
      </w:tr>
    </w:tbl>
    <w:p>
      <w:pPr>
        <w:spacing w:after="0" w:line="200" w:lineRule="exact"/>
        <w:rPr>
          <w:sz w:val="20"/>
          <w:szCs w:val="20"/>
          <w:color w:val="auto"/>
        </w:r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accompanying notes are an integral part of</w:t>
      </w:r>
    </w:p>
    <w:p>
      <w:pPr>
        <w:ind w:left="1060"/>
        <w:spacing w:after="0" w:line="238" w:lineRule="auto"/>
        <w:rPr>
          <w:sz w:val="20"/>
          <w:szCs w:val="20"/>
          <w:color w:val="auto"/>
        </w:rPr>
      </w:pPr>
      <w:r>
        <w:rPr>
          <w:rFonts w:ascii="Courier New" w:cs="Courier New" w:eastAsia="Courier New" w:hAnsi="Courier New"/>
          <w:sz w:val="18"/>
          <w:szCs w:val="18"/>
          <w:color w:val="auto"/>
        </w:rPr>
        <w:t>the consolidated financial statements.</w:t>
      </w:r>
    </w:p>
    <w:p>
      <w:pPr>
        <w:sectPr>
          <w:pgSz w:w="11900" w:h="16838" w:orient="portrait"/>
          <w:cols w:equalWidth="0" w:num="1">
            <w:col w:w="9899"/>
          </w:cols>
          <w:pgMar w:left="560" w:top="514" w:right="1440" w:bottom="1440" w:gutter="0" w:footer="0" w:header="0"/>
        </w:sectPr>
      </w:pPr>
    </w:p>
    <w:bookmarkStart w:id="3" w:name="page4"/>
    <w:bookmarkEnd w:id="3"/>
    <w:p>
      <w:pPr>
        <w:jc w:val="center"/>
        <w:ind w:right="3579"/>
        <w:spacing w:after="0"/>
        <w:rPr>
          <w:sz w:val="20"/>
          <w:szCs w:val="20"/>
          <w:color w:val="auto"/>
        </w:rPr>
      </w:pPr>
      <w:r>
        <w:rPr>
          <w:rFonts w:ascii="Courier New" w:cs="Courier New" w:eastAsia="Courier New" w:hAnsi="Courier New"/>
          <w:sz w:val="18"/>
          <w:szCs w:val="18"/>
          <w:color w:val="auto"/>
        </w:rPr>
        <w:t>DESIGNS, INC.</w:t>
      </w:r>
    </w:p>
    <w:p>
      <w:pPr>
        <w:jc w:val="center"/>
        <w:ind w:right="35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357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357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Six Months Ended</w:t>
            </w:r>
          </w:p>
        </w:tc>
      </w:tr>
      <w:tr>
        <w:trPr>
          <w:trHeight w:val="203"/>
        </w:trPr>
        <w:tc>
          <w:tcPr>
            <w:tcW w:w="4160" w:type="dxa"/>
            <w:vAlign w:val="bottom"/>
          </w:tcPr>
          <w:p>
            <w:pPr>
              <w:spacing w:after="0"/>
              <w:rPr>
                <w:sz w:val="17"/>
                <w:szCs w:val="17"/>
                <w:color w:val="auto"/>
              </w:rPr>
            </w:pPr>
          </w:p>
        </w:tc>
        <w:tc>
          <w:tcPr>
            <w:tcW w:w="258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August 2,</w:t>
            </w:r>
          </w:p>
        </w:tc>
        <w:tc>
          <w:tcPr>
            <w:tcW w:w="1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4"/>
              </w:rPr>
              <w:t>August 3,</w:t>
            </w:r>
          </w:p>
        </w:tc>
      </w:tr>
      <w:tr>
        <w:trPr>
          <w:trHeight w:val="203"/>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c>
          <w:tcPr>
            <w:tcW w:w="3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1996</w:t>
            </w:r>
          </w:p>
        </w:tc>
      </w:tr>
      <w:tr>
        <w:trPr>
          <w:trHeight w:val="203"/>
        </w:trPr>
        <w:tc>
          <w:tcPr>
            <w:tcW w:w="4160" w:type="dxa"/>
            <w:vAlign w:val="bottom"/>
          </w:tcPr>
          <w:p>
            <w:pPr>
              <w:spacing w:after="0"/>
              <w:rPr>
                <w:sz w:val="17"/>
                <w:szCs w:val="17"/>
                <w:color w:val="auto"/>
              </w:rPr>
            </w:pP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120,013</w:t>
            </w:r>
          </w:p>
        </w:tc>
        <w:tc>
          <w:tcPr>
            <w:tcW w:w="1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$ 125,860</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occupancy</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109,112</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89,138</w:t>
            </w:r>
          </w:p>
        </w:tc>
      </w:tr>
      <w:tr>
        <w:trPr>
          <w:trHeight w:val="203"/>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Gross profit (loss) (Note 6)</w:t>
            </w:r>
          </w:p>
        </w:tc>
        <w:tc>
          <w:tcPr>
            <w:tcW w:w="2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10,901</w:t>
            </w:r>
          </w:p>
        </w:tc>
        <w:tc>
          <w:tcPr>
            <w:tcW w:w="3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36,722</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33,004</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33,237</w:t>
            </w:r>
          </w:p>
        </w:tc>
      </w:tr>
      <w:tr>
        <w:trPr>
          <w:trHeight w:val="203"/>
        </w:trPr>
        <w:tc>
          <w:tcPr>
            <w:tcW w:w="4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Provision for impairment of assets and</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store closings</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6,046</w:t>
            </w:r>
          </w:p>
        </w:tc>
        <w:tc>
          <w:tcPr>
            <w:tcW w:w="32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5,667</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5,150</w:t>
            </w:r>
          </w:p>
        </w:tc>
      </w:tr>
      <w:tr>
        <w:trPr>
          <w:trHeight w:val="203"/>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44,717</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38,387</w:t>
            </w:r>
          </w:p>
        </w:tc>
      </w:tr>
      <w:tr>
        <w:trPr>
          <w:trHeight w:val="203"/>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2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(33,816)</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(1,665)</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260" w:type="dxa"/>
            <w:vAlign w:val="bottom"/>
          </w:tcPr>
          <w:p>
            <w:pPr>
              <w:spacing w:after="0"/>
              <w:rPr>
                <w:sz w:val="24"/>
                <w:szCs w:val="24"/>
                <w:color w:val="auto"/>
              </w:rPr>
            </w:pP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406</w:t>
            </w:r>
          </w:p>
        </w:tc>
        <w:tc>
          <w:tcPr>
            <w:tcW w:w="3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88</w:t>
            </w: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580</w:t>
            </w:r>
          </w:p>
        </w:tc>
      </w:tr>
      <w:tr>
        <w:trPr>
          <w:trHeight w:val="203"/>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Income (loss) before minority interest</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income taxes</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(34,154)</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(1,173)</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2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(427)</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(144)</w:t>
            </w:r>
          </w:p>
        </w:tc>
      </w:tr>
      <w:tr>
        <w:trPr>
          <w:trHeight w:val="203"/>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Income (loss) before income taxes</w:t>
            </w:r>
          </w:p>
        </w:tc>
        <w:tc>
          <w:tcPr>
            <w:tcW w:w="26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(33,727)</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(1,029)</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Provision (benefit) for income</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16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2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(13,963)</w:t>
            </w:r>
          </w:p>
        </w:tc>
        <w:tc>
          <w:tcPr>
            <w:tcW w:w="3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(438)</w:t>
            </w:r>
          </w:p>
        </w:tc>
      </w:tr>
      <w:tr>
        <w:trPr>
          <w:trHeight w:val="203"/>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Net income (loss)</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(19,764)</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(591)</w:t>
            </w:r>
          </w:p>
        </w:tc>
      </w:tr>
      <w:tr>
        <w:trPr>
          <w:trHeight w:val="203"/>
        </w:trPr>
        <w:tc>
          <w:tcPr>
            <w:tcW w:w="4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4160" w:type="dxa"/>
            <w:vAlign w:val="bottom"/>
          </w:tcPr>
          <w:p>
            <w:pPr>
              <w:spacing w:after="0"/>
              <w:rPr>
                <w:sz w:val="20"/>
                <w:szCs w:val="20"/>
                <w:color w:val="auto"/>
              </w:rPr>
            </w:pPr>
            <w:r>
              <w:rPr>
                <w:rFonts w:ascii="Courier New" w:cs="Courier New" w:eastAsia="Courier New" w:hAnsi="Courier New"/>
                <w:sz w:val="18"/>
                <w:szCs w:val="18"/>
                <w:color w:val="auto"/>
                <w:w w:val="98"/>
              </w:rPr>
              <w:t>Net income (loss) per common and common</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equivalent share</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(0.04)</w:t>
            </w:r>
          </w:p>
        </w:tc>
      </w:tr>
      <w:tr>
        <w:trPr>
          <w:trHeight w:val="405"/>
        </w:trPr>
        <w:tc>
          <w:tcPr>
            <w:tcW w:w="4160" w:type="dxa"/>
            <w:vAlign w:val="bottom"/>
          </w:tcPr>
          <w:p>
            <w:pPr>
              <w:spacing w:after="0"/>
              <w:rPr>
                <w:sz w:val="20"/>
                <w:szCs w:val="20"/>
                <w:color w:val="auto"/>
              </w:rPr>
            </w:pPr>
            <w:r>
              <w:rPr>
                <w:rFonts w:ascii="Courier New" w:cs="Courier New" w:eastAsia="Courier New" w:hAnsi="Courier New"/>
                <w:sz w:val="18"/>
                <w:szCs w:val="18"/>
                <w:color w:val="auto"/>
              </w:rPr>
              <w:t>Weighted average common and common</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equivalent shares outstanding</w:t>
            </w:r>
          </w:p>
        </w:tc>
        <w:tc>
          <w:tcPr>
            <w:tcW w:w="2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15,613</w:t>
            </w:r>
          </w:p>
        </w:tc>
        <w:tc>
          <w:tcPr>
            <w:tcW w:w="3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15,814</w:t>
            </w:r>
          </w:p>
        </w:tc>
      </w:tr>
    </w:tbl>
    <w:p>
      <w:pPr>
        <w:spacing w:after="0" w:line="200" w:lineRule="exact"/>
        <w:rPr>
          <w:sz w:val="20"/>
          <w:szCs w:val="20"/>
          <w:color w:val="auto"/>
        </w:rPr>
      </w:pPr>
    </w:p>
    <w:p>
      <w:pPr>
        <w:spacing w:after="0" w:line="20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The accompanying notes are an integral part of</w:t>
      </w:r>
    </w:p>
    <w:p>
      <w:pPr>
        <w:jc w:val="center"/>
        <w:ind w:right="3259"/>
        <w:spacing w:after="0" w:line="238" w:lineRule="auto"/>
        <w:rPr>
          <w:sz w:val="20"/>
          <w:szCs w:val="20"/>
          <w:color w:val="auto"/>
        </w:rPr>
      </w:pPr>
      <w:r>
        <w:rPr>
          <w:rFonts w:ascii="Courier New" w:cs="Courier New" w:eastAsia="Courier New" w:hAnsi="Courier New"/>
          <w:sz w:val="18"/>
          <w:szCs w:val="18"/>
          <w:color w:val="auto"/>
        </w:rPr>
        <w:t>the consolidated financial statements.</w:t>
      </w:r>
    </w:p>
    <w:p>
      <w:pPr>
        <w:sectPr>
          <w:pgSz w:w="11900" w:h="16838" w:orient="portrait"/>
          <w:cols w:equalWidth="0" w:num="1">
            <w:col w:w="9999"/>
          </w:cols>
          <w:pgMar w:left="460" w:top="1122" w:right="1440" w:bottom="1440" w:gutter="0" w:footer="0" w:header="0"/>
        </w:sectPr>
      </w:pPr>
    </w:p>
    <w:bookmarkStart w:id="4" w:name="page5"/>
    <w:bookmarkEnd w:id="4"/>
    <w:p>
      <w:pPr>
        <w:jc w:val="center"/>
        <w:ind w:right="3579"/>
        <w:spacing w:after="0"/>
        <w:rPr>
          <w:sz w:val="20"/>
          <w:szCs w:val="20"/>
          <w:color w:val="auto"/>
        </w:rPr>
      </w:pPr>
      <w:r>
        <w:rPr>
          <w:rFonts w:ascii="Courier New" w:cs="Courier New" w:eastAsia="Courier New" w:hAnsi="Courier New"/>
          <w:sz w:val="18"/>
          <w:szCs w:val="18"/>
          <w:color w:val="auto"/>
        </w:rPr>
        <w:t>DESIGNS, INC.</w:t>
      </w:r>
    </w:p>
    <w:p>
      <w:pPr>
        <w:jc w:val="center"/>
        <w:ind w:right="35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357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357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262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4220" w:type="dxa"/>
            <w:vAlign w:val="bottom"/>
          </w:tcPr>
          <w:p>
            <w:pPr>
              <w:spacing w:after="0"/>
              <w:rPr>
                <w:sz w:val="17"/>
                <w:szCs w:val="17"/>
                <w:color w:val="auto"/>
              </w:rPr>
            </w:pPr>
          </w:p>
        </w:tc>
        <w:tc>
          <w:tcPr>
            <w:tcW w:w="262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220" w:type="dxa"/>
            <w:vAlign w:val="bottom"/>
          </w:tcPr>
          <w:p>
            <w:pPr>
              <w:spacing w:after="0"/>
              <w:rPr>
                <w:sz w:val="17"/>
                <w:szCs w:val="17"/>
                <w:color w:val="auto"/>
              </w:rPr>
            </w:pPr>
          </w:p>
        </w:tc>
        <w:tc>
          <w:tcPr>
            <w:tcW w:w="13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August 2,</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August 3,</w:t>
            </w:r>
          </w:p>
        </w:tc>
      </w:tr>
      <w:tr>
        <w:trPr>
          <w:trHeight w:val="203"/>
        </w:trPr>
        <w:tc>
          <w:tcPr>
            <w:tcW w:w="4220" w:type="dxa"/>
            <w:vAlign w:val="bottom"/>
          </w:tcPr>
          <w:p>
            <w:pPr>
              <w:spacing w:after="0"/>
              <w:rPr>
                <w:sz w:val="17"/>
                <w:szCs w:val="17"/>
                <w:color w:val="auto"/>
              </w:rPr>
            </w:pPr>
          </w:p>
        </w:tc>
        <w:tc>
          <w:tcPr>
            <w:tcW w:w="13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1997</w:t>
            </w:r>
          </w:p>
        </w:tc>
        <w:tc>
          <w:tcPr>
            <w:tcW w:w="38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Sales</w:t>
            </w:r>
          </w:p>
        </w:tc>
        <w:tc>
          <w:tcPr>
            <w:tcW w:w="13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$ 283,746</w:t>
            </w: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302,605</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occupancy</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223,338</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212,872</w:t>
            </w:r>
          </w:p>
        </w:tc>
      </w:tr>
      <w:tr>
        <w:trPr>
          <w:trHeight w:val="203"/>
        </w:trPr>
        <w:tc>
          <w:tcPr>
            <w:tcW w:w="4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Gross profit (loss) (Note 6)</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60,408</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89,733</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65,703</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70,110</w:t>
            </w: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Provision for impairment of assets and</w:t>
            </w: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2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store closings</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6,046</w:t>
            </w:r>
          </w:p>
        </w:tc>
        <w:tc>
          <w:tcPr>
            <w:tcW w:w="3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10,920</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9,955</w:t>
            </w:r>
          </w:p>
        </w:tc>
      </w:tr>
      <w:tr>
        <w:trPr>
          <w:trHeight w:val="203"/>
        </w:trPr>
        <w:tc>
          <w:tcPr>
            <w:tcW w:w="4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82,669</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80,065</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13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(22,261)</w:t>
            </w:r>
          </w:p>
        </w:tc>
        <w:tc>
          <w:tcPr>
            <w:tcW w:w="3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9,668</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3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515</w:t>
            </w:r>
          </w:p>
        </w:tc>
        <w:tc>
          <w:tcPr>
            <w:tcW w:w="3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197</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654</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1,448</w:t>
            </w:r>
          </w:p>
        </w:tc>
      </w:tr>
      <w:tr>
        <w:trPr>
          <w:trHeight w:val="203"/>
        </w:trPr>
        <w:tc>
          <w:tcPr>
            <w:tcW w:w="4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Income (loss) before minority interest</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income taxes</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(22,122)</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10,919</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13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212</w:t>
            </w:r>
          </w:p>
        </w:tc>
        <w:tc>
          <w:tcPr>
            <w:tcW w:w="380" w:type="dxa"/>
            <w:vAlign w:val="bottom"/>
          </w:tcPr>
          <w:p>
            <w:pPr>
              <w:spacing w:after="0"/>
              <w:rPr>
                <w:sz w:val="24"/>
                <w:szCs w:val="24"/>
                <w:color w:val="auto"/>
              </w:rPr>
            </w:pP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175</w:t>
            </w:r>
          </w:p>
        </w:tc>
      </w:tr>
      <w:tr>
        <w:trPr>
          <w:trHeight w:val="203"/>
        </w:trPr>
        <w:tc>
          <w:tcPr>
            <w:tcW w:w="4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before income taxes</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(22,334)</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10,744</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Provision (benefit) for income</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taxes</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(9,425)</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4,352</w:t>
            </w:r>
          </w:p>
        </w:tc>
      </w:tr>
      <w:tr>
        <w:trPr>
          <w:trHeight w:val="203"/>
        </w:trPr>
        <w:tc>
          <w:tcPr>
            <w:tcW w:w="4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(12,909)</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6,392</w:t>
            </w:r>
          </w:p>
        </w:tc>
      </w:tr>
      <w:tr>
        <w:trPr>
          <w:trHeight w:val="203"/>
        </w:trPr>
        <w:tc>
          <w:tcPr>
            <w:tcW w:w="4220" w:type="dxa"/>
            <w:vAlign w:val="bottom"/>
          </w:tcPr>
          <w:p>
            <w:pPr>
              <w:spacing w:after="0"/>
              <w:rPr>
                <w:sz w:val="17"/>
                <w:szCs w:val="17"/>
                <w:color w:val="auto"/>
              </w:rPr>
            </w:pP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income (loss) per common and</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common equivalent share</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(0.82)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0.40</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Weighted average common and common</w:t>
            </w: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equivalent shares outstanding</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15,658</w:t>
            </w:r>
          </w:p>
        </w:tc>
        <w:tc>
          <w:tcPr>
            <w:tcW w:w="38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15,793</w:t>
            </w:r>
          </w:p>
        </w:tc>
      </w:tr>
    </w:tbl>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accompanying notes are an integral part of</w:t>
      </w:r>
    </w:p>
    <w:p>
      <w:pPr>
        <w:ind w:left="1360"/>
        <w:spacing w:after="0" w:line="238" w:lineRule="auto"/>
        <w:rPr>
          <w:sz w:val="20"/>
          <w:szCs w:val="20"/>
          <w:color w:val="auto"/>
        </w:rPr>
      </w:pPr>
      <w:r>
        <w:rPr>
          <w:rFonts w:ascii="Courier New" w:cs="Courier New" w:eastAsia="Courier New" w:hAnsi="Courier New"/>
          <w:sz w:val="18"/>
          <w:szCs w:val="18"/>
          <w:color w:val="auto"/>
        </w:rPr>
        <w:t>the consolidated financial statements.</w:t>
      </w:r>
    </w:p>
    <w:p>
      <w:pPr>
        <w:sectPr>
          <w:pgSz w:w="11900" w:h="16838" w:orient="portrait"/>
          <w:cols w:equalWidth="0" w:num="1">
            <w:col w:w="9999"/>
          </w:cols>
          <w:pgMar w:left="460" w:top="1122" w:right="1440" w:bottom="1440" w:gutter="0" w:footer="0" w:header="0"/>
        </w:sectPr>
      </w:pPr>
    </w:p>
    <w:bookmarkStart w:id="5" w:name="page6"/>
    <w:bookmarkEnd w:id="5"/>
    <w:p>
      <w:pPr>
        <w:ind w:left="2640"/>
        <w:spacing w:after="0"/>
        <w:rPr>
          <w:sz w:val="20"/>
          <w:szCs w:val="20"/>
          <w:color w:val="auto"/>
        </w:rPr>
      </w:pPr>
      <w:r>
        <w:rPr>
          <w:rFonts w:ascii="Courier New" w:cs="Courier New" w:eastAsia="Courier New" w:hAnsi="Courier New"/>
          <w:sz w:val="18"/>
          <w:szCs w:val="18"/>
          <w:color w:val="auto"/>
        </w:rPr>
        <w:t>DESIGNS, INC.</w:t>
      </w:r>
    </w:p>
    <w:p>
      <w:pPr>
        <w:ind w:left="2120"/>
        <w:spacing w:after="0" w:line="238" w:lineRule="auto"/>
        <w:rPr>
          <w:sz w:val="20"/>
          <w:szCs w:val="20"/>
          <w:color w:val="auto"/>
        </w:rPr>
      </w:pPr>
      <w:r>
        <w:rPr>
          <w:rFonts w:ascii="Courier New" w:cs="Courier New" w:eastAsia="Courier New" w:hAnsi="Courier New"/>
          <w:sz w:val="18"/>
          <w:szCs w:val="18"/>
          <w:color w:val="auto"/>
        </w:rPr>
        <w:t>STATEMENTS OF CASH FLOWS</w:t>
      </w:r>
    </w:p>
    <w:p>
      <w:pPr>
        <w:ind w:left="2120"/>
        <w:spacing w:after="0"/>
        <w:rPr>
          <w:sz w:val="20"/>
          <w:szCs w:val="20"/>
          <w:color w:val="auto"/>
        </w:rPr>
      </w:pPr>
      <w:r>
        <w:rPr>
          <w:rFonts w:ascii="Courier New" w:cs="Courier New" w:eastAsia="Courier New" w:hAnsi="Courier New"/>
          <w:sz w:val="18"/>
          <w:szCs w:val="18"/>
          <w:color w:val="auto"/>
        </w:rPr>
        <w:t>(In thousands-Unaudited)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7"/>
              </w:rPr>
              <w:t>Six Months Ended</w:t>
            </w:r>
          </w:p>
        </w:tc>
      </w:tr>
      <w:tr>
        <w:trPr>
          <w:trHeight w:val="203"/>
        </w:trPr>
        <w:tc>
          <w:tcPr>
            <w:tcW w:w="4800" w:type="dxa"/>
            <w:vAlign w:val="bottom"/>
          </w:tcPr>
          <w:p>
            <w:pPr>
              <w:spacing w:after="0"/>
              <w:rPr>
                <w:sz w:val="17"/>
                <w:szCs w:val="17"/>
                <w:color w:val="auto"/>
              </w:rPr>
            </w:pPr>
          </w:p>
        </w:tc>
        <w:tc>
          <w:tcPr>
            <w:tcW w:w="2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2,</w:t>
            </w:r>
          </w:p>
        </w:tc>
        <w:tc>
          <w:tcPr>
            <w:tcW w:w="26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August 3,</w:t>
            </w:r>
          </w:p>
        </w:tc>
      </w:tr>
      <w:tr>
        <w:trPr>
          <w:trHeight w:val="203"/>
        </w:trPr>
        <w:tc>
          <w:tcPr>
            <w:tcW w:w="4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1997</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800" w:type="dxa"/>
            <w:vAlign w:val="bottom"/>
          </w:tcPr>
          <w:p>
            <w:pPr>
              <w:spacing w:after="0"/>
              <w:rPr>
                <w:sz w:val="17"/>
                <w:szCs w:val="17"/>
                <w:color w:val="auto"/>
              </w:rPr>
            </w:pP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loss</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(19,764)</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(591)</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used for operating activities: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5,667</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5,150</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(427)</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on sale of investments</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Loss from disposal of property</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equipment</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w:t>
            </w:r>
          </w:p>
        </w:tc>
      </w:tr>
      <w:tr>
        <w:trPr>
          <w:trHeight w:val="405"/>
        </w:trPr>
        <w:tc>
          <w:tcPr>
            <w:tcW w:w="4800" w:type="dxa"/>
            <w:vAlign w:val="bottom"/>
          </w:tcPr>
          <w:p>
            <w:pPr>
              <w:ind w:left="120"/>
              <w:spacing w:after="0"/>
              <w:rPr>
                <w:sz w:val="20"/>
                <w:szCs w:val="20"/>
                <w:color w:val="auto"/>
              </w:rPr>
            </w:pPr>
            <w:r>
              <w:rPr>
                <w:rFonts w:ascii="Courier New" w:cs="Courier New" w:eastAsia="Courier New" w:hAnsi="Courier New"/>
                <w:sz w:val="18"/>
                <w:szCs w:val="18"/>
                <w:color w:val="auto"/>
                <w:w w:val="98"/>
              </w:rPr>
              <w:t>Changes in operating assets and liabilities: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239</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(10,193)</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(6,602)</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taxes deferred and refundable</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(14,308)</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(214)</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(1,182)</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Reserve markdowns and store closings</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17,123</w:t>
            </w:r>
          </w:p>
        </w:tc>
        <w:tc>
          <w:tcPr>
            <w:tcW w:w="26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4,700</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4,683</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expenses and other current</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liabilities</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4,398</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3,995</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Accrued rent</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450</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480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(used for) provided by operating</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activities</w:t>
            </w:r>
          </w:p>
        </w:tc>
        <w:tc>
          <w:tcPr>
            <w:tcW w:w="12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(12,359)</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5,482</w:t>
            </w:r>
          </w:p>
        </w:tc>
      </w:tr>
      <w:tr>
        <w:trPr>
          <w:trHeight w:val="203"/>
        </w:trPr>
        <w:tc>
          <w:tcPr>
            <w:tcW w:w="480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Additions to property and equipmet</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(7,399)</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(9,828)</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Incurrence of pre-opening costs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(138)</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disposal of property and</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Sale and maturity of investments</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5,888</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6,168</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Reduction in other assets</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Distributions to joint venture partner</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(900)</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used for investing activities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(2,679)</w:t>
            </w:r>
          </w:p>
        </w:tc>
        <w:tc>
          <w:tcPr>
            <w:tcW w:w="26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(3,669)</w:t>
            </w:r>
          </w:p>
        </w:tc>
      </w:tr>
      <w:tr>
        <w:trPr>
          <w:trHeight w:val="203"/>
        </w:trPr>
        <w:tc>
          <w:tcPr>
            <w:tcW w:w="480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Increase in short-term notes payable</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11,950</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Issuance of common stock under option</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program (1)</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80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cash provided by financing activities</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12,003</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80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 cash</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equivalents</w:t>
            </w:r>
          </w:p>
        </w:tc>
        <w:tc>
          <w:tcPr>
            <w:tcW w:w="3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(3,035)</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1,830</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3,390</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13,941</w:t>
            </w:r>
          </w:p>
        </w:tc>
      </w:tr>
      <w:tr>
        <w:trPr>
          <w:trHeight w:val="203"/>
        </w:trPr>
        <w:tc>
          <w:tcPr>
            <w:tcW w:w="480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the quarter</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355</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$ 15,771</w:t>
            </w:r>
          </w:p>
        </w:tc>
      </w:tr>
      <w:tr>
        <w:trPr>
          <w:trHeight w:val="203"/>
        </w:trPr>
        <w:tc>
          <w:tcPr>
            <w:tcW w:w="4800" w:type="dxa"/>
            <w:vAlign w:val="bottom"/>
          </w:tcPr>
          <w:p>
            <w:pPr>
              <w:spacing w:after="0"/>
              <w:rPr>
                <w:sz w:val="17"/>
                <w:szCs w:val="17"/>
                <w:color w:val="auto"/>
              </w:rPr>
            </w:pP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Supplementary Cash Flow Disclosure</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4800" w:type="dxa"/>
            <w:vAlign w:val="bottom"/>
          </w:tcPr>
          <w:p>
            <w:pPr>
              <w:ind w:left="420"/>
              <w:spacing w:after="0"/>
              <w:rPr>
                <w:sz w:val="20"/>
                <w:szCs w:val="20"/>
                <w:color w:val="auto"/>
              </w:rPr>
            </w:pPr>
            <w:r>
              <w:rPr>
                <w:rFonts w:ascii="Courier New" w:cs="Courier New" w:eastAsia="Courier New" w:hAnsi="Courier New"/>
                <w:sz w:val="18"/>
                <w:szCs w:val="18"/>
                <w:color w:val="auto"/>
              </w:rPr>
              <w:t>Cash paid:</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395</w:t>
            </w:r>
          </w:p>
        </w:tc>
        <w:tc>
          <w:tcPr>
            <w:tcW w:w="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73"/>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4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Taxes, net</w:t>
            </w:r>
          </w:p>
        </w:tc>
        <w:tc>
          <w:tcPr>
            <w:tcW w:w="3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287</w:t>
            </w:r>
          </w:p>
        </w:tc>
        <w:tc>
          <w:tcPr>
            <w:tcW w:w="260" w:type="dxa"/>
            <w:vAlign w:val="bottom"/>
          </w:tcPr>
          <w:p>
            <w:pPr>
              <w:spacing w:after="0"/>
              <w:rPr>
                <w:sz w:val="17"/>
                <w:szCs w:val="17"/>
                <w:color w:val="auto"/>
              </w:rPr>
            </w:pP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722</w:t>
            </w:r>
          </w:p>
        </w:tc>
      </w:tr>
    </w:tbl>
    <w:p>
      <w:pPr>
        <w:spacing w:after="0" w:line="201"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of related tax effect.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notes are an integral part of the consolidated</w:t>
      </w:r>
    </w:p>
    <w:p>
      <w:pPr>
        <w:ind w:left="2740"/>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122" w:right="1440" w:bottom="767"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2"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2419"/>
        <w:spacing w:after="0" w:line="238" w:lineRule="auto"/>
        <w:rPr>
          <w:sz w:val="20"/>
          <w:szCs w:val="20"/>
          <w:color w:val="auto"/>
        </w:rPr>
      </w:pPr>
      <w:r>
        <w:rPr>
          <w:rFonts w:ascii="Courier New" w:cs="Courier New" w:eastAsia="Courier New" w:hAnsi="Courier New"/>
          <w:sz w:val="18"/>
          <w:szCs w:val="18"/>
          <w:color w:val="auto"/>
        </w:rPr>
        <w:t>In the opinion of management of the Company, the accompanying unaudited consolidated financial statements contain all adjustments (consisting only of normal recurring adjustments as well as a provision for impairment of assets and store closings described in Note 6) necessary for a fair presentation of the interim financial statements. These financial statements do not include all disclosures associated with annual financial statements and, accordingly, should be read in conjunction with the notes contained in the Company's audited consolidated financial statements for the year ended February 1, 1997. The Company's business has historically been seasonal in nature and the results of the interim periods presented are not necessarily indicative of the results to be expected for the full year.</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entered into a partnership agreement with LDJV Inc.</w:t>
      </w:r>
    </w:p>
    <w:p>
      <w:pPr>
        <w:ind w:right="2199"/>
        <w:spacing w:after="0" w:line="268" w:lineRule="auto"/>
        <w:rPr>
          <w:sz w:val="20"/>
          <w:szCs w:val="20"/>
          <w:color w:val="auto"/>
        </w:rPr>
      </w:pPr>
      <w:r>
        <w:rPr>
          <w:rFonts w:ascii="Courier New" w:cs="Courier New" w:eastAsia="Courier New" w:hAnsi="Courier New"/>
          <w:sz w:val="16"/>
          <w:szCs w:val="16"/>
          <w:color w:val="auto"/>
        </w:rPr>
        <w:t>(the "Partnership Agreement") establishing a joint venture to sell Levi's(R) brand jeans and jeans-related products in Original Levi's Stores(TM) and Levi's(R) Outlet stores. LDJV Inc. is a wholly-owned subsidiary of Levi's Only Stores, Inc., which is a wholly-owned subsidiary of Levi Strauss &amp; Co. The joint venture that was established by the Partnership Agreement is known as The Designs/OLS Partnership (the "OLS Partnership"). The operating results of the OLS Partnership are consolidated with the financial statements of the Company for the three, six and twelve</w:t>
      </w:r>
    </w:p>
    <w:p>
      <w:pPr>
        <w:spacing w:after="0" w:line="1"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months ended August 2, 1997. Minority interest at August 2, 1997, represents LDJV Inc.'s 30% interest in the OLS Partnership. During the first six months of fiscal 1997, the OLS Partnership distributed $3.0 million in "excess cash" to its partners in accordance with the terms of the Partnership Agreement. The OLS Partnership is also obligated to distribute funds to its partners enabling them to pay taxes associated with the related earnings. No cash distributions for payment of taxes were required during the six months ended August 2, 1997 and August 3, 1996, respectively.</w:t>
      </w:r>
    </w:p>
    <w:p>
      <w:pPr>
        <w:sectPr>
          <w:pgSz w:w="11900" w:h="16838" w:orient="portrait"/>
          <w:cols w:equalWidth="0" w:num="1">
            <w:col w:w="10219"/>
          </w:cols>
          <w:pgMar w:left="240" w:top="717" w:right="1440" w:bottom="1440" w:gutter="0" w:footer="0" w:header="0"/>
        </w:sectPr>
      </w:pPr>
    </w:p>
    <w:bookmarkStart w:id="7" w:name="page8"/>
    <w:bookmarkEnd w:id="7"/>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Acquisition</w:t>
      </w:r>
    </w:p>
    <w:p>
      <w:pPr>
        <w:spacing w:after="0" w:line="207"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On May 2, 1995, the Company acquired certain assets of Boston Trading Ltd., Inc. In accordance with the terms of the Asset Purchase Agreement dated April 21, 1995, the Company paid $5.4 million in cash, financed by operations, and delivered a non-negotiable promissory note in the principal amount of $1 million (the "Purchase Note") payable in two equal annual installments through May 2, 1997. In the first quarter of fiscal 1996, the Company asserted rights of indemnification under the Asset Purchase Agreement. In accordance with the Asset Purchase Agreement, the Company, when exercising its indemnification rights, has the right, among other courses of action, to offset against the payment of principal and interest due and payable under the Purchase Note. Accordingly, the Company did not make either of the $500,000 payments of principal due on the Purchase Note on May 2, 1996 and May 2, 1997. The Company paid all interest due through May 2, 1997 in accordance with the terms of the Purchase Note.</w:t>
      </w:r>
    </w:p>
    <w:p>
      <w:pPr>
        <w:spacing w:after="0" w:line="382"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On July 24, 1996, the Company entered into an Amended and Restated Credit Agreement (the "Credit Agreement") with BankBoston, N.A., formerly BayBank, N.A., and State Street Bank and Trust Company under which these banks established a credit facility for the Company. This credit facility, which terminates on June 30, 1999, consists of: (i) a revolving line of credit permitting the Company to borrow up to $15 million, and (ii) a commercial and trade letters of credit facility under which letters of credit, in aggregate amounts up to $45 million, may be issued for the Company's inventory purchases. Under the revolving line of credit portion of the facility, the Company has the ability to issue standby letters of credit up to</w:t>
      </w:r>
    </w:p>
    <w:p>
      <w:pPr>
        <w:spacing w:after="0" w:line="184"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8"/>
          <w:szCs w:val="18"/>
          <w:color w:val="auto"/>
        </w:rPr>
        <w:t>$750,000. Loans made under this portion of the facility bear interest, subject to adjustment, at BankBoston, N.A.'s prime rate or LIBOR-based fixed rate. The Company may increase the commercial and trade letters of credit portion of the facility in increments of $15 million up to a total of $45 million. Under the Credit Agreement, the Company has agreed not to pay cash dividends on its Common Stock if such payment would cause the Company to be in default of certain financial ratios. To date, the Company has not paid any cash dividends. The terms of the Credit Agreement require the Company to maintain certain net worth, inventory turnover and cash flow ratios. At August 2, 1997, the Company was not in compliance with the cash flow ratio covenant. The Company received a written waiver of this covenant for the quarter ended August 2, 1997. At August 2, 1997, the Company had outstanding commercial and trade letters of credit totaling approximately $4.8 million and two outstanding standby letters of credit totaling approximately $335,000.</w:t>
      </w:r>
    </w:p>
    <w:p>
      <w:pPr>
        <w:sectPr>
          <w:pgSz w:w="11900" w:h="16838" w:orient="portrait"/>
          <w:cols w:equalWidth="0" w:num="1">
            <w:col w:w="10219"/>
          </w:cols>
          <w:pgMar w:left="240" w:top="919" w:right="1440" w:bottom="1440" w:gutter="0" w:footer="0" w:header="0"/>
        </w:sectPr>
      </w:pPr>
    </w:p>
    <w:bookmarkStart w:id="8" w:name="page9"/>
    <w:bookmarkEnd w:id="8"/>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Venture Credit Agreement</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During the third quarter of fiscal 1996 the Company entered into a Credit Agreement (the "OLS Credit Agreement") with the OLS Partnership and Levi's Only Stores, Inc. ("LOS") under which the Company and LOS are committed to make advances to the OLS Partnership in the amount of $3.5 million and $1.5 million, respectively. The facility bears interest at BankBoston, N.A.'s prime rate and terminates September 30, 1997, unless terminated earlier pursuant to the provisions of the OLS Credit Agreement. This Agreement provides that there will be no unpaid credit advances outstanding on the last day of any fiscal year. No advances were outstanding under this facility during the second quarter of fiscal 1997.</w:t>
      </w:r>
    </w:p>
    <w:p>
      <w:pPr>
        <w:spacing w:after="0" w:line="209"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for Impairment of Assets and Store Closings</w:t>
      </w:r>
    </w:p>
    <w:p>
      <w:pPr>
        <w:spacing w:after="0" w:line="207"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In the second quarter of fiscal 1997, the Company recorded a pre-tax charge of $20 million, or ($0.75) per share after tax, related to the shift in strategy away from the Boston Traders(R) vertically integrated private label concept to a strategy with greater emphasis on name brands. This plan involves the liquidation of Boston Traders(R) brand products,</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closure of the Company's New York City product development office and the planned closing of 17 Designs stores and 16 Boston Traders(R) Outlet stores. The Company anticipates that its future private label requirements will be satisfied by open market purchases of selected items that will include the Boston Traders(R) label.</w:t>
      </w:r>
    </w:p>
    <w:p>
      <w:pPr>
        <w:spacing w:after="0" w:line="209" w:lineRule="exact"/>
        <w:rPr>
          <w:sz w:val="20"/>
          <w:szCs w:val="20"/>
          <w:color w:val="auto"/>
        </w:rPr>
      </w:pPr>
    </w:p>
    <w:p>
      <w:pPr>
        <w:ind w:right="2519"/>
        <w:spacing w:after="0" w:line="272" w:lineRule="auto"/>
        <w:rPr>
          <w:sz w:val="20"/>
          <w:szCs w:val="20"/>
          <w:color w:val="auto"/>
        </w:rPr>
      </w:pPr>
      <w:r>
        <w:rPr>
          <w:rFonts w:ascii="Courier New" w:cs="Courier New" w:eastAsia="Courier New" w:hAnsi="Courier New"/>
          <w:sz w:val="16"/>
          <w:szCs w:val="16"/>
          <w:color w:val="auto"/>
        </w:rPr>
        <w:t>This pre-tax charge includes cash costs of approximately $6.1 million related to lease terminations, cancellation of private label fabric commitments for the remainder of fiscal 1997, severance associated with the closing of the New York office, and other costs related to the strategy shift. The remainder of the $20 million charge consists of non-cash costs of approximately $13.9 million which include approximately $12.4 million of markdowns at cost related to the liquidation of existing and on order Boston Traders(R) brand product through the</w:t>
      </w:r>
    </w:p>
    <w:p>
      <w:pPr>
        <w:spacing w:after="0" w:line="183"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end of fiscal 1997. The non-cash costs also include asset impairment charges associated with the planned store closings. Merchandise markdowns and costs associated with the cancellation of fabric commitments, which total approximately $14 million, are accounted for in cost of goods sold. The remaining amounts related to lease termination costs, asset impairment charges, severance benefits, and other costs, which total approximately</w:t>
      </w:r>
    </w:p>
    <w:p>
      <w:pPr>
        <w:spacing w:after="0" w:line="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$6 million, are accounted for in the provision for impairment of assets and store closings. At August 2, 1997, $6.1 million is accrued in the reserve for store closings and a $9.8 million markdown reserve is included in inventory.</w:t>
      </w:r>
    </w:p>
    <w:p>
      <w:pPr>
        <w:spacing w:after="0" w:line="207"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estimated earnings and cash flow benefits expected, barring unforeseen circumstances, to be derived from these actions for fiscal 1998 are $6.8 million and $7.7 million, and for fiscal 1999 are $10.6 million and</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$8.7 million, respectively. These estimates include anticipated federal income tax refunds related to net operating losses carried back to</w:t>
      </w:r>
    </w:p>
    <w:p>
      <w:pPr>
        <w:ind w:right="2419"/>
        <w:spacing w:after="0" w:line="237" w:lineRule="auto"/>
        <w:rPr>
          <w:sz w:val="20"/>
          <w:szCs w:val="20"/>
          <w:color w:val="auto"/>
        </w:rPr>
      </w:pPr>
      <w:r>
        <w:rPr>
          <w:rFonts w:ascii="Courier New" w:cs="Courier New" w:eastAsia="Courier New" w:hAnsi="Courier New"/>
          <w:sz w:val="18"/>
          <w:szCs w:val="18"/>
          <w:color w:val="auto"/>
        </w:rPr>
        <w:t>prior years' taxable income, offset by cash outflows for lease termination costs, severance benefits and other costs. Future cash flows are based upon management's estimate of the period of time between store closings and the final termination of the lease obligations. Barring unforeseen circumstances, the Company anticipates that 12 to 14 of the stores scheduled for closing during the next 18 months will be closed by the end of fiscal 1997.</w:t>
      </w:r>
    </w:p>
    <w:p>
      <w:pPr>
        <w:sectPr>
          <w:pgSz w:w="11900" w:h="16838" w:orient="portrait"/>
          <w:cols w:equalWidth="0" w:num="1">
            <w:col w:w="10219"/>
          </w:cols>
          <w:pgMar w:left="240" w:top="919" w:right="1440" w:bottom="1440" w:gutter="0" w:footer="0" w:header="0"/>
        </w:sectPr>
      </w:pPr>
    </w:p>
    <w:bookmarkStart w:id="9" w:name="page10"/>
    <w:bookmarkEnd w:id="9"/>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The Financial Accounting Standards Board issued Statement of Financial Accounting Standard No. 128 "Earnings per Share"("SFAS 128"), which modifies the way in which earnings per share ("EPS") is calculated and disclosed. Upon adoption of SFAS 128 for the fiscal period ending January 31, 1998, the Company will disclose basic and diluted EPS and will restate all prior EPS data presented. Basic EPS excludes dilution and is computed by dividing the income available to the commom shareholders by the weighted-average number of common shares outstanding for the period. Diluted EPS, similiar to fully diluted EPS, reflects the potential dilution that could occur if securities or other contracts to issue common stock were exercised or converted into commom stock or resulted in the issuance of commom stock that then shared in the earnings of the entity. Management believes the adoption of SFAS 128 will not have a material impact on previously reported earnings per share.</w:t>
      </w:r>
    </w:p>
    <w:p>
      <w:pPr>
        <w:spacing w:after="0" w:line="207"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The Financial Accounting Standards Board recently issued Statement of Financial Accounting Standard No. 130, "Reporting Comprehensive Income"</w:t>
      </w:r>
    </w:p>
    <w:p>
      <w:pPr>
        <w:ind w:right="1999"/>
        <w:spacing w:after="0" w:line="236" w:lineRule="auto"/>
        <w:rPr>
          <w:sz w:val="20"/>
          <w:szCs w:val="20"/>
          <w:color w:val="auto"/>
        </w:rPr>
      </w:pPr>
      <w:r>
        <w:rPr>
          <w:rFonts w:ascii="Courier New" w:cs="Courier New" w:eastAsia="Courier New" w:hAnsi="Courier New"/>
          <w:sz w:val="18"/>
          <w:szCs w:val="18"/>
          <w:color w:val="auto"/>
        </w:rPr>
        <w:t>("SFAS 130"). SFAS 130 requires that changes in comprehensive income be shown in a separate financial statement that is displayed with the same prominence as other financial statements. SFAS 130 becomes effective for</w:t>
      </w:r>
    </w:p>
    <w:p>
      <w:pPr>
        <w:spacing w:after="0" w:line="6"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fiscal years beginning after December 15, 1997. The Company will adopt this Standard beginning in the first quarter of the fiscal year ending January 30, 1999.</w:t>
      </w:r>
    </w:p>
    <w:p>
      <w:pPr>
        <w:spacing w:after="0" w:line="209"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In June 1997, the Financial Accounting Standard Board issued Statement of Financial Accounting Standard No. 131, "Disclosure about Segments of an Enterprise and Related Information" ("SFAS 131"). SFAS 131 specifies new guidlines for determining a company's operating segments and related requirements for disclosure. SFAS 131 becomes effective for fiscal years beginning after December 15, 1997. The Company will adopt this Standard for the fiscal year ending January 30, 1999.</w:t>
      </w:r>
    </w:p>
    <w:p>
      <w:pPr>
        <w:sectPr>
          <w:pgSz w:w="11900" w:h="16838" w:orient="portrait"/>
          <w:cols w:equalWidth="0" w:num="1">
            <w:col w:w="10219"/>
          </w:cols>
          <w:pgMar w:left="240" w:top="919" w:right="1440" w:bottom="1440" w:gutter="0" w:footer="0" w:header="0"/>
        </w:sectPr>
      </w:pPr>
    </w:p>
    <w:bookmarkStart w:id="10" w:name="page11"/>
    <w:bookmarkEnd w:id="10"/>
    <w:p>
      <w:pPr>
        <w:ind w:left="2120" w:right="2939" w:hanging="2106"/>
        <w:spacing w:after="0" w:line="235" w:lineRule="auto"/>
        <w:tabs>
          <w:tab w:leader="none" w:pos="210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Sales for the second quarter of fiscal 1997 were $64.5 million as compared to sales of $66.5 million in the second quarter of fiscal 1996. Sales for</w:t>
      </w:r>
    </w:p>
    <w:p>
      <w:pPr>
        <w:spacing w:after="0" w:line="6"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the six month year to date and rolling twelve month periods decreased 5 percent and 6 percent, respectively, compared to the same periods in</w:t>
      </w:r>
    </w:p>
    <w:p>
      <w:pPr>
        <w:ind w:right="2099"/>
        <w:spacing w:after="0" w:line="237" w:lineRule="auto"/>
        <w:rPr>
          <w:sz w:val="20"/>
          <w:szCs w:val="20"/>
          <w:color w:val="auto"/>
        </w:rPr>
      </w:pPr>
      <w:r>
        <w:rPr>
          <w:rFonts w:ascii="Courier New" w:cs="Courier New" w:eastAsia="Courier New" w:hAnsi="Courier New"/>
          <w:sz w:val="18"/>
          <w:szCs w:val="18"/>
          <w:color w:val="auto"/>
        </w:rPr>
        <w:t>the prior year. Comparable store sales decreased 5 percent for the second quarter of fiscal 1997 and 6 percent for the six month year to date period as compared to the same periods in fiscal 1996. Comparable stores are retail locations open at least 13 months. Of the 155 stores that the Company operated as of August 2, 1997, 143 were comparable stores. The decreases in sales during these periods are primarily due to sales shortfalls in Levi's(R) brand men's jeans and the poor performance of the Company's private label products.</w:t>
      </w:r>
    </w:p>
    <w:p>
      <w:pPr>
        <w:spacing w:after="0" w:line="212"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Gross margin rate (including the costs of occupancy) for the second quarter of fiscal 1997 equaled (4.0) percent of sales as compared with 30.9 percent of sales for the second quarter in the prior year. The decrease was primarily due to merchandise markdowns related to Boston Traders(R) brand products of $12.4 million and fabric commitment charges, recorded in the second quarter. These charges negatively impacted gross margin by 21.6 percentage points. In addition, gross margin was affected negatively by increased promotional activity in men's products across all store formats and inventory shrink results recorded during the quarter. For the six month and rolling twelve month periods ended August 2, 1997, gross margin</w:t>
      </w:r>
    </w:p>
    <w:p>
      <w:pPr>
        <w:spacing w:after="0" w:line="2" w:lineRule="exact"/>
        <w:rPr>
          <w:sz w:val="20"/>
          <w:szCs w:val="20"/>
          <w:color w:val="auto"/>
        </w:rPr>
      </w:pPr>
    </w:p>
    <w:p>
      <w:pPr>
        <w:ind w:right="2419"/>
        <w:spacing w:after="0" w:line="272" w:lineRule="auto"/>
        <w:rPr>
          <w:sz w:val="20"/>
          <w:szCs w:val="20"/>
          <w:color w:val="auto"/>
        </w:rPr>
      </w:pPr>
      <w:r>
        <w:rPr>
          <w:rFonts w:ascii="Courier New" w:cs="Courier New" w:eastAsia="Courier New" w:hAnsi="Courier New"/>
          <w:sz w:val="16"/>
          <w:szCs w:val="16"/>
          <w:color w:val="auto"/>
        </w:rPr>
        <w:t>rate was 9 percent and 21 percent of sales respectively, as compared to 29 percent and 30 percent of sales for the same periods ended August 3, 1996. The decreases for the six and rolling twelve month periods are similarly attributable to markdowns associated with the liquidation of the Boston Traders(R) brand products, increased promotional activities as well as physical inventory shrink results recorded during the periods.</w:t>
      </w:r>
    </w:p>
    <w:p>
      <w:pPr>
        <w:spacing w:after="0" w:line="186"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Selling, general and administrative expenses for the second quarter equaled $16.9 million or 26.3 percent of sales, compared with $17.2 million, or 25.8 percent of sales in the prior year. Store payroll, the largest component of selling, general and administrative expenses, equaled 12.1 percent of sales for the three months ended August 2, 1997, compared with 11.6 percent of sales for the same period last year. This increase is primarily a result of sales decreases in the second quarter. The increase in store payroll was partially offset by decreases in other store operating expenses as the Company continued to focus on managing and controlling costs.</w:t>
      </w:r>
    </w:p>
    <w:p>
      <w:pPr>
        <w:spacing w:after="0" w:line="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Selling, general and administrative expenses for the six months and rolling twelve months ended August 2, 1997 equaled 27.5 percent and 23.2 percent of sales as compared to 26.4 percent and 23.2 percent of sales in the comparable periods in the prior year. The increase for the six month period, as a percentage of sales, is similarly attributable to sales decreases.</w:t>
      </w:r>
    </w:p>
    <w:p>
      <w:pPr>
        <w:spacing w:after="0" w:line="210" w:lineRule="exact"/>
        <w:rPr>
          <w:sz w:val="20"/>
          <w:szCs w:val="20"/>
          <w:color w:val="auto"/>
        </w:rPr>
      </w:pPr>
    </w:p>
    <w:p>
      <w:pPr>
        <w:ind w:right="2099"/>
        <w:spacing w:after="0" w:line="269" w:lineRule="auto"/>
        <w:rPr>
          <w:sz w:val="20"/>
          <w:szCs w:val="20"/>
          <w:color w:val="auto"/>
        </w:rPr>
      </w:pPr>
      <w:r>
        <w:rPr>
          <w:rFonts w:ascii="Courier New" w:cs="Courier New" w:eastAsia="Courier New" w:hAnsi="Courier New"/>
          <w:sz w:val="16"/>
          <w:szCs w:val="16"/>
          <w:color w:val="auto"/>
        </w:rPr>
        <w:t>In the second quarter of fiscal 1997, the Company recorded a pre-tax charge of $20 million, or ($0.75) per share after tax, related to the shift in strategy away from the Boston Traders(R) vertically integrated private label concept to a strategy with greater emphasis on name brands. This plan involves the liquidation of Boston Traders(R) brand products, the closure of the Company's New York City product development office and the planned closing of 17 Designs stores and 16 Boston Traders(R) Outlet stores. The Company anticipates that its future private label requirements will be satisfied by open market purchases of selected items that will include the Boston Traders(R) label. This pre-tax charge includes cash costs of approximately $6.1 million related to lease terminations, cancellation of private label fabric commitments for the remainder of fiscal 1997, severance associated with the closing of the New York office, and other costs related to the strategy shift. The remainder of the $20 million charge consists of non-cash costs of approximately $13.9 million which include approximately $12.4 million of markdowns at cost related to the liquidation of</w:t>
      </w:r>
    </w:p>
    <w:p>
      <w:pPr>
        <w:spacing w:after="0" w:line="194"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existing and on order Boston Traders(R) product through the end of fiscal 1997. The non-cash costs also include asset impairment charges associated with the planned store closings. Merchandise markdowns and costs associated with the cancellation of fabric commitments, which total approximately $14 million, are accounted for in cost of goods sold. The remaining amounts related to lease termination costs, asset impairment charges, severance benefits, and other costs, which total approximately $6 million, are accounted for in the provision for impairment of assets and store closings. At August 2, 1997, $6.1 million is accrued in</w:t>
      </w:r>
    </w:p>
    <w:p>
      <w:pPr>
        <w:sectPr>
          <w:pgSz w:w="11900" w:h="16838" w:orient="portrait"/>
          <w:cols w:equalWidth="0" w:num="1">
            <w:col w:w="10219"/>
          </w:cols>
          <w:pgMar w:left="240" w:top="1128" w:right="1440" w:bottom="0" w:gutter="0" w:footer="0" w:header="0"/>
        </w:sectPr>
      </w:pPr>
    </w:p>
    <w:bookmarkStart w:id="11" w:name="page12"/>
    <w:bookmarkEnd w:id="11"/>
    <w:p>
      <w:pPr>
        <w:ind w:right="3259"/>
        <w:spacing w:after="0" w:line="235" w:lineRule="auto"/>
        <w:rPr>
          <w:sz w:val="20"/>
          <w:szCs w:val="20"/>
          <w:color w:val="auto"/>
        </w:rPr>
      </w:pPr>
      <w:r>
        <w:rPr>
          <w:rFonts w:ascii="Courier New" w:cs="Courier New" w:eastAsia="Courier New" w:hAnsi="Courier New"/>
          <w:sz w:val="18"/>
          <w:szCs w:val="18"/>
          <w:color w:val="auto"/>
        </w:rPr>
        <w:t>the reserve for store closings and a $9.8 million markdown reserve is included in inventory.</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Depreciation and amortization expense of $2.9 million for the second quarter of fiscal 1997 increased by 8.0 percent compared with depreciation and amortization expense of $2.7 million for the same period in fiscal 1996. This increase is primarily due to capital expenditures for new store openings and remodeled stores. For the six month and rolling twelve month periods, depreciation and amortization expense increased by 10.0 percent and 9.7 percent, respectively, primarily due to Boston Trading Co.(R) store openings, remodeled stores and the opening of one Levi's(R) Outlet store under the joint venture.</w:t>
      </w:r>
    </w:p>
    <w:p>
      <w:pPr>
        <w:spacing w:after="0" w:line="214"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Interest expense was $255,000 and $44,000 in the second quarter of fiscal 1997 and fiscal 1996, respectively. For the six months and rolling</w:t>
      </w:r>
    </w:p>
    <w:p>
      <w:pPr>
        <w:ind w:right="2839"/>
        <w:spacing w:after="0" w:line="237" w:lineRule="auto"/>
        <w:rPr>
          <w:sz w:val="20"/>
          <w:szCs w:val="20"/>
          <w:color w:val="auto"/>
        </w:rPr>
      </w:pPr>
      <w:r>
        <w:rPr>
          <w:rFonts w:ascii="Courier New" w:cs="Courier New" w:eastAsia="Courier New" w:hAnsi="Courier New"/>
          <w:sz w:val="18"/>
          <w:szCs w:val="18"/>
          <w:color w:val="auto"/>
        </w:rPr>
        <w:t>12 month periods, interest expense was $406,000 and $515,000 as compared to $88,000 and $197,000 in prior comparable periods. This increase is primarily attributable to borrowings under the Company's revolving credit facility during fiscal 1997. The Company anticipates that interest expense will continue to exceed the expense recorded in similar periods in fiscal 1996 as a result of borrowings under the Company's credit facility. The Company had no borrowings under this facility in the prior year.</w:t>
      </w:r>
    </w:p>
    <w:p>
      <w:pPr>
        <w:spacing w:after="0" w:line="212"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Interest income for the second quarter of fiscal 1997 was $13,000 compared to $262,000 in fiscal year 1996. For the six month and rolling 12</w:t>
      </w:r>
    </w:p>
    <w:p>
      <w:pPr>
        <w:ind w:right="2939"/>
        <w:spacing w:after="0" w:line="275" w:lineRule="auto"/>
        <w:rPr>
          <w:sz w:val="20"/>
          <w:szCs w:val="20"/>
          <w:color w:val="auto"/>
        </w:rPr>
      </w:pPr>
      <w:r>
        <w:rPr>
          <w:rFonts w:ascii="Courier New" w:cs="Courier New" w:eastAsia="Courier New" w:hAnsi="Courier New"/>
          <w:sz w:val="16"/>
          <w:szCs w:val="16"/>
          <w:color w:val="auto"/>
        </w:rPr>
        <w:t>month periods interest income was $68,000 and $654,000 as compared to $580,000 and $1.4 million for comparable periods in the prior year. The decrease in interest income is attributable to a lower average investment balance compared to the same periods in the prior year.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 for the second quarter of fiscal year 1997 equaled ($16.6) million</w:t>
      </w:r>
    </w:p>
    <w:p>
      <w:pPr>
        <w:spacing w:after="0" w:line="238" w:lineRule="auto"/>
        <w:rPr>
          <w:sz w:val="20"/>
          <w:szCs w:val="20"/>
          <w:color w:val="auto"/>
        </w:rPr>
      </w:pPr>
      <w:r>
        <w:rPr>
          <w:rFonts w:ascii="Courier New" w:cs="Courier New" w:eastAsia="Courier New" w:hAnsi="Courier New"/>
          <w:sz w:val="18"/>
          <w:szCs w:val="18"/>
          <w:color w:val="auto"/>
        </w:rPr>
        <w:t>or ($1.06) per share, as compared with net income of $554,000, or $0.04</w:t>
      </w:r>
    </w:p>
    <w:p>
      <w:pPr>
        <w:spacing w:after="0"/>
        <w:tabs>
          <w:tab w:leader="none" w:pos="5140" w:val="left"/>
        </w:tabs>
        <w:rPr>
          <w:sz w:val="20"/>
          <w:szCs w:val="20"/>
          <w:color w:val="auto"/>
        </w:rPr>
      </w:pPr>
      <w:r>
        <w:rPr>
          <w:rFonts w:ascii="Courier New" w:cs="Courier New" w:eastAsia="Courier New" w:hAnsi="Courier New"/>
          <w:sz w:val="18"/>
          <w:szCs w:val="18"/>
          <w:color w:val="auto"/>
        </w:rPr>
        <w:t>per share in the second quarter of fiscal 1996.</w:t>
      </w:r>
      <w:r>
        <w:rPr>
          <w:sz w:val="20"/>
          <w:szCs w:val="20"/>
          <w:color w:val="auto"/>
        </w:rPr>
        <w:tab/>
      </w:r>
      <w:r>
        <w:rPr>
          <w:rFonts w:ascii="Courier New" w:cs="Courier New" w:eastAsia="Courier New" w:hAnsi="Courier New"/>
          <w:sz w:val="16"/>
          <w:szCs w:val="16"/>
          <w:color w:val="auto"/>
        </w:rPr>
        <w:t>Net loss for the six month</w:t>
      </w:r>
    </w:p>
    <w:p>
      <w:pPr>
        <w:spacing w:after="0" w:line="237" w:lineRule="auto"/>
        <w:rPr>
          <w:sz w:val="20"/>
          <w:szCs w:val="20"/>
          <w:color w:val="auto"/>
        </w:rPr>
      </w:pPr>
      <w:r>
        <w:rPr>
          <w:rFonts w:ascii="Courier New" w:cs="Courier New" w:eastAsia="Courier New" w:hAnsi="Courier New"/>
          <w:sz w:val="18"/>
          <w:szCs w:val="18"/>
          <w:color w:val="auto"/>
        </w:rPr>
        <w:t>periods ended August 2, 1997 and August 3, 1996 equaled ($19.8) million or</w:t>
      </w:r>
    </w:p>
    <w:p>
      <w:pPr>
        <w:spacing w:after="0" w:line="238" w:lineRule="auto"/>
        <w:rPr>
          <w:sz w:val="20"/>
          <w:szCs w:val="20"/>
          <w:color w:val="auto"/>
        </w:rPr>
      </w:pPr>
      <w:r>
        <w:rPr>
          <w:rFonts w:ascii="Courier New" w:cs="Courier New" w:eastAsia="Courier New" w:hAnsi="Courier New"/>
          <w:sz w:val="18"/>
          <w:szCs w:val="18"/>
          <w:color w:val="auto"/>
        </w:rPr>
        <w:t>($1.27) per share as compared to ($591,000) or ($0.04) per share,</w:t>
      </w:r>
    </w:p>
    <w:p>
      <w:pPr>
        <w:spacing w:after="0"/>
        <w:tabs>
          <w:tab w:leader="none" w:pos="1560" w:val="left"/>
        </w:tabs>
        <w:rPr>
          <w:sz w:val="20"/>
          <w:szCs w:val="20"/>
          <w:color w:val="auto"/>
        </w:rPr>
      </w:pPr>
      <w:r>
        <w:rPr>
          <w:rFonts w:ascii="Courier New" w:cs="Courier New" w:eastAsia="Courier New" w:hAnsi="Courier New"/>
          <w:sz w:val="18"/>
          <w:szCs w:val="18"/>
          <w:color w:val="auto"/>
        </w:rPr>
        <w:t>respectively.</w:t>
        <w:tab/>
        <w:t>Net loss, on a rolling 12 month basis ending August 2, 1997,</w:t>
      </w:r>
    </w:p>
    <w:p>
      <w:pPr>
        <w:spacing w:after="0" w:line="237" w:lineRule="auto"/>
        <w:rPr>
          <w:sz w:val="20"/>
          <w:szCs w:val="20"/>
          <w:color w:val="auto"/>
        </w:rPr>
      </w:pPr>
      <w:r>
        <w:rPr>
          <w:rFonts w:ascii="Courier New" w:cs="Courier New" w:eastAsia="Courier New" w:hAnsi="Courier New"/>
          <w:sz w:val="18"/>
          <w:szCs w:val="18"/>
          <w:color w:val="auto"/>
        </w:rPr>
        <w:t>was ($12.9) million or ($0.82) per share, as compared with income</w:t>
      </w:r>
    </w:p>
    <w:p>
      <w:pPr>
        <w:spacing w:after="0"/>
        <w:rPr>
          <w:sz w:val="20"/>
          <w:szCs w:val="20"/>
          <w:color w:val="auto"/>
        </w:rPr>
      </w:pPr>
      <w:r>
        <w:rPr>
          <w:rFonts w:ascii="Courier New" w:cs="Courier New" w:eastAsia="Courier New" w:hAnsi="Courier New"/>
          <w:sz w:val="18"/>
          <w:szCs w:val="18"/>
          <w:color w:val="auto"/>
        </w:rPr>
        <w:t>of $6.4 million, or $0.40 per share for the comparable period in the</w:t>
      </w:r>
    </w:p>
    <w:p>
      <w:pPr>
        <w:spacing w:after="0"/>
        <w:tabs>
          <w:tab w:leader="none" w:pos="1360" w:val="left"/>
        </w:tabs>
        <w:rPr>
          <w:sz w:val="20"/>
          <w:szCs w:val="20"/>
          <w:color w:val="auto"/>
        </w:rPr>
      </w:pPr>
      <w:r>
        <w:rPr>
          <w:rFonts w:ascii="Courier New" w:cs="Courier New" w:eastAsia="Courier New" w:hAnsi="Courier New"/>
          <w:sz w:val="18"/>
          <w:szCs w:val="18"/>
          <w:color w:val="auto"/>
        </w:rPr>
        <w:t>prior year.</w:t>
      </w:r>
      <w:r>
        <w:rPr>
          <w:sz w:val="20"/>
          <w:szCs w:val="20"/>
          <w:color w:val="auto"/>
        </w:rPr>
        <w:tab/>
      </w:r>
      <w:r>
        <w:rPr>
          <w:rFonts w:ascii="Courier New" w:cs="Courier New" w:eastAsia="Courier New" w:hAnsi="Courier New"/>
          <w:sz w:val="16"/>
          <w:szCs w:val="16"/>
          <w:color w:val="auto"/>
        </w:rPr>
        <w:t>The results for the three, six and twelve months ended</w:t>
      </w:r>
    </w:p>
    <w:p>
      <w:pPr>
        <w:spacing w:after="0"/>
        <w:rPr>
          <w:sz w:val="20"/>
          <w:szCs w:val="20"/>
          <w:color w:val="auto"/>
        </w:rPr>
      </w:pPr>
      <w:r>
        <w:rPr>
          <w:rFonts w:ascii="Courier New" w:cs="Courier New" w:eastAsia="Courier New" w:hAnsi="Courier New"/>
          <w:sz w:val="18"/>
          <w:szCs w:val="18"/>
          <w:color w:val="auto"/>
        </w:rPr>
        <w:t>August 2, 1997 include the recognition of a pre-tax charge of $20 million,</w:t>
      </w:r>
    </w:p>
    <w:p>
      <w:pPr>
        <w:spacing w:after="0" w:line="237" w:lineRule="auto"/>
        <w:rPr>
          <w:sz w:val="20"/>
          <w:szCs w:val="20"/>
          <w:color w:val="auto"/>
        </w:rPr>
      </w:pPr>
      <w:r>
        <w:rPr>
          <w:rFonts w:ascii="Courier New" w:cs="Courier New" w:eastAsia="Courier New" w:hAnsi="Courier New"/>
          <w:sz w:val="18"/>
          <w:szCs w:val="18"/>
          <w:color w:val="auto"/>
        </w:rPr>
        <w:t>or ($0.75) per share after tax, related to the Company's shift in strategy</w:t>
      </w:r>
    </w:p>
    <w:p>
      <w:pPr>
        <w:spacing w:after="0" w:line="238" w:lineRule="auto"/>
        <w:rPr>
          <w:sz w:val="20"/>
          <w:szCs w:val="20"/>
          <w:color w:val="auto"/>
        </w:rPr>
      </w:pPr>
      <w:r>
        <w:rPr>
          <w:rFonts w:ascii="Courier New" w:cs="Courier New" w:eastAsia="Courier New" w:hAnsi="Courier New"/>
          <w:sz w:val="18"/>
          <w:szCs w:val="18"/>
          <w:color w:val="auto"/>
        </w:rPr>
        <w:t>away from the Boston Traders(R) vertically integrated private label concept</w:t>
      </w:r>
    </w:p>
    <w:p>
      <w:pPr>
        <w:spacing w:after="0"/>
        <w:rPr>
          <w:sz w:val="20"/>
          <w:szCs w:val="20"/>
          <w:color w:val="auto"/>
        </w:rPr>
      </w:pPr>
      <w:r>
        <w:rPr>
          <w:rFonts w:ascii="Courier New" w:cs="Courier New" w:eastAsia="Courier New" w:hAnsi="Courier New"/>
          <w:sz w:val="18"/>
          <w:szCs w:val="18"/>
          <w:color w:val="auto"/>
        </w:rPr>
        <w:t>to a strategy with greater emphasis on name brands as mentioned above.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Company's business is seasonal, reflecting increased consumer buying in the "Fall" and "Holiday" seasons. Historically, the second half of each fiscal year provides a greater portion of the Company's annual sales and operating income.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Company's primary cash needs are for operating expenses, including cash</w:t>
      </w:r>
    </w:p>
    <w:p>
      <w:pPr>
        <w:spacing w:after="0" w:line="238" w:lineRule="auto"/>
        <w:rPr>
          <w:sz w:val="20"/>
          <w:szCs w:val="20"/>
          <w:color w:val="auto"/>
        </w:rPr>
      </w:pPr>
      <w:r>
        <w:rPr>
          <w:rFonts w:ascii="Courier New" w:cs="Courier New" w:eastAsia="Courier New" w:hAnsi="Courier New"/>
          <w:sz w:val="18"/>
          <w:szCs w:val="18"/>
          <w:color w:val="auto"/>
        </w:rPr>
        <w:t>outlays associated with inventory purchases and capital expenditures for</w:t>
      </w:r>
    </w:p>
    <w:p>
      <w:pPr>
        <w:spacing w:after="0"/>
        <w:tabs>
          <w:tab w:leader="none" w:pos="2840" w:val="left"/>
        </w:tabs>
        <w:rPr>
          <w:sz w:val="20"/>
          <w:szCs w:val="20"/>
          <w:color w:val="auto"/>
        </w:rPr>
      </w:pPr>
      <w:r>
        <w:rPr>
          <w:rFonts w:ascii="Courier New" w:cs="Courier New" w:eastAsia="Courier New" w:hAnsi="Courier New"/>
          <w:sz w:val="18"/>
          <w:szCs w:val="18"/>
          <w:color w:val="auto"/>
        </w:rPr>
        <w:t>new and remodeled stores.</w:t>
      </w:r>
      <w:r>
        <w:rPr>
          <w:sz w:val="20"/>
          <w:szCs w:val="20"/>
          <w:color w:val="auto"/>
        </w:rPr>
        <w:tab/>
      </w:r>
      <w:r>
        <w:rPr>
          <w:rFonts w:ascii="Courier New" w:cs="Courier New" w:eastAsia="Courier New" w:hAnsi="Courier New"/>
          <w:sz w:val="16"/>
          <w:szCs w:val="16"/>
          <w:color w:val="auto"/>
        </w:rPr>
        <w:t>The Company expects that cash flow from operations</w:t>
      </w:r>
    </w:p>
    <w:p>
      <w:pPr>
        <w:spacing w:after="0" w:line="237" w:lineRule="auto"/>
        <w:rPr>
          <w:sz w:val="20"/>
          <w:szCs w:val="20"/>
          <w:color w:val="auto"/>
        </w:rPr>
      </w:pPr>
      <w:r>
        <w:rPr>
          <w:rFonts w:ascii="Courier New" w:cs="Courier New" w:eastAsia="Courier New" w:hAnsi="Courier New"/>
          <w:sz w:val="18"/>
          <w:szCs w:val="18"/>
          <w:color w:val="auto"/>
        </w:rPr>
        <w:t>and short-term borrowings will enable it to finance its current working</w:t>
      </w:r>
    </w:p>
    <w:p>
      <w:pPr>
        <w:spacing w:after="0" w:line="238" w:lineRule="auto"/>
        <w:rPr>
          <w:sz w:val="20"/>
          <w:szCs w:val="20"/>
          <w:color w:val="auto"/>
        </w:rPr>
      </w:pPr>
      <w:r>
        <w:rPr>
          <w:rFonts w:ascii="Courier New" w:cs="Courier New" w:eastAsia="Courier New" w:hAnsi="Courier New"/>
          <w:sz w:val="18"/>
          <w:szCs w:val="18"/>
          <w:color w:val="auto"/>
        </w:rPr>
        <w:t>capital and remodeling requirements during the remainder of the</w:t>
      </w:r>
    </w:p>
    <w:p>
      <w:pPr>
        <w:spacing w:after="0"/>
        <w:rPr>
          <w:sz w:val="20"/>
          <w:szCs w:val="20"/>
          <w:color w:val="auto"/>
        </w:rPr>
      </w:pPr>
      <w:r>
        <w:rPr>
          <w:rFonts w:ascii="Courier New" w:cs="Courier New" w:eastAsia="Courier New" w:hAnsi="Courier New"/>
          <w:sz w:val="18"/>
          <w:szCs w:val="18"/>
          <w:color w:val="auto"/>
        </w:rPr>
        <w:t>fiscal year.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7"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To date, the Company has financed its working capital requirements and expansion program with cash flow from operations, borrowings and proceeds from Common Stock offerings. Cash used in operations for the first six months of fiscal 1997 was $12.4 million compared to cash provided by operations of $5.5 million for the same period in the prior year.</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Cash used in operations in the six months ended August 2, 1997 is primarily attributable to the opening of six Boston Trading Co.(R) stores, one Levi's(R) Outlet opened under the joint venture, increased purchases of inventory for the Levi's(R) Outlet stores, and the timing of other working capital accounts, combined with net losses.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The Company's</w:t>
            </w:r>
          </w:p>
        </w:tc>
        <w:tc>
          <w:tcPr>
            <w:tcW w:w="2140" w:type="dxa"/>
            <w:vAlign w:val="bottom"/>
          </w:tcPr>
          <w:p>
            <w:pPr>
              <w:ind w:left="40"/>
              <w:spacing w:after="0"/>
              <w:rPr>
                <w:sz w:val="20"/>
                <w:szCs w:val="20"/>
                <w:color w:val="auto"/>
              </w:rPr>
            </w:pPr>
            <w:r>
              <w:rPr>
                <w:rFonts w:ascii="Courier New" w:cs="Courier New" w:eastAsia="Courier New" w:hAnsi="Courier New"/>
                <w:sz w:val="18"/>
                <w:szCs w:val="18"/>
                <w:color w:val="auto"/>
              </w:rPr>
              <w:t>cash and investment</w:t>
            </w:r>
          </w:p>
        </w:tc>
        <w:tc>
          <w:tcPr>
            <w:tcW w:w="2280" w:type="dxa"/>
            <w:vAlign w:val="bottom"/>
          </w:tcPr>
          <w:p>
            <w:pPr>
              <w:spacing w:after="0"/>
              <w:rPr>
                <w:sz w:val="20"/>
                <w:szCs w:val="20"/>
                <w:color w:val="auto"/>
              </w:rPr>
            </w:pPr>
            <w:r>
              <w:rPr>
                <w:rFonts w:ascii="Courier New" w:cs="Courier New" w:eastAsia="Courier New" w:hAnsi="Courier New"/>
                <w:sz w:val="18"/>
                <w:szCs w:val="18"/>
                <w:color w:val="auto"/>
                <w:w w:val="99"/>
              </w:rPr>
              <w:t>position at August 2,</w:t>
            </w:r>
          </w:p>
        </w:tc>
        <w:tc>
          <w:tcPr>
            <w:tcW w:w="5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was</w:t>
            </w: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approximately</w:t>
            </w:r>
          </w:p>
        </w:tc>
        <w:tc>
          <w:tcPr>
            <w:tcW w:w="4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$355,000, compared to approximately $21.5</w:t>
            </w:r>
          </w:p>
        </w:tc>
        <w:tc>
          <w:tcPr>
            <w:tcW w:w="15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million at the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end</w:t>
            </w:r>
          </w:p>
        </w:tc>
        <w:tc>
          <w:tcPr>
            <w:tcW w:w="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of</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the second quarter of fiscal 1996.</w:t>
            </w:r>
          </w:p>
        </w:tc>
        <w:tc>
          <w:tcPr>
            <w:tcW w:w="2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During the first quarter</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of fiscal</w:t>
            </w:r>
          </w:p>
        </w:tc>
        <w:tc>
          <w:tcPr>
            <w:tcW w:w="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7"/>
              </w:rPr>
              <w:t>the Company sold its remaining short-term investments of $5.9</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million.</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As</w:t>
            </w:r>
          </w:p>
        </w:tc>
        <w:tc>
          <w:tcPr>
            <w:tcW w:w="4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a</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result of the</w:t>
            </w:r>
          </w:p>
        </w:tc>
        <w:tc>
          <w:tcPr>
            <w:tcW w:w="5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sale, the Company realized a loss of $102,300.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w:t>
            </w:r>
          </w:p>
        </w:tc>
        <w:tc>
          <w:tcPr>
            <w:tcW w:w="1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the end of the</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second quarter of fiscal 1997 the</w:t>
            </w:r>
          </w:p>
        </w:tc>
        <w:tc>
          <w:tcPr>
            <w:tcW w:w="2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Company had net borrowings</w:t>
            </w:r>
          </w:p>
        </w:tc>
        <w:tc>
          <w:tcPr>
            <w:tcW w:w="14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5"/>
              </w:rPr>
              <w:t>outstanding of</w:t>
            </w:r>
          </w:p>
        </w:tc>
        <w:tc>
          <w:tcPr>
            <w:tcW w:w="440" w:type="dxa"/>
            <w:vAlign w:val="bottom"/>
          </w:tcPr>
          <w:p>
            <w:pPr>
              <w:spacing w:after="0"/>
              <w:rPr>
                <w:sz w:val="17"/>
                <w:szCs w:val="17"/>
                <w:color w:val="auto"/>
              </w:rPr>
            </w:pP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approximately</w:t>
            </w:r>
          </w:p>
        </w:tc>
        <w:tc>
          <w:tcPr>
            <w:tcW w:w="2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$11.9 million under</w:t>
            </w:r>
          </w:p>
        </w:tc>
        <w:tc>
          <w:tcPr>
            <w:tcW w:w="3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its revolving credit facility,</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described</w:t>
            </w:r>
          </w:p>
        </w:tc>
        <w:tc>
          <w:tcPr>
            <w:tcW w:w="44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12" w:name="page13"/>
    <w:bookmarkEnd w:id="12"/>
    <w:p>
      <w:pPr>
        <w:ind w:right="2099"/>
        <w:spacing w:after="0" w:line="235" w:lineRule="auto"/>
        <w:rPr>
          <w:sz w:val="20"/>
          <w:szCs w:val="20"/>
          <w:color w:val="auto"/>
        </w:rPr>
      </w:pPr>
      <w:r>
        <w:rPr>
          <w:rFonts w:ascii="Courier New" w:cs="Courier New" w:eastAsia="Courier New" w:hAnsi="Courier New"/>
          <w:sz w:val="18"/>
          <w:szCs w:val="18"/>
          <w:color w:val="auto"/>
        </w:rPr>
        <w:t>below, compared to no borrowings under this facility at the end of the second quarter of fiscal 1996.</w:t>
      </w:r>
    </w:p>
    <w:p>
      <w:pPr>
        <w:spacing w:after="0" w:line="208"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The Company's working capital at August 2, 1997 was approximately $50.5 million, compared to $58.9 million at August 3, 1996. This decrease in working capital was primarily attributable to negative cash flow from operations, partially offset by the tax benefit recognized as a result of net operating losses. Inventory, net of reserves, at August 2, 1997 was $80.4 million compared to $64.6 million at August 3, 1996.</w:t>
      </w:r>
    </w:p>
    <w:p>
      <w:pPr>
        <w:spacing w:after="0" w:line="234" w:lineRule="auto"/>
        <w:rPr>
          <w:sz w:val="20"/>
          <w:szCs w:val="20"/>
          <w:color w:val="auto"/>
        </w:rPr>
      </w:pPr>
      <w:r>
        <w:rPr>
          <w:rFonts w:ascii="Courier New" w:cs="Courier New" w:eastAsia="Courier New" w:hAnsi="Courier New"/>
          <w:sz w:val="18"/>
          <w:szCs w:val="18"/>
          <w:color w:val="auto"/>
        </w:rPr>
        <w:t>The $15.8 million increase is primarily due to purchases for the Levi's(R)</w:t>
      </w:r>
    </w:p>
    <w:p>
      <w:pPr>
        <w:spacing w:after="0"/>
        <w:rPr>
          <w:sz w:val="20"/>
          <w:szCs w:val="20"/>
          <w:color w:val="auto"/>
        </w:rPr>
      </w:pPr>
      <w:r>
        <w:rPr>
          <w:rFonts w:ascii="Courier New" w:cs="Courier New" w:eastAsia="Courier New" w:hAnsi="Courier New"/>
          <w:sz w:val="18"/>
          <w:szCs w:val="18"/>
          <w:color w:val="auto"/>
        </w:rPr>
        <w:t>Outlet stores and purchases of Boston Traders(R) brand products,</w:t>
      </w:r>
    </w:p>
    <w:p>
      <w:pPr>
        <w:spacing w:after="0" w:line="237" w:lineRule="auto"/>
        <w:rPr>
          <w:sz w:val="20"/>
          <w:szCs w:val="20"/>
          <w:color w:val="auto"/>
        </w:rPr>
      </w:pPr>
      <w:r>
        <w:rPr>
          <w:rFonts w:ascii="Courier New" w:cs="Courier New" w:eastAsia="Courier New" w:hAnsi="Courier New"/>
          <w:sz w:val="18"/>
          <w:szCs w:val="18"/>
          <w:color w:val="auto"/>
        </w:rPr>
        <w:t>combined with slower than expected sales of Boston Traders(R) brand</w:t>
      </w:r>
    </w:p>
    <w:p>
      <w:pPr>
        <w:spacing w:after="0"/>
        <w:tabs>
          <w:tab w:leader="none" w:pos="5780" w:val="left"/>
        </w:tabs>
        <w:rPr>
          <w:sz w:val="20"/>
          <w:szCs w:val="20"/>
          <w:color w:val="auto"/>
        </w:rPr>
      </w:pPr>
      <w:r>
        <w:rPr>
          <w:rFonts w:ascii="Courier New" w:cs="Courier New" w:eastAsia="Courier New" w:hAnsi="Courier New"/>
          <w:sz w:val="18"/>
          <w:szCs w:val="18"/>
          <w:color w:val="auto"/>
        </w:rPr>
        <w:t>merchandise during the second quarter of fiscal 1997.</w:t>
      </w:r>
      <w:r>
        <w:rPr>
          <w:sz w:val="20"/>
          <w:szCs w:val="20"/>
          <w:color w:val="auto"/>
        </w:rPr>
        <w:tab/>
      </w:r>
      <w:r>
        <w:rPr>
          <w:rFonts w:ascii="Courier New" w:cs="Courier New" w:eastAsia="Courier New" w:hAnsi="Courier New"/>
          <w:sz w:val="16"/>
          <w:szCs w:val="16"/>
          <w:color w:val="auto"/>
        </w:rPr>
        <w:t>This increase was</w:t>
      </w:r>
    </w:p>
    <w:p>
      <w:pPr>
        <w:spacing w:after="0" w:line="237" w:lineRule="auto"/>
        <w:rPr>
          <w:sz w:val="20"/>
          <w:szCs w:val="20"/>
          <w:color w:val="auto"/>
        </w:rPr>
      </w:pPr>
      <w:r>
        <w:rPr>
          <w:rFonts w:ascii="Courier New" w:cs="Courier New" w:eastAsia="Courier New" w:hAnsi="Courier New"/>
          <w:sz w:val="18"/>
          <w:szCs w:val="18"/>
          <w:color w:val="auto"/>
        </w:rPr>
        <w:t>partially offset by the liquidation of Boston Traders(R) brand products</w:t>
      </w:r>
    </w:p>
    <w:p>
      <w:pPr>
        <w:spacing w:after="0"/>
        <w:tabs>
          <w:tab w:leader="none" w:pos="5140" w:val="left"/>
        </w:tabs>
        <w:rPr>
          <w:sz w:val="20"/>
          <w:szCs w:val="20"/>
          <w:color w:val="auto"/>
        </w:rPr>
      </w:pPr>
      <w:r>
        <w:rPr>
          <w:rFonts w:ascii="Courier New" w:cs="Courier New" w:eastAsia="Courier New" w:hAnsi="Courier New"/>
          <w:sz w:val="18"/>
          <w:szCs w:val="18"/>
          <w:color w:val="auto"/>
        </w:rPr>
        <w:t>beginning in the second quarter of fiscal 1997.</w:t>
      </w:r>
      <w:r>
        <w:rPr>
          <w:sz w:val="20"/>
          <w:szCs w:val="20"/>
          <w:color w:val="auto"/>
        </w:rPr>
        <w:tab/>
      </w:r>
      <w:r>
        <w:rPr>
          <w:rFonts w:ascii="Courier New" w:cs="Courier New" w:eastAsia="Courier New" w:hAnsi="Courier New"/>
          <w:sz w:val="16"/>
          <w:szCs w:val="16"/>
          <w:color w:val="auto"/>
        </w:rPr>
        <w:t>Total inventory, net of</w:t>
      </w:r>
    </w:p>
    <w:p>
      <w:pPr>
        <w:spacing w:after="0"/>
        <w:rPr>
          <w:sz w:val="20"/>
          <w:szCs w:val="20"/>
          <w:color w:val="auto"/>
        </w:rPr>
      </w:pPr>
      <w:r>
        <w:rPr>
          <w:rFonts w:ascii="Courier New" w:cs="Courier New" w:eastAsia="Courier New" w:hAnsi="Courier New"/>
          <w:sz w:val="18"/>
          <w:szCs w:val="18"/>
          <w:color w:val="auto"/>
        </w:rPr>
        <w:t>reserves, at the end of the first and second quarters of fiscal 1997 was</w:t>
      </w:r>
    </w:p>
    <w:p>
      <w:pPr>
        <w:spacing w:after="0"/>
        <w:tabs>
          <w:tab w:leader="none" w:pos="5140" w:val="left"/>
        </w:tabs>
        <w:rPr>
          <w:sz w:val="20"/>
          <w:szCs w:val="20"/>
          <w:color w:val="auto"/>
        </w:rPr>
      </w:pPr>
      <w:r>
        <w:rPr>
          <w:rFonts w:ascii="Courier New" w:cs="Courier New" w:eastAsia="Courier New" w:hAnsi="Courier New"/>
          <w:sz w:val="18"/>
          <w:szCs w:val="18"/>
          <w:color w:val="auto"/>
        </w:rPr>
        <w:t>$104.1 million and $80.4 million, respectively.</w:t>
      </w:r>
      <w:r>
        <w:rPr>
          <w:sz w:val="20"/>
          <w:szCs w:val="20"/>
          <w:color w:val="auto"/>
        </w:rPr>
        <w:tab/>
      </w:r>
      <w:r>
        <w:rPr>
          <w:rFonts w:ascii="Courier New" w:cs="Courier New" w:eastAsia="Courier New" w:hAnsi="Courier New"/>
          <w:sz w:val="16"/>
          <w:szCs w:val="16"/>
          <w:color w:val="auto"/>
        </w:rPr>
        <w:t>The $23.7 million</w:t>
      </w:r>
    </w:p>
    <w:p>
      <w:pPr>
        <w:spacing w:after="0"/>
        <w:rPr>
          <w:sz w:val="20"/>
          <w:szCs w:val="20"/>
          <w:color w:val="auto"/>
        </w:rPr>
      </w:pPr>
      <w:r>
        <w:rPr>
          <w:rFonts w:ascii="Courier New" w:cs="Courier New" w:eastAsia="Courier New" w:hAnsi="Courier New"/>
          <w:sz w:val="18"/>
          <w:szCs w:val="18"/>
          <w:color w:val="auto"/>
        </w:rPr>
        <w:t>decrease in inventory from the end of the first quarter of fiscal 1997 is</w:t>
      </w:r>
    </w:p>
    <w:p>
      <w:pPr>
        <w:spacing w:after="0" w:line="237" w:lineRule="auto"/>
        <w:rPr>
          <w:sz w:val="20"/>
          <w:szCs w:val="20"/>
          <w:color w:val="auto"/>
        </w:rPr>
      </w:pPr>
      <w:r>
        <w:rPr>
          <w:rFonts w:ascii="Courier New" w:cs="Courier New" w:eastAsia="Courier New" w:hAnsi="Courier New"/>
          <w:sz w:val="18"/>
          <w:szCs w:val="18"/>
          <w:color w:val="auto"/>
        </w:rPr>
        <w:t>attributable to the liquidation of Boston Traders(R) brand products as</w:t>
      </w:r>
    </w:p>
    <w:p>
      <w:pPr>
        <w:spacing w:after="0"/>
        <w:rPr>
          <w:sz w:val="20"/>
          <w:szCs w:val="20"/>
          <w:color w:val="auto"/>
        </w:rPr>
      </w:pPr>
      <w:r>
        <w:rPr>
          <w:rFonts w:ascii="Courier New" w:cs="Courier New" w:eastAsia="Courier New" w:hAnsi="Courier New"/>
          <w:sz w:val="18"/>
          <w:szCs w:val="18"/>
          <w:color w:val="auto"/>
        </w:rPr>
        <w:t>well as increased sales in the Levi's(R) Outlet stores in the second quarter</w:t>
      </w:r>
    </w:p>
    <w:p>
      <w:pPr>
        <w:spacing w:after="0"/>
        <w:tabs>
          <w:tab w:leader="none" w:pos="5260" w:val="left"/>
        </w:tabs>
        <w:rPr>
          <w:sz w:val="20"/>
          <w:szCs w:val="20"/>
          <w:color w:val="auto"/>
        </w:rPr>
      </w:pPr>
      <w:r>
        <w:rPr>
          <w:rFonts w:ascii="Courier New" w:cs="Courier New" w:eastAsia="Courier New" w:hAnsi="Courier New"/>
          <w:sz w:val="18"/>
          <w:szCs w:val="18"/>
          <w:color w:val="auto"/>
        </w:rPr>
        <w:t>as compared to the first quarter of fiscal 1997.</w:t>
      </w:r>
      <w:r>
        <w:rPr>
          <w:sz w:val="20"/>
          <w:szCs w:val="20"/>
          <w:color w:val="auto"/>
        </w:rPr>
        <w:tab/>
      </w:r>
      <w:r>
        <w:rPr>
          <w:rFonts w:ascii="Courier New" w:cs="Courier New" w:eastAsia="Courier New" w:hAnsi="Courier New"/>
          <w:sz w:val="16"/>
          <w:szCs w:val="16"/>
          <w:color w:val="auto"/>
        </w:rPr>
        <w:t>At the end of the</w:t>
      </w:r>
    </w:p>
    <w:p>
      <w:pPr>
        <w:spacing w:after="0"/>
        <w:rPr>
          <w:sz w:val="20"/>
          <w:szCs w:val="20"/>
          <w:color w:val="auto"/>
        </w:rPr>
      </w:pPr>
      <w:r>
        <w:rPr>
          <w:rFonts w:ascii="Courier New" w:cs="Courier New" w:eastAsia="Courier New" w:hAnsi="Courier New"/>
          <w:sz w:val="18"/>
          <w:szCs w:val="18"/>
          <w:color w:val="auto"/>
        </w:rPr>
        <w:t>second quarter of fiscal 1997 approximately $4.5 million (net of</w:t>
      </w:r>
    </w:p>
    <w:p>
      <w:pPr>
        <w:spacing w:after="0" w:line="3"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markdown reserve), or 6 percent, of the total inventory consisted of Boston Traders(R) brand product. The Company intends to satisfy its future private label requirements with open market purchases of selected</w:t>
      </w:r>
    </w:p>
    <w:p>
      <w:pPr>
        <w:spacing w:after="0" w:line="6"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items that will include the Boston Traders(R) label. The Company continues to evaluate and, within the discretion of management,</w:t>
      </w:r>
    </w:p>
    <w:p>
      <w:pPr>
        <w:spacing w:after="0" w:line="233" w:lineRule="auto"/>
        <w:rPr>
          <w:sz w:val="20"/>
          <w:szCs w:val="20"/>
          <w:color w:val="auto"/>
        </w:rPr>
      </w:pPr>
      <w:r>
        <w:rPr>
          <w:rFonts w:ascii="Courier New" w:cs="Courier New" w:eastAsia="Courier New" w:hAnsi="Courier New"/>
          <w:sz w:val="18"/>
          <w:szCs w:val="18"/>
          <w:color w:val="auto"/>
        </w:rPr>
        <w:t>act upon opportunities to purchase substantial quantities of Levi's(R)</w:t>
      </w:r>
    </w:p>
    <w:p>
      <w:pPr>
        <w:spacing w:after="0"/>
        <w:rPr>
          <w:sz w:val="20"/>
          <w:szCs w:val="20"/>
          <w:color w:val="auto"/>
        </w:rPr>
      </w:pPr>
      <w:r>
        <w:rPr>
          <w:rFonts w:ascii="Courier New" w:cs="Courier New" w:eastAsia="Courier New" w:hAnsi="Courier New"/>
          <w:sz w:val="18"/>
          <w:szCs w:val="18"/>
          <w:color w:val="auto"/>
        </w:rPr>
        <w:t>and Dockers(R) brand products for the Levi's(R) Outlet stores.</w:t>
      </w:r>
    </w:p>
    <w:p>
      <w:pPr>
        <w:spacing w:after="0" w:line="206"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The estimated earnings and cash flow benefits expected, barring unforeseen circumstances, to be derived from the previously described $20 million pre-tax charge taken for markdowns and store closings for fiscal 1998 are $6.8 million and $7.7 million, and for fiscal 1999 are $10.6 million</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and $8.7 million, respectively. These estimates include anticipated federal income tax refunds related to net operating losses carried back to prior years' taxable income, offset by cash outflows for lease termination costs, severance benefits and other costs. Future cash flows are based upon management's estimate of the period of time between store closings and the final termination of the lease obligations. Barring unforeseen circumstances, the Company anticipates that 12 to 14 of the stores scheduled for closing during the next 18 months will be closed by the end of fiscal 1997.</w:t>
      </w:r>
    </w:p>
    <w:p>
      <w:pPr>
        <w:spacing w:after="0" w:line="214"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On August 2, 1997, the Company had outstanding commitments for Boston Traders(R) brand product of approximately $7.4 million relating to Fall and Holiday 1997 merchandise.</w:t>
      </w: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Company's trade payables to Levi Strauss &amp; Co., its principal vendor, generally are due 30 days after the date of invoice. The Boston Traders(R) brand product required the Company to source its own product predominantly with vairous offshore vendors. To date, payment to these vendors has been through the use of letters of credit. The Company anticipates that the use of this payment method will be proportional to its Boston Traders(R) brand product purchases and that the use of letters of credit will decrease as remaining purchase commitments for Boston Traders(R) brand products are satisfied.</w:t>
      </w:r>
    </w:p>
    <w:p>
      <w:pPr>
        <w:spacing w:after="0" w:line="21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On July 24, 1996, the Company entered into an Amended and Restated Credit Agreement (the "Credit Agreement") with BankBoston, N.A., formerly BayBank, N.A., and State Street Bank and Trust Company. The facility, which terminates June 30, 1999, consists: (i) a revolving line of credit permitting the Company to borrow up to $15 million, and (ii) a commercial and trade letters of credit facility under which letters of credit, in aggregate amounts up to $45 million, may be issued for the Company's inventory purchases.</w:t>
      </w:r>
    </w:p>
    <w:p>
      <w:pPr>
        <w:spacing w:after="0" w:line="1"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Under the revolving line of credit portion of the facility, the Company has the ability to issue standby letters of credit up to $750,000. Loans made under this portion of the facility bear interest, subject to adjustment, at BankBoston, N.A.'s prime rate or LIBOR-based fixed rate. The Company may increase the commercial and trade letters of credit portion of the facility in increments of $15 million up to a total of $45 million. The terms of the Credit Agreement require the Company to maintain certain net worth, inventory turnover and cash flow ratios. At August 2, 1997, the Company was not in compliance with the cash flow covenant.</w:t>
      </w:r>
    </w:p>
    <w:p>
      <w:pPr>
        <w:spacing w:after="0" w:line="2"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Company received a written waiver of this covenant for the quarter ended August 2, 1997. At the end of the second quarter, the Company had outstanding letters of credit totaling approximately $4.8 million and two outstanding standby letters of credit totaling approximately $335,000.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January 28, 1995, Designs JV Corp., a wholly-owned subsidiary of the</w:t>
      </w:r>
    </w:p>
    <w:p>
      <w:pPr>
        <w:sectPr>
          <w:pgSz w:w="11900" w:h="16838" w:orient="portrait"/>
          <w:cols w:equalWidth="0" w:num="1">
            <w:col w:w="10219"/>
          </w:cols>
          <w:pgMar w:left="240" w:top="142" w:right="1440" w:bottom="0" w:gutter="0" w:footer="0" w:header="0"/>
        </w:sectPr>
      </w:pPr>
    </w:p>
    <w:bookmarkStart w:id="13" w:name="page14"/>
    <w:bookmarkEnd w:id="13"/>
    <w:p>
      <w:pPr>
        <w:ind w:right="2839"/>
        <w:spacing w:after="0" w:line="268" w:lineRule="auto"/>
        <w:rPr>
          <w:sz w:val="20"/>
          <w:szCs w:val="20"/>
          <w:color w:val="auto"/>
        </w:rPr>
      </w:pPr>
      <w:r>
        <w:rPr>
          <w:rFonts w:ascii="Courier New" w:cs="Courier New" w:eastAsia="Courier New" w:hAnsi="Courier New"/>
          <w:sz w:val="16"/>
          <w:szCs w:val="16"/>
          <w:color w:val="auto"/>
        </w:rPr>
        <w:t>Company, and a subsidiary of Levi's Only Stores, Inc., a wholly-owned subsidiary of Levi Strauss &amp; Co., entered into a partnership agreement (the "Partnership Agreement") to sell Levi's(R) brand jeans and jeans-related products. The joint venture that was established by the Partnership Agreement is known as The Designs/OLS Partnership (the</w:t>
      </w:r>
    </w:p>
    <w:p>
      <w:pPr>
        <w:spacing w:after="0" w:line="1"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"OLS Partnership"). The term of the joint venture is ten years; however, the Partnership Agreement contains certain exit rights that enable either partner to buy or sell its interest in the joint venture after five years. The Company previously announced that the OLS Partnership may open up to thirty-five to fifty Original Levi's Stores(TM) and Levi's(R) Outlet stores throughout eleven Northeast states and the District of Columbia throughout the end of fiscal 1999. At the end of the second quarter of fiscal 1997 the OLS Partnership owned and operated eleven Original Levi's Stores(TM) and eleven Levi's(R) Outlet stores. The OLS Partnership does not anticipate opening any additional stores for the remainder of fiscal 1997.</w:t>
      </w:r>
    </w:p>
    <w:p>
      <w:pPr>
        <w:spacing w:after="0" w:line="386" w:lineRule="exact"/>
        <w:rPr>
          <w:sz w:val="20"/>
          <w:szCs w:val="20"/>
          <w:color w:val="auto"/>
        </w:rPr>
      </w:pPr>
    </w:p>
    <w:p>
      <w:pPr>
        <w:ind w:right="2519"/>
        <w:spacing w:after="0" w:line="272" w:lineRule="auto"/>
        <w:rPr>
          <w:sz w:val="20"/>
          <w:szCs w:val="20"/>
          <w:color w:val="auto"/>
        </w:rPr>
      </w:pPr>
      <w:r>
        <w:rPr>
          <w:rFonts w:ascii="Courier New" w:cs="Courier New" w:eastAsia="Courier New" w:hAnsi="Courier New"/>
          <w:sz w:val="16"/>
          <w:szCs w:val="16"/>
          <w:color w:val="auto"/>
        </w:rPr>
        <w:t>During the first six months of fiscal 1997, the OLS Partnership distributed $3.0 million in "excess cash" to its partners in accordance with the terms of the Partnership Agreement. It is the intention of the partners in the joint venture that working capital for the joint venture's future expansion will come from its operations, capital contributions, loans from the partners and borrowings from third parties.</w:t>
      </w:r>
    </w:p>
    <w:p>
      <w:pPr>
        <w:spacing w:after="0" w:line="186" w:lineRule="exact"/>
        <w:rPr>
          <w:sz w:val="20"/>
          <w:szCs w:val="20"/>
          <w:color w:val="auto"/>
        </w:rPr>
      </w:pPr>
    </w:p>
    <w:p>
      <w:pPr>
        <w:ind w:right="2419"/>
        <w:spacing w:after="0" w:line="270" w:lineRule="auto"/>
        <w:rPr>
          <w:sz w:val="20"/>
          <w:szCs w:val="20"/>
          <w:color w:val="auto"/>
        </w:rPr>
      </w:pPr>
      <w:r>
        <w:rPr>
          <w:rFonts w:ascii="Courier New" w:cs="Courier New" w:eastAsia="Courier New" w:hAnsi="Courier New"/>
          <w:sz w:val="16"/>
          <w:szCs w:val="16"/>
          <w:color w:val="auto"/>
        </w:rPr>
        <w:t>During the third quarter of fiscal 1996, the Company entered into a Credit Agreement (the "OLS Credit Agreement") with the OLS Partnership and Levi's Only Stores, Inc. under which the Company and Levi's Only Stores, Inc. are committed to make advances to the OLS Partnership in amounts up to $3.5 million and $1.5 million, respectively. This credit facility bears interest at BankBoston, N.A.'s prime rate and terminates on September 30, 1997, unless terminated earlier pursuant to other provisions of the OLS Credit Agreement. The OLS Credit Agreement also provides that there may not be credit advances outstanding on the last day of the fiscal year. There were no borrowings under this facility through August 2, 1997.</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the first six months of fiscal 1997, the Company opened six new Boston Trading Co.(R) stores, remodeled one Levi's(R) Outlet by Designs store and five Boston Traders(R) Outlet stores. The OLS Partnership opened one new Levi's(R) Outlet store. Total cash outlays of $7.1 million and $9.8 million during the first six months of fiscal 1997 and fiscal 1996, respectively, represent the costs of new and remodeled stores as well as corporate office capital spending during the periods. During the six month period ended August 2, 1997, the Company closed one Designs store for which the lease had expired.</w:t>
      </w:r>
    </w:p>
    <w:p>
      <w:pPr>
        <w:spacing w:after="0" w:line="214"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On May 2, 1995, the Company acquired certain assets of Boston Trading Ltd., Inc. ("Boston Trading") in accordance with the terms of an Asset Purchase Agreement dated April 21, 1995. The Company paid $5.4 million in cash, financed by operations, and delivered a non-negotiable promissory note</w:t>
      </w:r>
    </w:p>
    <w:p>
      <w:pPr>
        <w:spacing w:after="0" w:line="1"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in the principal amount of $1.0 million (the "Purchase Note"). The principal amount of the Purchase Note was payable in two equal installments through May 1997. In the first quarter of fiscal 1996, the Company asserted certain indemnification rights under the Asset Purchase Agreement. In accordance with the Asset Purchase Agreement, the Company, when exercising its indemnification rights, has the right, among other courses of action, to offset against the payment of principal and interest due and payable under the Purchase Note. Accordingly, the Company did not make either</w:t>
      </w:r>
    </w:p>
    <w:p>
      <w:pPr>
        <w:spacing w:after="0" w:line="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of the $500,000 payments of principal on the Purchase Note that were due on May 2, 1996 and May 2, 1997. The Company has paid all interest in accordance with the terms of the Purchase Note through May 2, 1997. The portion of the principal amount of the Purchase Note paid by the Company depends upon whether its claims are satisfied by Boston Trading and its stockholders.</w:t>
      </w:r>
    </w:p>
    <w:p>
      <w:pPr>
        <w:spacing w:after="0" w:line="210"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In November 1996, the Company and Levi Strauss &amp; Co. entered into a trademark license agreement (the "Outlet License Agreement") which provides the</w:t>
      </w:r>
    </w:p>
    <w:p>
      <w:pPr>
        <w:ind w:right="2199"/>
        <w:spacing w:after="0" w:line="268" w:lineRule="auto"/>
        <w:rPr>
          <w:sz w:val="20"/>
          <w:szCs w:val="20"/>
          <w:color w:val="auto"/>
        </w:rPr>
      </w:pPr>
      <w:r>
        <w:rPr>
          <w:rFonts w:ascii="Courier New" w:cs="Courier New" w:eastAsia="Courier New" w:hAnsi="Courier New"/>
          <w:sz w:val="16"/>
          <w:szCs w:val="16"/>
          <w:color w:val="auto"/>
        </w:rPr>
        <w:t>terms upon which the Company is permitted to use the Levi Strauss &amp; Co. batwing trademark in connection with the operations of the Company's Levi's(R) Outlet by Designs stores. The Outlet License Agreement authorizes the Company, subject to certain terms and conditions, to operate the Levi's(R) Outlet by Designs stores using the Levi's(R) batwing trademark in 25 states in the eastern portion of the United States. Subject to</w:t>
      </w:r>
    </w:p>
    <w:p>
      <w:pPr>
        <w:spacing w:after="0" w:line="234" w:lineRule="auto"/>
        <w:rPr>
          <w:sz w:val="20"/>
          <w:szCs w:val="20"/>
          <w:color w:val="auto"/>
        </w:rPr>
      </w:pPr>
      <w:r>
        <w:rPr>
          <w:rFonts w:ascii="Courier New" w:cs="Courier New" w:eastAsia="Courier New" w:hAnsi="Courier New"/>
          <w:sz w:val="18"/>
          <w:szCs w:val="18"/>
          <w:color w:val="auto"/>
        </w:rPr>
        <w:t>certain default provisions, the term of the Outlet License Agreement will</w:t>
      </w:r>
    </w:p>
    <w:p>
      <w:pPr>
        <w:spacing w:after="0"/>
        <w:rPr>
          <w:sz w:val="20"/>
          <w:szCs w:val="20"/>
          <w:color w:val="auto"/>
        </w:rPr>
      </w:pPr>
      <w:r>
        <w:rPr>
          <w:rFonts w:ascii="Courier New" w:cs="Courier New" w:eastAsia="Courier New" w:hAnsi="Courier New"/>
          <w:sz w:val="18"/>
          <w:szCs w:val="18"/>
          <w:color w:val="auto"/>
        </w:rPr>
        <w:t>expire on July 31, 2001, and the license for any store will be for a</w:t>
      </w:r>
    </w:p>
    <w:p>
      <w:pPr>
        <w:spacing w:after="0" w:line="237" w:lineRule="auto"/>
        <w:rPr>
          <w:sz w:val="20"/>
          <w:szCs w:val="20"/>
          <w:color w:val="auto"/>
        </w:rPr>
      </w:pPr>
      <w:r>
        <w:rPr>
          <w:rFonts w:ascii="Courier New" w:cs="Courier New" w:eastAsia="Courier New" w:hAnsi="Courier New"/>
          <w:sz w:val="18"/>
          <w:szCs w:val="18"/>
          <w:color w:val="auto"/>
        </w:rPr>
        <w:t>period co-terminous with the lease term for such store (including extension</w:t>
      </w:r>
    </w:p>
    <w:p>
      <w:pPr>
        <w:spacing w:after="0"/>
        <w:rPr>
          <w:sz w:val="20"/>
          <w:szCs w:val="20"/>
          <w:color w:val="auto"/>
        </w:rPr>
      </w:pPr>
      <w:r>
        <w:rPr>
          <w:rFonts w:ascii="Courier New" w:cs="Courier New" w:eastAsia="Courier New" w:hAnsi="Courier New"/>
          <w:sz w:val="18"/>
          <w:szCs w:val="18"/>
          <w:color w:val="auto"/>
        </w:rPr>
        <w:t>options), unless Levi Strauss &amp; Co. otherwise extends the term of the</w:t>
      </w:r>
    </w:p>
    <w:p>
      <w:pPr>
        <w:spacing w:after="0"/>
        <w:tabs>
          <w:tab w:leader="none" w:pos="3780" w:val="left"/>
        </w:tabs>
        <w:rPr>
          <w:sz w:val="20"/>
          <w:szCs w:val="20"/>
          <w:color w:val="auto"/>
        </w:rPr>
      </w:pPr>
      <w:r>
        <w:rPr>
          <w:rFonts w:ascii="Courier New" w:cs="Courier New" w:eastAsia="Courier New" w:hAnsi="Courier New"/>
          <w:sz w:val="18"/>
          <w:szCs w:val="18"/>
          <w:color w:val="auto"/>
        </w:rPr>
        <w:t>license for that particular store.</w:t>
      </w:r>
      <w:r>
        <w:rPr>
          <w:sz w:val="20"/>
          <w:szCs w:val="20"/>
          <w:color w:val="auto"/>
        </w:rPr>
        <w:tab/>
      </w:r>
      <w:r>
        <w:rPr>
          <w:rFonts w:ascii="Courier New" w:cs="Courier New" w:eastAsia="Courier New" w:hAnsi="Courier New"/>
          <w:sz w:val="16"/>
          <w:szCs w:val="16"/>
          <w:color w:val="auto"/>
        </w:rPr>
        <w:t>Levi Strauss &amp; Co. has no obligation to</w:t>
      </w:r>
    </w:p>
    <w:p>
      <w:pPr>
        <w:spacing w:after="0"/>
        <w:tabs>
          <w:tab w:leader="none" w:pos="6420" w:val="left"/>
        </w:tabs>
        <w:rPr>
          <w:sz w:val="20"/>
          <w:szCs w:val="20"/>
          <w:color w:val="auto"/>
        </w:rPr>
      </w:pPr>
      <w:r>
        <w:rPr>
          <w:rFonts w:ascii="Courier New" w:cs="Courier New" w:eastAsia="Courier New" w:hAnsi="Courier New"/>
          <w:sz w:val="18"/>
          <w:szCs w:val="18"/>
          <w:color w:val="auto"/>
        </w:rPr>
        <w:t>extend the license beyond the initial term described above.</w:t>
      </w:r>
      <w:r>
        <w:rPr>
          <w:sz w:val="20"/>
          <w:szCs w:val="20"/>
          <w:color w:val="auto"/>
        </w:rPr>
        <w:tab/>
      </w:r>
      <w:r>
        <w:rPr>
          <w:rFonts w:ascii="Courier New" w:cs="Courier New" w:eastAsia="Courier New" w:hAnsi="Courier New"/>
          <w:sz w:val="16"/>
          <w:szCs w:val="16"/>
          <w:color w:val="auto"/>
        </w:rPr>
        <w:t>The leases</w:t>
      </w:r>
    </w:p>
    <w:p>
      <w:pPr>
        <w:spacing w:after="0"/>
        <w:rPr>
          <w:sz w:val="20"/>
          <w:szCs w:val="20"/>
          <w:color w:val="auto"/>
        </w:rPr>
      </w:pPr>
      <w:r>
        <w:rPr>
          <w:rFonts w:ascii="Courier New" w:cs="Courier New" w:eastAsia="Courier New" w:hAnsi="Courier New"/>
          <w:sz w:val="18"/>
          <w:szCs w:val="18"/>
          <w:color w:val="auto"/>
        </w:rPr>
        <w:t>(including extension options) relating to approximately one-half of the</w:t>
      </w:r>
    </w:p>
    <w:p>
      <w:pPr>
        <w:spacing w:after="0" w:line="237" w:lineRule="auto"/>
        <w:rPr>
          <w:sz w:val="20"/>
          <w:szCs w:val="20"/>
          <w:color w:val="auto"/>
        </w:rPr>
      </w:pPr>
      <w:r>
        <w:rPr>
          <w:rFonts w:ascii="Courier New" w:cs="Courier New" w:eastAsia="Courier New" w:hAnsi="Courier New"/>
          <w:sz w:val="18"/>
          <w:szCs w:val="18"/>
          <w:color w:val="auto"/>
        </w:rPr>
        <w:t>Levi's(R) Outlet by Designs stores open at August 2, 1997 expire in or</w:t>
      </w:r>
    </w:p>
    <w:p>
      <w:pPr>
        <w:sectPr>
          <w:pgSz w:w="11900" w:h="16838" w:orient="portrait"/>
          <w:cols w:equalWidth="0" w:num="1">
            <w:col w:w="10219"/>
          </w:cols>
          <w:pgMar w:left="240" w:top="142" w:right="1440" w:bottom="0" w:gutter="0" w:footer="0" w:header="0"/>
        </w:sectPr>
      </w:pPr>
    </w:p>
    <w:bookmarkStart w:id="14" w:name="page15"/>
    <w:bookmarkEnd w:id="14"/>
    <w:p>
      <w:pPr>
        <w:ind w:right="2739"/>
        <w:spacing w:after="0" w:line="235" w:lineRule="auto"/>
        <w:rPr>
          <w:sz w:val="20"/>
          <w:szCs w:val="20"/>
          <w:color w:val="auto"/>
        </w:rPr>
      </w:pPr>
      <w:r>
        <w:rPr>
          <w:rFonts w:ascii="Courier New" w:cs="Courier New" w:eastAsia="Courier New" w:hAnsi="Courier New"/>
          <w:sz w:val="18"/>
          <w:szCs w:val="18"/>
          <w:color w:val="auto"/>
        </w:rPr>
        <w:t>prior to fiscal 2009 and all, except for four such leases, expire in or prior to fiscal 2011.</w:t>
      </w:r>
    </w:p>
    <w:p>
      <w:pPr>
        <w:spacing w:after="0" w:line="208"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The Company continually evaluates discretionary investments in new projects that may complement its existing business. Further, as leases expire,</w:t>
      </w:r>
    </w:p>
    <w:p>
      <w:pPr>
        <w:ind w:right="2519"/>
        <w:spacing w:after="0" w:line="236" w:lineRule="auto"/>
        <w:rPr>
          <w:sz w:val="20"/>
          <w:szCs w:val="20"/>
          <w:color w:val="auto"/>
        </w:rPr>
      </w:pPr>
      <w:r>
        <w:rPr>
          <w:rFonts w:ascii="Courier New" w:cs="Courier New" w:eastAsia="Courier New" w:hAnsi="Courier New"/>
          <w:sz w:val="18"/>
          <w:szCs w:val="18"/>
          <w:color w:val="auto"/>
        </w:rPr>
        <w:t>the Company continues to evaluate the performance of its existing stores. As a result of this process, certain store locations could be closed or relocated within a center in the future.</w:t>
      </w:r>
    </w:p>
    <w:p>
      <w:pPr>
        <w:spacing w:after="0" w:line="203" w:lineRule="exact"/>
        <w:rPr>
          <w:sz w:val="20"/>
          <w:szCs w:val="20"/>
          <w:color w:val="auto"/>
        </w:rPr>
      </w:pPr>
    </w:p>
    <w:p>
      <w:pPr>
        <w:ind w:left="2220"/>
        <w:spacing w:after="0"/>
        <w:tabs>
          <w:tab w:leader="none" w:pos="3360" w:val="left"/>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 to read the Company's Current Report on Form 8-K, previously filed with the United States Securities and Exchange Commission on April 22, 1997, which identifies certain risks and uncertainties that may have an impact on future earnings and the direction of the Company.</w:t>
      </w:r>
    </w:p>
    <w:p>
      <w:pPr>
        <w:sectPr>
          <w:pgSz w:w="11900" w:h="16838" w:orient="portrait"/>
          <w:cols w:equalWidth="0" w:num="1">
            <w:col w:w="10219"/>
          </w:cols>
          <w:pgMar w:left="240" w:top="142" w:right="1440" w:bottom="1440" w:gutter="0" w:footer="0" w:header="0"/>
        </w:sectPr>
      </w:pPr>
    </w:p>
    <w:bookmarkStart w:id="15" w:name="page16"/>
    <w:bookmarkEnd w:id="15"/>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jc w:val="both"/>
        <w:ind w:right="2419" w:firstLine="527"/>
        <w:spacing w:after="0" w:line="275" w:lineRule="auto"/>
        <w:rPr>
          <w:sz w:val="20"/>
          <w:szCs w:val="20"/>
          <w:color w:val="auto"/>
        </w:rPr>
      </w:pPr>
      <w:r>
        <w:rPr>
          <w:rFonts w:ascii="Courier New" w:cs="Courier New" w:eastAsia="Courier New" w:hAnsi="Courier New"/>
          <w:sz w:val="16"/>
          <w:szCs w:val="16"/>
          <w:color w:val="auto"/>
        </w:rPr>
        <w:t>The Company is a party to litigation and claims arising in the normal course of its business. Barring unforeseen circumstances, management does not expect the results of these actions to have a material adverse effect on the Company's business or financial condition.</w:t>
      </w:r>
    </w:p>
    <w:p>
      <w:pPr>
        <w:spacing w:after="0" w:line="17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 Upon Senior Securities</w:t>
      </w:r>
    </w:p>
    <w:p>
      <w:pPr>
        <w:spacing w:after="0" w:line="207" w:lineRule="exact"/>
        <w:rPr>
          <w:sz w:val="20"/>
          <w:szCs w:val="20"/>
          <w:color w:val="auto"/>
        </w:rPr>
      </w:pPr>
    </w:p>
    <w:p>
      <w:pPr>
        <w:ind w:left="120" w:right="2419" w:firstLine="421"/>
        <w:spacing w:after="0" w:line="237" w:lineRule="auto"/>
        <w:rPr>
          <w:sz w:val="20"/>
          <w:szCs w:val="20"/>
          <w:color w:val="auto"/>
        </w:rPr>
      </w:pPr>
      <w:r>
        <w:rPr>
          <w:rFonts w:ascii="Courier New" w:cs="Courier New" w:eastAsia="Courier New" w:hAnsi="Courier New"/>
          <w:sz w:val="18"/>
          <w:szCs w:val="18"/>
          <w:color w:val="auto"/>
        </w:rPr>
        <w:t>As discussed above, the Credit Agreement requires the Company to maintain certain net worth, inventory turnover and cash flow ratios. The Company received a written waiver of its non-compliance at August 2, 1997 with the cash flow ratio covenant in the Credit Agreement.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On June 10, 1997, the Company held its Annual Meeting of Stockholders.</w:t>
      </w:r>
    </w:p>
    <w:p>
      <w:pPr>
        <w:spacing w:after="0" w:line="238" w:lineRule="auto"/>
        <w:rPr>
          <w:sz w:val="20"/>
          <w:szCs w:val="20"/>
          <w:color w:val="auto"/>
        </w:rPr>
      </w:pPr>
      <w:r>
        <w:rPr>
          <w:rFonts w:ascii="Courier New" w:cs="Courier New" w:eastAsia="Courier New" w:hAnsi="Courier New"/>
          <w:sz w:val="18"/>
          <w:szCs w:val="18"/>
          <w:color w:val="auto"/>
        </w:rPr>
        <w:t>At the meeting, stockholders holding at 11,094,156 shares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Common Stock, $0.01 par value, cast votes in favor of the election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each of Stanley I. Berger, Joel H. Reichman, James G. Groninger, Bernard</w:t>
      </w:r>
    </w:p>
    <w:p>
      <w:pPr>
        <w:spacing w:after="0" w:line="238" w:lineRule="auto"/>
        <w:rPr>
          <w:sz w:val="20"/>
          <w:szCs w:val="20"/>
          <w:color w:val="auto"/>
        </w:rPr>
      </w:pPr>
      <w:r>
        <w:rPr>
          <w:rFonts w:ascii="Courier New" w:cs="Courier New" w:eastAsia="Courier New" w:hAnsi="Courier New"/>
          <w:sz w:val="18"/>
          <w:szCs w:val="18"/>
          <w:color w:val="auto"/>
        </w:rPr>
        <w:t>M. Manuel, Melvin I. Shapiro and Peter L. Thigpen as directors of the</w:t>
      </w:r>
    </w:p>
    <w:p>
      <w:pPr>
        <w:spacing w:after="0"/>
        <w:rPr>
          <w:sz w:val="20"/>
          <w:szCs w:val="20"/>
          <w:color w:val="auto"/>
        </w:rPr>
      </w:pPr>
      <w:r>
        <w:rPr>
          <w:rFonts w:ascii="Courier New" w:cs="Courier New" w:eastAsia="Courier New" w:hAnsi="Courier New"/>
          <w:sz w:val="18"/>
          <w:szCs w:val="18"/>
          <w:color w:val="auto"/>
        </w:rPr>
        <w:t>Company and no more than 3,776,921 shares were withheld from any one of</w:t>
      </w:r>
    </w:p>
    <w:p>
      <w:pPr>
        <w:spacing w:after="0" w:line="237" w:lineRule="auto"/>
        <w:rPr>
          <w:sz w:val="20"/>
          <w:szCs w:val="20"/>
          <w:color w:val="auto"/>
        </w:rPr>
      </w:pPr>
      <w:r>
        <w:rPr>
          <w:rFonts w:ascii="Courier New" w:cs="Courier New" w:eastAsia="Courier New" w:hAnsi="Courier New"/>
          <w:sz w:val="18"/>
          <w:szCs w:val="18"/>
          <w:color w:val="auto"/>
        </w:rPr>
        <w:t>the foregoing.</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At the meeting, stockholders holding 11,567,920 shares of Common Stock cast votes in favor of a proposal to approve the Company's 1992 Stock Incentive Plan, as amended, 2,234,141 shares were cast against the proposal and stockholders holding 97,489 shares abstained from voting.</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540" w:right="20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reported under item 5 on Form 8-K, dated April 22, 1997, certain cautionary statements of the Company to be taken into account in conjunction with consideration and review of the Company's publicly-disseminated documents (including oral statements made by others on behalf of the Company) that include forward looking information.</w:t>
      </w:r>
    </w:p>
    <w:p>
      <w:pPr>
        <w:spacing w:after="0" w:line="17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74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Restated Certificate of Incorporation of the Company, as amended</w:t>
            </w:r>
          </w:p>
        </w:tc>
        <w:tc>
          <w:tcPr>
            <w:tcW w:w="1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(included as Exhibit 3.1 to Amendment No. 3 of the Company's</w:t>
            </w:r>
          </w:p>
        </w:tc>
        <w:tc>
          <w:tcPr>
            <w:tcW w:w="1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Registration Statement on Form S-1</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33-13402), and incorporated</w:t>
            </w:r>
          </w:p>
        </w:tc>
        <w:tc>
          <w:tcPr>
            <w:tcW w:w="1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64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3.2</w:t>
            </w:r>
          </w:p>
        </w:tc>
        <w:tc>
          <w:tcPr>
            <w:tcW w:w="74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Certificate of Amendment to Restated Certificate of Incorporation,</w:t>
            </w:r>
          </w:p>
        </w:tc>
        <w:tc>
          <w:tcPr>
            <w:tcW w:w="1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as amended, dated June 22, 1993 (included as Exhibit 3.2 to the</w:t>
            </w:r>
          </w:p>
        </w:tc>
        <w:tc>
          <w:tcPr>
            <w:tcW w:w="1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Company's Quarterly Report on Form</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10-Q dated June 17, 1996, and</w:t>
            </w:r>
          </w:p>
        </w:tc>
        <w:tc>
          <w:tcPr>
            <w:tcW w:w="1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incorporated herein by reference).</w:t>
            </w:r>
          </w:p>
        </w:tc>
        <w:tc>
          <w:tcPr>
            <w:tcW w:w="364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3.3</w:t>
            </w:r>
          </w:p>
        </w:tc>
        <w:tc>
          <w:tcPr>
            <w:tcW w:w="74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Certificate of Designations, Preferences and Rights of a Series of</w:t>
            </w:r>
          </w:p>
        </w:tc>
        <w:tc>
          <w:tcPr>
            <w:tcW w:w="1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Preferred Stock of the Company establishing Series A Junior</w:t>
            </w:r>
          </w:p>
        </w:tc>
        <w:tc>
          <w:tcPr>
            <w:tcW w:w="1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Participating Cumulative Preferred</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Stock dated May 1, 1995 (included</w:t>
            </w:r>
          </w:p>
        </w:tc>
        <w:tc>
          <w:tcPr>
            <w:tcW w:w="1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8"/>
              </w:rPr>
              <w:t>as Exhibit 3.2 to the Company's Annual Report on Form 10-K dated May</w:t>
            </w:r>
          </w:p>
        </w:tc>
        <w:tc>
          <w:tcPr>
            <w:tcW w:w="1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 1996,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3.4</w:t>
            </w:r>
          </w:p>
        </w:tc>
        <w:tc>
          <w:tcPr>
            <w:tcW w:w="3840" w:type="dxa"/>
            <w:vAlign w:val="bottom"/>
          </w:tcPr>
          <w:p>
            <w:pPr>
              <w:ind w:left="200"/>
              <w:spacing w:after="0"/>
              <w:rPr>
                <w:sz w:val="20"/>
                <w:szCs w:val="20"/>
                <w:color w:val="auto"/>
              </w:rPr>
            </w:pPr>
            <w:r>
              <w:rPr>
                <w:rFonts w:ascii="Courier New" w:cs="Courier New" w:eastAsia="Courier New" w:hAnsi="Courier New"/>
                <w:sz w:val="18"/>
                <w:szCs w:val="18"/>
                <w:color w:val="auto"/>
                <w:w w:val="98"/>
              </w:rPr>
              <w:t>By-Laws of the Company, as amended</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(included as Exhibit 3.1 to the</w:t>
            </w:r>
          </w:p>
        </w:tc>
        <w:tc>
          <w:tcPr>
            <w:tcW w:w="1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Company's Quarterly Report on Form</w:t>
            </w:r>
          </w:p>
        </w:tc>
        <w:tc>
          <w:tcPr>
            <w:tcW w:w="3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10-Q dated December 12, 1995, and</w:t>
            </w:r>
          </w:p>
        </w:tc>
        <w:tc>
          <w:tcPr>
            <w:tcW w:w="1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incorporated herein by reference).</w:t>
            </w:r>
          </w:p>
        </w:tc>
        <w:tc>
          <w:tcPr>
            <w:tcW w:w="364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3840" w:type="dxa"/>
            <w:vAlign w:val="bottom"/>
          </w:tcPr>
          <w:p>
            <w:pPr>
              <w:ind w:left="200"/>
              <w:spacing w:after="0"/>
              <w:rPr>
                <w:sz w:val="20"/>
                <w:szCs w:val="20"/>
                <w:color w:val="auto"/>
              </w:rPr>
            </w:pPr>
            <w:r>
              <w:rPr>
                <w:rFonts w:ascii="Courier New" w:cs="Courier New" w:eastAsia="Courier New" w:hAnsi="Courier New"/>
                <w:sz w:val="18"/>
                <w:szCs w:val="18"/>
                <w:color w:val="auto"/>
                <w:w w:val="98"/>
              </w:rPr>
              <w:t>Shareholder Rights Agreement dated</w:t>
            </w:r>
          </w:p>
        </w:tc>
        <w:tc>
          <w:tcPr>
            <w:tcW w:w="3640" w:type="dxa"/>
            <w:vAlign w:val="bottom"/>
          </w:tcPr>
          <w:p>
            <w:pPr>
              <w:ind w:left="60"/>
              <w:spacing w:after="0"/>
              <w:rPr>
                <w:sz w:val="20"/>
                <w:szCs w:val="20"/>
                <w:color w:val="auto"/>
              </w:rPr>
            </w:pPr>
            <w:r>
              <w:rPr>
                <w:rFonts w:ascii="Courier New" w:cs="Courier New" w:eastAsia="Courier New" w:hAnsi="Courier New"/>
                <w:sz w:val="18"/>
                <w:szCs w:val="18"/>
                <w:color w:val="auto"/>
              </w:rPr>
              <w:t>as of May 1, 1995 between the</w:t>
            </w:r>
          </w:p>
        </w:tc>
        <w:tc>
          <w:tcPr>
            <w:tcW w:w="1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Company and its transfer agent (included as Exhibit 4.1 to the</w:t>
            </w:r>
          </w:p>
        </w:tc>
        <w:tc>
          <w:tcPr>
            <w:tcW w:w="1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Company's Current Report on Form 8-K dated May 1, 1995, and</w:t>
            </w:r>
          </w:p>
        </w:tc>
        <w:tc>
          <w:tcPr>
            <w:tcW w:w="1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3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incorporated herein by reference).</w:t>
            </w:r>
          </w:p>
        </w:tc>
        <w:tc>
          <w:tcPr>
            <w:tcW w:w="364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020" w:type="dxa"/>
            <w:vAlign w:val="bottom"/>
            <w:gridSpan w:val="3"/>
          </w:tcPr>
          <w:p>
            <w:pPr>
              <w:spacing w:after="0"/>
              <w:rPr>
                <w:sz w:val="20"/>
                <w:szCs w:val="20"/>
                <w:color w:val="auto"/>
              </w:rPr>
            </w:pPr>
            <w:r>
              <w:rPr>
                <w:rFonts w:ascii="Courier New" w:cs="Courier New" w:eastAsia="Courier New" w:hAnsi="Courier New"/>
                <w:sz w:val="18"/>
                <w:szCs w:val="18"/>
                <w:color w:val="auto"/>
              </w:rPr>
              <w:t>10.1   1987 Incentive Stock Option Plan, as amended (included as Exhibit</w:t>
            </w:r>
          </w:p>
        </w:tc>
        <w:tc>
          <w:tcPr>
            <w:tcW w:w="1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10.1 to the Company's Annual Report on Form 10-K dated April 29,</w:t>
            </w:r>
          </w:p>
        </w:tc>
        <w:tc>
          <w:tcPr>
            <w:tcW w:w="1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1993,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8020" w:type="dxa"/>
            <w:vAlign w:val="bottom"/>
            <w:gridSpan w:val="3"/>
          </w:tcPr>
          <w:p>
            <w:pPr>
              <w:spacing w:after="0"/>
              <w:rPr>
                <w:sz w:val="20"/>
                <w:szCs w:val="20"/>
                <w:color w:val="auto"/>
              </w:rPr>
            </w:pPr>
            <w:r>
              <w:rPr>
                <w:rFonts w:ascii="Courier New" w:cs="Courier New" w:eastAsia="Courier New" w:hAnsi="Courier New"/>
                <w:sz w:val="18"/>
                <w:szCs w:val="18"/>
                <w:color w:val="auto"/>
                <w:w w:val="97"/>
              </w:rPr>
              <w:t>10.2   1987 Non-Qualified Stock Option Plan, as amended (included as Exhibit</w:t>
            </w:r>
          </w:p>
        </w:tc>
        <w:tc>
          <w:tcPr>
            <w:tcW w:w="10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10.2 to the Company's Annual Report on Form 10-K dated April 29,</w:t>
            </w:r>
          </w:p>
        </w:tc>
        <w:tc>
          <w:tcPr>
            <w:tcW w:w="10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1993, and incorporated by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bl>
    <w:p>
      <w:pPr>
        <w:sectPr>
          <w:pgSz w:w="11900" w:h="16838" w:orient="portrait"/>
          <w:cols w:equalWidth="0" w:num="1">
            <w:col w:w="10219"/>
          </w:cols>
          <w:pgMar w:left="240" w:top="1122" w:right="1440"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1992 Stock Incentive Plan, as amended (included as Exhibit A to the</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definitive proxy statement dated May 9, 1997, and</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Senior Executive Incentive Plan effective beginning with the fiscal</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 ended February 1, 1997 (included as Exhibit 10.4 to the</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Company's Quarterly Report on Form 10-Q dated September 17, 1996, and</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Trademark License Agreement between the Company and Levi Strauss &amp;</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 dated as of November 15, 1996 (included as Exhibit 10.5 to the</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Annual Report on Form 10-K dated May 1, 1997, and</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Amended and Restated Credit Agreement among the Company, BankBoston</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N.A., formerly BayBank, N.A., and State Street Bank and Trust Company</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dated as of July 24, 1996 (included as Exhibit 10.1 to the Company's</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Current Report on Form 8-K dated August 7, 1996, and incorporated</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w w:val="98"/>
              </w:rPr>
              <w:t>Consulting Agreement between the Company and Stanley I. Berger dated</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December 21, 1994 (included as Exhibit 10.7 to the Company's Annual</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Report on Form 10-K dated April 28, 1995, and incorporated herein by</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Participation Agreement among Designs JV Corp. (the Designs</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 the Company, LDJV Inc. (the "LOS Partner"), Levi's Only</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Stores, Inc. ("LOS"), Levi Strauss &amp; Co. ("LS&amp;CO") and Levi</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Strauss Associates Inc. ("SAI") dated January 28, 1995 (included</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Exhibit 10.1 to the Company's Current Report on Form 8-K dated</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24, 1995, and 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Partnership Agreement of The Designs/OLS Partnership (the "OLS</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Partnership") between the LOS Partner and the Designs Partner dated</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January 28, 1995 (included as Exhibit 10.2 to the Company's Current</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 on Form 8-K dated April 24, 1995, and incorporated herein by</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Glossary executed by the Designs Partner, the Company, the LOS</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 LOS, LS&amp;CO, LSAI and the OLS Partnership dated January 28,</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1995 (included as Exhibit 10.3 to the Company's Current Report on</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Form 8-K dated April 24, 1995, and incorporated herein by reference).*</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Sublicense Agreement between LOS and the LOS Partner dated</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January 28, 1995 (included as Exhibit 10.4 to the Company's Current</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 on Form 8-K dated April 24, 1995, and incorporated herein by</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Sublicense Agreement between the LOS Partner and the OLS</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Partnership dated January 28, 1995 (included as Exhibit 10.5 to the</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 and</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License Agreement between the Company and the OLS Partnership</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January 28, 1995 (included as Exhibit 10.6 to the Company's</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 incorporated</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Administrative Services Agreement between the Company and the OLS</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Partnership dated January 28, 1995 (included as Exhibit 10.7 to the</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 and</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Credit Agreement among the Company, LOS and the OLS Partnership</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dated as of October 1, 1996 (included as Exhibit 10.15 to the</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Company's Quarterly Report on Form 10-Q dated December 17, 1996, and</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10.16</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Asset Purchase Agreement between LOS and the Company relating to</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sale of stores located in Minneapolis, Minnesota dated January</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28, 1995 (included as Exhibit 10.9 to the Company's Current Report on</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Form 8-K dated April 24, 1995, and incorporated herein by reference).*</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10.17</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Asset Purchase Agreement between LOS and the Company relating to</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the sale of a store located in Cambridge, Massachusetts dated January</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28, 1995 (included as Exhibit 10.10 to the Company's Current Report</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Form 8-K dated April 24, 1995, and incorporated herein by</w:t>
            </w:r>
          </w:p>
        </w:tc>
        <w:tc>
          <w:tcPr>
            <w:tcW w:w="10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640" w:type="dxa"/>
            <w:vAlign w:val="bottom"/>
          </w:tcPr>
          <w:p>
            <w:pPr>
              <w:spacing w:after="0"/>
              <w:rPr>
                <w:sz w:val="20"/>
                <w:szCs w:val="20"/>
                <w:color w:val="auto"/>
              </w:rPr>
            </w:pPr>
            <w:r>
              <w:rPr>
                <w:rFonts w:ascii="Courier New" w:cs="Courier New" w:eastAsia="Courier New" w:hAnsi="Courier New"/>
                <w:sz w:val="18"/>
                <w:szCs w:val="18"/>
                <w:color w:val="auto"/>
              </w:rPr>
              <w:t>10.18</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Asset Purchase Agreement among Boston Trading Ltd., Inc., Designs</w:t>
            </w:r>
          </w:p>
        </w:tc>
        <w:tc>
          <w:tcPr>
            <w:tcW w:w="100" w:type="dxa"/>
            <w:vAlign w:val="bottom"/>
          </w:tcPr>
          <w:p>
            <w:pPr>
              <w:spacing w:after="0"/>
              <w:rPr>
                <w:sz w:val="24"/>
                <w:szCs w:val="24"/>
                <w:color w:val="auto"/>
              </w:rPr>
            </w:pPr>
          </w:p>
        </w:tc>
      </w:tr>
      <w:tr>
        <w:trPr>
          <w:trHeight w:val="203"/>
        </w:trPr>
        <w:tc>
          <w:tcPr>
            <w:tcW w:w="640" w:type="dxa"/>
            <w:vAlign w:val="bottom"/>
          </w:tcPr>
          <w:p>
            <w:pPr>
              <w:spacing w:after="0"/>
              <w:rPr>
                <w:sz w:val="17"/>
                <w:szCs w:val="17"/>
                <w:color w:val="auto"/>
              </w:rPr>
            </w:pP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Acquisition Corp., the Company and others dated April 21, 1995</w:t>
            </w:r>
          </w:p>
        </w:tc>
        <w:tc>
          <w:tcPr>
            <w:tcW w:w="10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17" w:name="page18"/>
    <w:bookmarkEnd w:id="17"/>
    <w:p>
      <w:pPr>
        <w:ind w:left="740"/>
        <w:spacing w:after="0" w:line="290" w:lineRule="auto"/>
        <w:rPr>
          <w:sz w:val="20"/>
          <w:szCs w:val="20"/>
          <w:color w:val="auto"/>
        </w:rPr>
      </w:pPr>
      <w:r>
        <w:rPr>
          <w:rFonts w:ascii="Courier New" w:cs="Courier New" w:eastAsia="Courier New" w:hAnsi="Courier New"/>
          <w:sz w:val="16"/>
          <w:szCs w:val="16"/>
          <w:color w:val="auto"/>
        </w:rPr>
        <w:t>(included as 10.16 to the Company's Quarterly Report on Form 10-Q dated September 12, 1995, and incorporated herein by reference).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7600" w:space="420"/>
            <w:col w:w="2199"/>
          </w:cols>
          <w:pgMar w:left="240" w:top="142" w:right="1440" w:bottom="1440" w:gutter="0" w:footer="0" w:header="0"/>
        </w:sectPr>
      </w:pPr>
    </w:p>
    <w:p>
      <w:pPr>
        <w:ind w:left="740" w:right="2099" w:hanging="736"/>
        <w:spacing w:after="0" w:line="275" w:lineRule="auto"/>
        <w:tabs>
          <w:tab w:leader="none" w:pos="720" w:val="left"/>
        </w:tabs>
        <w:rPr>
          <w:sz w:val="20"/>
          <w:szCs w:val="20"/>
          <w:color w:val="auto"/>
        </w:rPr>
      </w:pPr>
      <w:r>
        <w:rPr>
          <w:rFonts w:ascii="Courier New" w:cs="Courier New" w:eastAsia="Courier New" w:hAnsi="Courier New"/>
          <w:sz w:val="18"/>
          <w:szCs w:val="18"/>
          <w:color w:val="auto"/>
        </w:rPr>
        <w:t>10.19</w:t>
      </w:r>
      <w:r>
        <w:rPr>
          <w:sz w:val="20"/>
          <w:szCs w:val="20"/>
          <w:color w:val="auto"/>
        </w:rPr>
        <w:tab/>
      </w:r>
      <w:r>
        <w:rPr>
          <w:rFonts w:ascii="Courier New" w:cs="Courier New" w:eastAsia="Courier New" w:hAnsi="Courier New"/>
          <w:sz w:val="16"/>
          <w:szCs w:val="16"/>
          <w:color w:val="auto"/>
        </w:rPr>
        <w:t>Non-Negotiable Promissory Note between the Company and Atlantic Harbor, Inc., formerly known as Boston Trading Ltd., Inc., dated May 2, 1995 (included as 10.17 to the Company's Quarterly Report on Form 10-Q dated September 12, 1995, and incorporated herein by reference).*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10.20</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w w:val="98"/>
              </w:rPr>
              <w:t>Employment Agreement dated</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as of October 16,</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1995</w:t>
            </w:r>
          </w:p>
        </w:tc>
        <w:tc>
          <w:tcPr>
            <w:tcW w:w="21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between the</w:t>
            </w:r>
          </w:p>
        </w:tc>
      </w:tr>
      <w:tr>
        <w:trPr>
          <w:trHeight w:val="203"/>
        </w:trPr>
        <w:tc>
          <w:tcPr>
            <w:tcW w:w="640" w:type="dxa"/>
            <w:vAlign w:val="bottom"/>
          </w:tcPr>
          <w:p>
            <w:pPr>
              <w:spacing w:after="0"/>
              <w:rPr>
                <w:sz w:val="17"/>
                <w:szCs w:val="17"/>
                <w:color w:val="auto"/>
              </w:rPr>
            </w:pPr>
          </w:p>
        </w:tc>
        <w:tc>
          <w:tcPr>
            <w:tcW w:w="53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Company and Joel H. Reichman (included as Exhibit</w:t>
            </w:r>
          </w:p>
        </w:tc>
        <w:tc>
          <w:tcPr>
            <w:tcW w:w="21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10.1 to the</w:t>
            </w:r>
          </w:p>
        </w:tc>
      </w:tr>
      <w:tr>
        <w:trPr>
          <w:trHeight w:val="203"/>
        </w:trPr>
        <w:tc>
          <w:tcPr>
            <w:tcW w:w="640" w:type="dxa"/>
            <w:vAlign w:val="bottom"/>
          </w:tcPr>
          <w:p>
            <w:pPr>
              <w:spacing w:after="0"/>
              <w:rPr>
                <w:sz w:val="17"/>
                <w:szCs w:val="17"/>
                <w:color w:val="auto"/>
              </w:rPr>
            </w:pPr>
          </w:p>
        </w:tc>
        <w:tc>
          <w:tcPr>
            <w:tcW w:w="748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 and</w:t>
            </w:r>
          </w:p>
        </w:tc>
      </w:tr>
      <w:tr>
        <w:trPr>
          <w:trHeight w:val="203"/>
        </w:trPr>
        <w:tc>
          <w:tcPr>
            <w:tcW w:w="640" w:type="dxa"/>
            <w:vAlign w:val="bottom"/>
          </w:tcPr>
          <w:p>
            <w:pPr>
              <w:spacing w:after="0"/>
              <w:rPr>
                <w:sz w:val="17"/>
                <w:szCs w:val="17"/>
                <w:color w:val="auto"/>
              </w:rPr>
            </w:pPr>
          </w:p>
        </w:tc>
        <w:tc>
          <w:tcPr>
            <w:tcW w:w="4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520" w:type="dxa"/>
            <w:vAlign w:val="bottom"/>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10.21</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w w:val="98"/>
              </w:rPr>
              <w:t>Employment Agreement dated</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as of October 16,</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1995</w:t>
            </w:r>
          </w:p>
        </w:tc>
        <w:tc>
          <w:tcPr>
            <w:tcW w:w="21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between the</w:t>
            </w:r>
          </w:p>
        </w:tc>
      </w:tr>
      <w:tr>
        <w:trPr>
          <w:trHeight w:val="203"/>
        </w:trPr>
        <w:tc>
          <w:tcPr>
            <w:tcW w:w="640" w:type="dxa"/>
            <w:vAlign w:val="bottom"/>
          </w:tcPr>
          <w:p>
            <w:pPr>
              <w:spacing w:after="0"/>
              <w:rPr>
                <w:sz w:val="17"/>
                <w:szCs w:val="17"/>
                <w:color w:val="auto"/>
              </w:rPr>
            </w:pP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Company and Scott N. Semel</w:t>
            </w:r>
          </w:p>
        </w:tc>
        <w:tc>
          <w:tcPr>
            <w:tcW w:w="4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(included as Exhibit 10.2 to the Company's</w:t>
            </w:r>
          </w:p>
        </w:tc>
      </w:tr>
      <w:tr>
        <w:trPr>
          <w:trHeight w:val="203"/>
        </w:trPr>
        <w:tc>
          <w:tcPr>
            <w:tcW w:w="640" w:type="dxa"/>
            <w:vAlign w:val="bottom"/>
          </w:tcPr>
          <w:p>
            <w:pPr>
              <w:spacing w:after="0"/>
              <w:rPr>
                <w:sz w:val="17"/>
                <w:szCs w:val="17"/>
                <w:color w:val="auto"/>
              </w:rPr>
            </w:pP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Current Report on Form 8-K</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 December 6,</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1995, and incorporated</w:t>
            </w:r>
          </w:p>
        </w:tc>
      </w:tr>
      <w:tr>
        <w:trPr>
          <w:trHeight w:val="203"/>
        </w:trPr>
        <w:tc>
          <w:tcPr>
            <w:tcW w:w="640" w:type="dxa"/>
            <w:vAlign w:val="bottom"/>
          </w:tcPr>
          <w:p>
            <w:pPr>
              <w:spacing w:after="0"/>
              <w:rPr>
                <w:sz w:val="17"/>
                <w:szCs w:val="17"/>
                <w:color w:val="auto"/>
              </w:rPr>
            </w:pP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10.22</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w w:val="98"/>
              </w:rPr>
              <w:t>Employment Agreement dated</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as of October 16,</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1995</w:t>
            </w:r>
          </w:p>
        </w:tc>
        <w:tc>
          <w:tcPr>
            <w:tcW w:w="21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between the</w:t>
            </w:r>
          </w:p>
        </w:tc>
      </w:tr>
      <w:tr>
        <w:trPr>
          <w:trHeight w:val="203"/>
        </w:trPr>
        <w:tc>
          <w:tcPr>
            <w:tcW w:w="640" w:type="dxa"/>
            <w:vAlign w:val="bottom"/>
          </w:tcPr>
          <w:p>
            <w:pPr>
              <w:spacing w:after="0"/>
              <w:rPr>
                <w:sz w:val="17"/>
                <w:szCs w:val="17"/>
                <w:color w:val="auto"/>
              </w:rPr>
            </w:pP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Company and Mark S. Lisnow</w:t>
            </w:r>
          </w:p>
        </w:tc>
        <w:tc>
          <w:tcPr>
            <w:tcW w:w="45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(included as Exhibit 10.3 to the Company's</w:t>
            </w:r>
          </w:p>
        </w:tc>
      </w:tr>
      <w:tr>
        <w:trPr>
          <w:trHeight w:val="203"/>
        </w:trPr>
        <w:tc>
          <w:tcPr>
            <w:tcW w:w="640" w:type="dxa"/>
            <w:vAlign w:val="bottom"/>
          </w:tcPr>
          <w:p>
            <w:pPr>
              <w:spacing w:after="0"/>
              <w:rPr>
                <w:sz w:val="17"/>
                <w:szCs w:val="17"/>
                <w:color w:val="auto"/>
              </w:rPr>
            </w:pP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Current Report on Form 8-K</w:t>
            </w:r>
          </w:p>
        </w:tc>
        <w:tc>
          <w:tcPr>
            <w:tcW w:w="1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dated December 6,</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1995, and incorporated</w:t>
            </w:r>
          </w:p>
        </w:tc>
      </w:tr>
      <w:tr>
        <w:trPr>
          <w:trHeight w:val="203"/>
        </w:trPr>
        <w:tc>
          <w:tcPr>
            <w:tcW w:w="640" w:type="dxa"/>
            <w:vAlign w:val="bottom"/>
          </w:tcPr>
          <w:p>
            <w:pPr>
              <w:spacing w:after="0"/>
              <w:rPr>
                <w:sz w:val="17"/>
                <w:szCs w:val="17"/>
                <w:color w:val="auto"/>
              </w:rPr>
            </w:pP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10.23</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w w:val="98"/>
              </w:rPr>
              <w:t>Employment Agreement dated</w:t>
            </w:r>
          </w:p>
        </w:tc>
        <w:tc>
          <w:tcPr>
            <w:tcW w:w="1900" w:type="dxa"/>
            <w:vAlign w:val="bottom"/>
          </w:tcPr>
          <w:p>
            <w:pPr>
              <w:ind w:left="40"/>
              <w:spacing w:after="0"/>
              <w:rPr>
                <w:sz w:val="20"/>
                <w:szCs w:val="20"/>
                <w:color w:val="auto"/>
              </w:rPr>
            </w:pPr>
            <w:r>
              <w:rPr>
                <w:rFonts w:ascii="Courier New" w:cs="Courier New" w:eastAsia="Courier New" w:hAnsi="Courier New"/>
                <w:sz w:val="18"/>
                <w:szCs w:val="18"/>
                <w:color w:val="auto"/>
              </w:rPr>
              <w:t>as of May 9, 1997</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between the Company</w:t>
            </w:r>
          </w:p>
        </w:tc>
      </w:tr>
      <w:tr>
        <w:trPr>
          <w:trHeight w:val="203"/>
        </w:trPr>
        <w:tc>
          <w:tcPr>
            <w:tcW w:w="640" w:type="dxa"/>
            <w:vAlign w:val="bottom"/>
          </w:tcPr>
          <w:p>
            <w:pPr>
              <w:spacing w:after="0"/>
              <w:rPr>
                <w:sz w:val="17"/>
                <w:szCs w:val="17"/>
                <w:color w:val="auto"/>
              </w:rPr>
            </w:pPr>
          </w:p>
        </w:tc>
        <w:tc>
          <w:tcPr>
            <w:tcW w:w="4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and Carolyn R. Faulkner (included as Exhibit</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10.23 to the Company's</w:t>
            </w:r>
          </w:p>
        </w:tc>
      </w:tr>
      <w:tr>
        <w:trPr>
          <w:trHeight w:val="203"/>
        </w:trPr>
        <w:tc>
          <w:tcPr>
            <w:tcW w:w="640" w:type="dxa"/>
            <w:vAlign w:val="bottom"/>
          </w:tcPr>
          <w:p>
            <w:pPr>
              <w:spacing w:after="0"/>
              <w:rPr>
                <w:sz w:val="17"/>
                <w:szCs w:val="17"/>
                <w:color w:val="auto"/>
              </w:rPr>
            </w:pPr>
          </w:p>
        </w:tc>
        <w:tc>
          <w:tcPr>
            <w:tcW w:w="4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Quarterly Report on Form 10-Q dated June 17,</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1997, and incorporated</w:t>
            </w:r>
          </w:p>
        </w:tc>
      </w:tr>
      <w:tr>
        <w:trPr>
          <w:trHeight w:val="203"/>
        </w:trPr>
        <w:tc>
          <w:tcPr>
            <w:tcW w:w="640" w:type="dxa"/>
            <w:vAlign w:val="bottom"/>
          </w:tcPr>
          <w:p>
            <w:pPr>
              <w:spacing w:after="0"/>
              <w:rPr>
                <w:sz w:val="17"/>
                <w:szCs w:val="17"/>
                <w:color w:val="auto"/>
              </w:rPr>
            </w:pP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1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99.1  Report of the Company</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dated April 22, 1997 concerning certain</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cautionary statements</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the Company to be taken into account in</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conjunction with consideration and review of the Company's</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publicly-disseminated</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documents (including oral statements made by</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others on behalf of the Company) that include forward looking</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information (included</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99 to the Company's Annual Report</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on Form 10-K dated May 1, 1997, and incorporated herein by</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reference).</w:t>
            </w:r>
          </w:p>
        </w:tc>
        <w:tc>
          <w:tcPr>
            <w:tcW w:w="490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72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Press release of the Company dated June 10, 1997 (included as</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Exhibit 99.2 to the Company's Quarterly Report on Form 10-Q dated</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June 17, 1997,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60" w:type="dxa"/>
            <w:vAlign w:val="bottom"/>
          </w:tcPr>
          <w:p>
            <w:pPr>
              <w:ind w:left="100"/>
              <w:spacing w:after="0"/>
              <w:rPr>
                <w:sz w:val="20"/>
                <w:szCs w:val="20"/>
                <w:color w:val="auto"/>
              </w:rPr>
            </w:pPr>
            <w:r>
              <w:rPr>
                <w:rFonts w:ascii="Courier New" w:cs="Courier New" w:eastAsia="Courier New" w:hAnsi="Courier New"/>
                <w:sz w:val="18"/>
                <w:szCs w:val="18"/>
                <w:color w:val="auto"/>
                <w:w w:val="98"/>
              </w:rPr>
              <w:t>Previously filed with</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the Securities and Exchange Commission.</w:t>
            </w:r>
          </w:p>
        </w:tc>
        <w:tc>
          <w:tcPr>
            <w:tcW w:w="32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type w:val="continuous"/>
        </w:sectPr>
      </w:pPr>
    </w:p>
    <w:bookmarkStart w:id="18" w:name="page19"/>
    <w:bookmarkEnd w:id="18"/>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CAROLYN R. FAULKNER</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Carolyn R. Faulkner</w:t>
      </w:r>
    </w:p>
    <w:p>
      <w:pPr>
        <w:ind w:left="4120"/>
        <w:spacing w:after="0" w:line="237" w:lineRule="auto"/>
        <w:rPr>
          <w:sz w:val="20"/>
          <w:szCs w:val="20"/>
          <w:color w:val="auto"/>
        </w:rPr>
      </w:pPr>
      <w:r>
        <w:rPr>
          <w:rFonts w:ascii="Courier New" w:cs="Courier New" w:eastAsia="Courier New" w:hAnsi="Courier New"/>
          <w:sz w:val="18"/>
          <w:szCs w:val="18"/>
          <w:color w:val="auto"/>
        </w:rPr>
        <w:t>Vice President and</w:t>
      </w:r>
    </w:p>
    <w:p>
      <w:pPr>
        <w:ind w:left="41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September 15, 1997</w:t>
      </w:r>
    </w:p>
    <w:p>
      <w:pPr>
        <w:sectPr>
          <w:pgSz w:w="11900" w:h="16838" w:orient="portrait"/>
          <w:cols w:equalWidth="0" w:num="1">
            <w:col w:w="10219"/>
          </w:cols>
          <w:pgMar w:left="240" w:top="925" w:right="1440" w:bottom="1440" w:gutter="0" w:footer="0" w:header="0"/>
        </w:sectPr>
      </w:pPr>
    </w:p>
    <w:bookmarkStart w:id="19" w:name="page20"/>
    <w:bookmarkEnd w:id="19"/>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Exhibit 11.</w:t>
        <w:tab/>
        <w:t>Statement Re:</w:t>
      </w:r>
      <w:r>
        <w:rPr>
          <w:sz w:val="20"/>
          <w:szCs w:val="20"/>
          <w:color w:val="auto"/>
        </w:rPr>
        <w:tab/>
      </w:r>
      <w:r>
        <w:rPr>
          <w:rFonts w:ascii="Courier New" w:cs="Courier New" w:eastAsia="Courier New" w:hAnsi="Courier New"/>
          <w:sz w:val="16"/>
          <w:szCs w:val="16"/>
          <w:color w:val="auto"/>
        </w:rPr>
        <w:t>Computation of Per Share Earnings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1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6"/>
              </w:rPr>
              <w:t>Three Months Ended</w:t>
            </w:r>
          </w:p>
        </w:tc>
        <w:tc>
          <w:tcPr>
            <w:tcW w:w="22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Six Months Ended</w:t>
            </w:r>
          </w:p>
        </w:tc>
        <w:tc>
          <w:tcPr>
            <w:tcW w:w="2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Twelve Months Ended</w:t>
            </w:r>
          </w:p>
        </w:tc>
      </w:tr>
      <w:tr>
        <w:trPr>
          <w:trHeight w:val="405"/>
        </w:trPr>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8/2/97</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8/3/96</w:t>
            </w: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8/2/97</w:t>
            </w:r>
          </w:p>
        </w:tc>
        <w:tc>
          <w:tcPr>
            <w:tcW w:w="122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8/3/96</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8/2/97</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8/3/96</w:t>
            </w:r>
          </w:p>
        </w:tc>
      </w:tr>
      <w:tr>
        <w:trPr>
          <w:trHeight w:val="203"/>
        </w:trPr>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45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(In thousands, except for per share</w:t>
            </w:r>
          </w:p>
        </w:tc>
        <w:tc>
          <w:tcPr>
            <w:tcW w:w="12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data)</w:t>
            </w:r>
          </w:p>
        </w:tc>
        <w:tc>
          <w:tcPr>
            <w:tcW w:w="880" w:type="dxa"/>
            <w:vAlign w:val="bottom"/>
          </w:tcPr>
          <w:p>
            <w:pPr>
              <w:spacing w:after="0"/>
              <w:rPr>
                <w:sz w:val="17"/>
                <w:szCs w:val="17"/>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$(16,581)</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554</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(19,764)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(591)</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(12,909)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$ 6,392</w:t>
            </w: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Weighted</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outstanding</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during the</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15,622</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15,817</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15,613</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15,814</w:t>
            </w:r>
          </w:p>
        </w:tc>
        <w:tc>
          <w:tcPr>
            <w:tcW w:w="12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15,658</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15,793</w:t>
            </w:r>
          </w:p>
        </w:tc>
      </w:tr>
      <w:tr>
        <w:trPr>
          <w:trHeight w:val="608"/>
        </w:trPr>
        <w:tc>
          <w:tcPr>
            <w:tcW w:w="116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$(1.06)</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$0.04</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$(1.27)</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$(0.04)</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$(0.82)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$0.40</w:t>
            </w:r>
          </w:p>
        </w:tc>
      </w:tr>
      <w:tr>
        <w:trPr>
          <w:trHeight w:val="203"/>
        </w:trPr>
        <w:tc>
          <w:tcPr>
            <w:tcW w:w="116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w:t>
            </w: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39" w:right="1440" w:bottom="1440" w:gutter="0" w:footer="0" w:header="0"/>
        </w:sectPr>
      </w:pPr>
    </w:p>
    <w:bookmarkStart w:id="20" w:name="page21"/>
    <w:bookmarkEnd w:id="20"/>
    <w:p>
      <w:pPr>
        <w:ind w:left="8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2279"/>
        <w:spacing w:after="0" w:line="273"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Sheets of Designs, Inc. as of August 2, 1997, August 3, 1996 and February 1, 1997 and the Consolidated Statements of Income for the three, six and twelve months ended August 2, 1997 and August 3, 1996 and is qualified in its entirety by reference to such financial statements.</w:t>
      </w:r>
    </w:p>
    <w:p>
      <w:pPr>
        <w:spacing w:after="0" w:line="179"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6-MOS</w:t>
      </w:r>
    </w:p>
    <w:p>
      <w:pPr>
        <w:ind w:left="2700"/>
        <w:spacing w:after="0" w:line="238" w:lineRule="auto"/>
        <w:rPr>
          <w:sz w:val="20"/>
          <w:szCs w:val="20"/>
          <w:color w:val="auto"/>
        </w:rPr>
      </w:pPr>
      <w:r>
        <w:rPr>
          <w:rFonts w:ascii="Courier New" w:cs="Courier New" w:eastAsia="Courier New" w:hAnsi="Courier New"/>
          <w:sz w:val="18"/>
          <w:szCs w:val="18"/>
          <w:color w:val="auto"/>
        </w:rPr>
        <w:t>JAN-31-1998</w:t>
      </w:r>
    </w:p>
    <w:p>
      <w:pPr>
        <w:ind w:left="3020"/>
        <w:spacing w:after="0"/>
        <w:rPr>
          <w:sz w:val="20"/>
          <w:szCs w:val="20"/>
          <w:color w:val="auto"/>
        </w:rPr>
      </w:pPr>
      <w:r>
        <w:rPr>
          <w:rFonts w:ascii="Courier New" w:cs="Courier New" w:eastAsia="Courier New" w:hAnsi="Courier New"/>
          <w:sz w:val="18"/>
          <w:szCs w:val="18"/>
          <w:color w:val="auto"/>
        </w:rPr>
        <w:t>FEB-02-1997</w:t>
      </w:r>
    </w:p>
    <w:p>
      <w:pPr>
        <w:ind w:left="3240"/>
        <w:spacing w:after="0" w:line="237" w:lineRule="auto"/>
        <w:rPr>
          <w:sz w:val="20"/>
          <w:szCs w:val="20"/>
          <w:color w:val="auto"/>
        </w:rPr>
      </w:pPr>
      <w:r>
        <w:rPr>
          <w:rFonts w:ascii="Courier New" w:cs="Courier New" w:eastAsia="Courier New" w:hAnsi="Courier New"/>
          <w:sz w:val="18"/>
          <w:szCs w:val="18"/>
          <w:color w:val="auto"/>
        </w:rPr>
        <w:t>AUG-02-1997</w:t>
      </w:r>
    </w:p>
    <w:p>
      <w:pPr>
        <w:jc w:val="center"/>
        <w:ind w:right="439"/>
        <w:spacing w:after="0" w:line="238" w:lineRule="auto"/>
        <w:rPr>
          <w:sz w:val="20"/>
          <w:szCs w:val="20"/>
          <w:color w:val="auto"/>
        </w:rPr>
      </w:pPr>
      <w:r>
        <w:rPr>
          <w:rFonts w:ascii="Courier New" w:cs="Courier New" w:eastAsia="Courier New" w:hAnsi="Courier New"/>
          <w:sz w:val="18"/>
          <w:szCs w:val="18"/>
          <w:color w:val="auto"/>
        </w:rPr>
        <w:t>355</w:t>
      </w:r>
    </w:p>
    <w:p>
      <w:pPr>
        <w:ind w:left="42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234</w:t>
      </w:r>
    </w:p>
    <w:p>
      <w:pPr>
        <w:ind w:left="4280"/>
        <w:spacing w:after="0"/>
        <w:rPr>
          <w:sz w:val="20"/>
          <w:szCs w:val="20"/>
          <w:color w:val="auto"/>
        </w:rPr>
      </w:pPr>
      <w:r>
        <w:rPr>
          <w:rFonts w:ascii="Courier New" w:cs="Courier New" w:eastAsia="Courier New" w:hAnsi="Courier New"/>
          <w:sz w:val="18"/>
          <w:szCs w:val="18"/>
          <w:color w:val="auto"/>
        </w:rPr>
        <w:t>0</w:t>
      </w:r>
    </w:p>
    <w:p>
      <w:pPr>
        <w:ind w:left="3860"/>
        <w:spacing w:after="0" w:line="237" w:lineRule="auto"/>
        <w:rPr>
          <w:sz w:val="20"/>
          <w:szCs w:val="20"/>
          <w:color w:val="auto"/>
        </w:rPr>
      </w:pPr>
      <w:r>
        <w:rPr>
          <w:rFonts w:ascii="Courier New" w:cs="Courier New" w:eastAsia="Courier New" w:hAnsi="Courier New"/>
          <w:sz w:val="18"/>
          <w:szCs w:val="18"/>
          <w:color w:val="auto"/>
        </w:rPr>
        <w:t>80,376</w:t>
      </w:r>
    </w:p>
    <w:p>
      <w:pPr>
        <w:ind w:left="3240"/>
        <w:spacing w:after="0"/>
        <w:rPr>
          <w:sz w:val="20"/>
          <w:szCs w:val="20"/>
          <w:color w:val="auto"/>
        </w:rPr>
      </w:pPr>
      <w:r>
        <w:rPr>
          <w:rFonts w:ascii="Courier New" w:cs="Courier New" w:eastAsia="Courier New" w:hAnsi="Courier New"/>
          <w:sz w:val="18"/>
          <w:szCs w:val="18"/>
          <w:color w:val="auto"/>
        </w:rPr>
        <w:t>100,783</w:t>
      </w:r>
    </w:p>
    <w:p>
      <w:pPr>
        <w:ind w:left="4400"/>
        <w:spacing w:after="0" w:line="237" w:lineRule="auto"/>
        <w:rPr>
          <w:sz w:val="20"/>
          <w:szCs w:val="20"/>
          <w:color w:val="auto"/>
        </w:rPr>
      </w:pPr>
      <w:r>
        <w:rPr>
          <w:rFonts w:ascii="Courier New" w:cs="Courier New" w:eastAsia="Courier New" w:hAnsi="Courier New"/>
          <w:sz w:val="18"/>
          <w:szCs w:val="18"/>
          <w:color w:val="auto"/>
        </w:rPr>
        <w:t>77,702</w:t>
      </w:r>
    </w:p>
    <w:p>
      <w:pPr>
        <w:ind w:left="3540"/>
        <w:spacing w:after="0" w:line="238" w:lineRule="auto"/>
        <w:rPr>
          <w:sz w:val="20"/>
          <w:szCs w:val="20"/>
          <w:color w:val="auto"/>
        </w:rPr>
      </w:pPr>
      <w:r>
        <w:rPr>
          <w:rFonts w:ascii="Courier New" w:cs="Courier New" w:eastAsia="Courier New" w:hAnsi="Courier New"/>
          <w:sz w:val="18"/>
          <w:szCs w:val="18"/>
          <w:color w:val="auto"/>
        </w:rPr>
        <w:t>37,427</w:t>
      </w:r>
    </w:p>
    <w:p>
      <w:pPr>
        <w:ind w:left="3440"/>
        <w:spacing w:after="0"/>
        <w:rPr>
          <w:sz w:val="20"/>
          <w:szCs w:val="20"/>
          <w:color w:val="auto"/>
        </w:rPr>
      </w:pPr>
      <w:r>
        <w:rPr>
          <w:rFonts w:ascii="Courier New" w:cs="Courier New" w:eastAsia="Courier New" w:hAnsi="Courier New"/>
          <w:sz w:val="18"/>
          <w:szCs w:val="18"/>
          <w:color w:val="auto"/>
        </w:rPr>
        <w:t>147,049</w:t>
      </w:r>
    </w:p>
    <w:p>
      <w:pPr>
        <w:ind w:left="2820"/>
        <w:spacing w:after="0" w:line="237" w:lineRule="auto"/>
        <w:rPr>
          <w:sz w:val="20"/>
          <w:szCs w:val="20"/>
          <w:color w:val="auto"/>
        </w:rPr>
      </w:pPr>
      <w:r>
        <w:rPr>
          <w:rFonts w:ascii="Courier New" w:cs="Courier New" w:eastAsia="Courier New" w:hAnsi="Courier New"/>
          <w:sz w:val="18"/>
          <w:szCs w:val="18"/>
          <w:color w:val="auto"/>
        </w:rPr>
        <w:t>50,258</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500"/>
        <w:spacing w:after="0" w:line="237" w:lineRule="auto"/>
        <w:rPr>
          <w:sz w:val="20"/>
          <w:szCs w:val="20"/>
          <w:color w:val="auto"/>
        </w:rPr>
      </w:pPr>
      <w:r>
        <w:rPr>
          <w:rFonts w:ascii="Courier New" w:cs="Courier New" w:eastAsia="Courier New" w:hAnsi="Courier New"/>
          <w:sz w:val="18"/>
          <w:szCs w:val="18"/>
          <w:color w:val="auto"/>
        </w:rPr>
        <w:t>159</w:t>
      </w:r>
    </w:p>
    <w:p>
      <w:pPr>
        <w:ind w:left="3980"/>
        <w:spacing w:after="0" w:line="238" w:lineRule="auto"/>
        <w:rPr>
          <w:sz w:val="20"/>
          <w:szCs w:val="20"/>
          <w:color w:val="auto"/>
        </w:rPr>
      </w:pPr>
      <w:r>
        <w:rPr>
          <w:rFonts w:ascii="Courier New" w:cs="Courier New" w:eastAsia="Courier New" w:hAnsi="Courier New"/>
          <w:sz w:val="18"/>
          <w:szCs w:val="18"/>
          <w:color w:val="auto"/>
        </w:rPr>
        <w:t>91,235</w:t>
      </w:r>
    </w:p>
    <w:p>
      <w:pPr>
        <w:ind w:left="1960"/>
        <w:spacing w:after="0"/>
        <w:rPr>
          <w:sz w:val="20"/>
          <w:szCs w:val="20"/>
          <w:color w:val="auto"/>
        </w:rPr>
      </w:pPr>
      <w:r>
        <w:rPr>
          <w:rFonts w:ascii="Courier New" w:cs="Courier New" w:eastAsia="Courier New" w:hAnsi="Courier New"/>
          <w:sz w:val="18"/>
          <w:szCs w:val="18"/>
          <w:color w:val="auto"/>
        </w:rPr>
        <w:t>147,049</w:t>
      </w:r>
    </w:p>
    <w:p>
      <w:pPr>
        <w:ind w:left="4180"/>
        <w:spacing w:after="0" w:line="237" w:lineRule="auto"/>
        <w:rPr>
          <w:sz w:val="20"/>
          <w:szCs w:val="20"/>
          <w:color w:val="auto"/>
        </w:rPr>
      </w:pPr>
      <w:r>
        <w:rPr>
          <w:rFonts w:ascii="Courier New" w:cs="Courier New" w:eastAsia="Courier New" w:hAnsi="Courier New"/>
          <w:sz w:val="18"/>
          <w:szCs w:val="18"/>
          <w:color w:val="auto"/>
        </w:rPr>
        <w:t>120,013</w:t>
      </w:r>
    </w:p>
    <w:p>
      <w:pPr>
        <w:ind w:left="3240"/>
        <w:spacing w:after="0"/>
        <w:rPr>
          <w:sz w:val="20"/>
          <w:szCs w:val="20"/>
          <w:color w:val="auto"/>
        </w:rPr>
      </w:pPr>
      <w:r>
        <w:rPr>
          <w:rFonts w:ascii="Courier New" w:cs="Courier New" w:eastAsia="Courier New" w:hAnsi="Courier New"/>
          <w:sz w:val="18"/>
          <w:szCs w:val="18"/>
          <w:color w:val="auto"/>
        </w:rPr>
        <w:t>120,013</w:t>
      </w:r>
    </w:p>
    <w:p>
      <w:pPr>
        <w:ind w:left="4400"/>
        <w:spacing w:after="0" w:line="237" w:lineRule="auto"/>
        <w:rPr>
          <w:sz w:val="20"/>
          <w:szCs w:val="20"/>
          <w:color w:val="auto"/>
        </w:rPr>
      </w:pPr>
      <w:r>
        <w:rPr>
          <w:rFonts w:ascii="Courier New" w:cs="Courier New" w:eastAsia="Courier New" w:hAnsi="Courier New"/>
          <w:sz w:val="18"/>
          <w:szCs w:val="18"/>
          <w:color w:val="auto"/>
        </w:rPr>
        <w:t>109,112</w:t>
      </w:r>
    </w:p>
    <w:p>
      <w:pPr>
        <w:ind w:left="3540"/>
        <w:spacing w:after="0"/>
        <w:rPr>
          <w:sz w:val="20"/>
          <w:szCs w:val="20"/>
          <w:color w:val="auto"/>
        </w:rPr>
      </w:pPr>
      <w:r>
        <w:rPr>
          <w:rFonts w:ascii="Courier New" w:cs="Courier New" w:eastAsia="Courier New" w:hAnsi="Courier New"/>
          <w:sz w:val="18"/>
          <w:szCs w:val="18"/>
          <w:color w:val="auto"/>
        </w:rPr>
        <w:t>109,112</w:t>
      </w:r>
    </w:p>
    <w:p>
      <w:pPr>
        <w:ind w:left="3340"/>
        <w:spacing w:after="0" w:line="237" w:lineRule="auto"/>
        <w:rPr>
          <w:sz w:val="20"/>
          <w:szCs w:val="20"/>
          <w:color w:val="auto"/>
        </w:rPr>
      </w:pPr>
      <w:r>
        <w:rPr>
          <w:rFonts w:ascii="Courier New" w:cs="Courier New" w:eastAsia="Courier New" w:hAnsi="Courier New"/>
          <w:sz w:val="18"/>
          <w:szCs w:val="18"/>
          <w:color w:val="auto"/>
        </w:rPr>
        <w:t>44,717</w:t>
      </w:r>
    </w:p>
    <w:p>
      <w:pPr>
        <w:ind w:left="3860"/>
        <w:spacing w:after="0"/>
        <w:rPr>
          <w:sz w:val="20"/>
          <w:szCs w:val="20"/>
          <w:color w:val="auto"/>
        </w:rPr>
      </w:pPr>
      <w:r>
        <w:rPr>
          <w:rFonts w:ascii="Courier New" w:cs="Courier New" w:eastAsia="Courier New" w:hAnsi="Courier New"/>
          <w:sz w:val="18"/>
          <w:szCs w:val="18"/>
          <w:color w:val="auto"/>
        </w:rPr>
        <w:t>0</w:t>
      </w:r>
    </w:p>
    <w:p>
      <w:pPr>
        <w:ind w:left="3440"/>
        <w:spacing w:after="0" w:line="237" w:lineRule="auto"/>
        <w:rPr>
          <w:sz w:val="20"/>
          <w:szCs w:val="20"/>
          <w:color w:val="auto"/>
        </w:rPr>
      </w:pPr>
      <w:r>
        <w:rPr>
          <w:rFonts w:ascii="Courier New" w:cs="Courier New" w:eastAsia="Courier New" w:hAnsi="Courier New"/>
          <w:sz w:val="18"/>
          <w:szCs w:val="18"/>
          <w:color w:val="auto"/>
        </w:rPr>
        <w:t>406</w:t>
      </w:r>
    </w:p>
    <w:p>
      <w:pPr>
        <w:ind w:left="3240"/>
        <w:spacing w:after="0" w:line="238" w:lineRule="auto"/>
        <w:rPr>
          <w:sz w:val="20"/>
          <w:szCs w:val="20"/>
          <w:color w:val="auto"/>
        </w:rPr>
      </w:pPr>
      <w:r>
        <w:rPr>
          <w:rFonts w:ascii="Courier New" w:cs="Courier New" w:eastAsia="Courier New" w:hAnsi="Courier New"/>
          <w:sz w:val="18"/>
          <w:szCs w:val="18"/>
          <w:color w:val="auto"/>
        </w:rPr>
        <w:t>(33,727)</w:t>
      </w:r>
    </w:p>
    <w:p>
      <w:pPr>
        <w:ind w:left="3540"/>
        <w:spacing w:after="0"/>
        <w:rPr>
          <w:sz w:val="20"/>
          <w:szCs w:val="20"/>
          <w:color w:val="auto"/>
        </w:rPr>
      </w:pPr>
      <w:r>
        <w:rPr>
          <w:rFonts w:ascii="Courier New" w:cs="Courier New" w:eastAsia="Courier New" w:hAnsi="Courier New"/>
          <w:sz w:val="18"/>
          <w:szCs w:val="18"/>
          <w:color w:val="auto"/>
        </w:rPr>
        <w:t>(13,963)</w:t>
      </w:r>
    </w:p>
    <w:p>
      <w:pPr>
        <w:ind w:left="2820"/>
        <w:spacing w:after="0" w:line="237" w:lineRule="auto"/>
        <w:rPr>
          <w:sz w:val="20"/>
          <w:szCs w:val="20"/>
          <w:color w:val="auto"/>
        </w:rPr>
      </w:pPr>
      <w:r>
        <w:rPr>
          <w:rFonts w:ascii="Courier New" w:cs="Courier New" w:eastAsia="Courier New" w:hAnsi="Courier New"/>
          <w:sz w:val="18"/>
          <w:szCs w:val="18"/>
          <w:color w:val="auto"/>
        </w:rPr>
        <w:t>(19,764)</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jc w:val="center"/>
        <w:ind w:right="2239"/>
        <w:spacing w:after="0" w:line="237" w:lineRule="auto"/>
        <w:rPr>
          <w:sz w:val="20"/>
          <w:szCs w:val="20"/>
          <w:color w:val="auto"/>
        </w:rPr>
      </w:pPr>
      <w:r>
        <w:rPr>
          <w:rFonts w:ascii="Courier New" w:cs="Courier New" w:eastAsia="Courier New" w:hAnsi="Courier New"/>
          <w:sz w:val="18"/>
          <w:szCs w:val="18"/>
          <w:color w:val="auto"/>
        </w:rPr>
        <w:t>(19,764)</w:t>
      </w:r>
    </w:p>
    <w:p>
      <w:pPr>
        <w:jc w:val="center"/>
        <w:ind w:right="2239"/>
        <w:spacing w:after="0" w:line="238" w:lineRule="auto"/>
        <w:rPr>
          <w:sz w:val="20"/>
          <w:szCs w:val="20"/>
          <w:color w:val="auto"/>
        </w:rPr>
      </w:pPr>
      <w:r>
        <w:rPr>
          <w:rFonts w:ascii="Courier New" w:cs="Courier New" w:eastAsia="Courier New" w:hAnsi="Courier New"/>
          <w:sz w:val="18"/>
          <w:szCs w:val="18"/>
          <w:color w:val="auto"/>
        </w:rPr>
        <w:t>(1.27)</w:t>
      </w:r>
    </w:p>
    <w:p>
      <w:pPr>
        <w:jc w:val="center"/>
        <w:ind w:right="2239"/>
        <w:spacing w:after="0"/>
        <w:rPr>
          <w:sz w:val="20"/>
          <w:szCs w:val="20"/>
          <w:color w:val="auto"/>
        </w:rPr>
      </w:pPr>
      <w:r>
        <w:rPr>
          <w:rFonts w:ascii="Courier New" w:cs="Courier New" w:eastAsia="Courier New" w:hAnsi="Courier New"/>
          <w:sz w:val="18"/>
          <w:szCs w:val="18"/>
          <w:color w:val="auto"/>
        </w:rPr>
        <w:t>(1.27)</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6"/>
    </w:lvl>
  </w:abstractNum>
  <w:abstractNum w:abstractNumId="7">
    <w:nsid w:val="12200854"/>
    <w:multiLevelType w:val="hybridMultilevel"/>
    <w:lvl w:ilvl="0">
      <w:lvlJc w:val="left"/>
      <w:lvlText w:val="%1."/>
      <w:numFmt w:val="decimal"/>
      <w:start w:val="7"/>
    </w:lvl>
  </w:abstractNum>
  <w:abstractNum w:abstractNumId="8">
    <w:nsid w:val="4DB127F8"/>
    <w:multiLevelType w:val="hybridMultilevel"/>
    <w:lvl w:ilvl="0">
      <w:lvlJc w:val="left"/>
      <w:lvlText w:val="%1."/>
      <w:numFmt w:val="upperLetter"/>
      <w:start w:val="1"/>
    </w:lvl>
  </w:abstractNum>
  <w:abstractNum w:abstractNumId="9">
    <w:nsid w:val="216231B"/>
    <w:multiLevelType w:val="hybridMultilevel"/>
    <w:lvl w:ilvl="0">
      <w:lvlJc w:val="left"/>
      <w:lvlText w:val="%1"/>
      <w:numFmt w:val="decimal"/>
      <w:start w:val="11"/>
    </w:lvl>
  </w:abstractNum>
  <w:abstractNum w:abstractNumId="10">
    <w:nsid w:val="1F16E9E8"/>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2019-12-19T22:01:10Z</dcterms:created>
  <dcterms:modified xsi:type="dcterms:W3CDTF">2019-12-19T22:01:10Z</dcterms:modified>
</cp:coreProperties>
</file>