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3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4" w:lineRule="exact"/>
        <w:rPr>
          <w:sz w:val="24"/>
          <w:szCs w:val="24"/>
          <w:color w:val="auto"/>
        </w:rPr>
      </w:pPr>
    </w:p>
    <w:p>
      <w:pPr>
        <w:jc w:val="center"/>
        <w:ind w:right="2039"/>
        <w:spacing w:after="0"/>
        <w:rPr>
          <w:sz w:val="20"/>
          <w:szCs w:val="20"/>
          <w:color w:val="auto"/>
        </w:rPr>
      </w:pPr>
      <w:r>
        <w:rPr>
          <w:rFonts w:ascii="Courier New" w:cs="Courier New" w:eastAsia="Courier New" w:hAnsi="Courier New"/>
          <w:sz w:val="17"/>
          <w:szCs w:val="17"/>
          <w:color w:val="auto"/>
        </w:rPr>
        <w:t>WASHINGTON, D.C. 20549</w:t>
      </w:r>
    </w:p>
    <w:p>
      <w:pPr>
        <w:spacing w:after="0" w:line="396"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FORM 10-K/A</w:t>
      </w:r>
    </w:p>
    <w:p>
      <w:pPr>
        <w:spacing w:after="0" w:line="4" w:lineRule="exact"/>
        <w:rPr>
          <w:sz w:val="24"/>
          <w:szCs w:val="24"/>
          <w:color w:val="auto"/>
        </w:rPr>
      </w:pPr>
    </w:p>
    <w:p>
      <w:pPr>
        <w:jc w:val="center"/>
        <w:ind w:right="1939"/>
        <w:spacing w:after="0"/>
        <w:rPr>
          <w:sz w:val="20"/>
          <w:szCs w:val="20"/>
          <w:color w:val="auto"/>
        </w:rPr>
      </w:pPr>
      <w:r>
        <w:rPr>
          <w:rFonts w:ascii="Courier New" w:cs="Courier New" w:eastAsia="Courier New" w:hAnsi="Courier New"/>
          <w:sz w:val="17"/>
          <w:szCs w:val="17"/>
          <w:color w:val="auto"/>
        </w:rPr>
        <w:t>Amendment No. 1</w:t>
      </w:r>
    </w:p>
    <w:p>
      <w:pPr>
        <w:spacing w:after="0" w:line="200" w:lineRule="exact"/>
        <w:rPr>
          <w:sz w:val="24"/>
          <w:szCs w:val="24"/>
          <w:color w:val="auto"/>
        </w:rPr>
      </w:pPr>
    </w:p>
    <w:p>
      <w:pPr>
        <w:ind w:left="1840"/>
        <w:spacing w:after="0"/>
        <w:rPr>
          <w:sz w:val="20"/>
          <w:szCs w:val="20"/>
          <w:color w:val="auto"/>
        </w:rPr>
      </w:pPr>
      <w:r>
        <w:rPr>
          <w:rFonts w:ascii="Courier New" w:cs="Courier New" w:eastAsia="Courier New" w:hAnsi="Courier New"/>
          <w:sz w:val="17"/>
          <w:szCs w:val="17"/>
          <w:color w:val="auto"/>
        </w:rPr>
        <w:t>ANNUAL REPORT PURSUANT TO SECTION 13 OR 15(d)</w:t>
      </w:r>
    </w:p>
    <w:p>
      <w:pPr>
        <w:spacing w:after="0" w:line="4" w:lineRule="exact"/>
        <w:rPr>
          <w:sz w:val="24"/>
          <w:szCs w:val="24"/>
          <w:color w:val="auto"/>
        </w:rPr>
      </w:pPr>
    </w:p>
    <w:p>
      <w:pPr>
        <w:ind w:left="2140"/>
        <w:spacing w:after="0"/>
        <w:rPr>
          <w:sz w:val="20"/>
          <w:szCs w:val="20"/>
          <w:color w:val="auto"/>
        </w:rPr>
      </w:pPr>
      <w:r>
        <w:rPr>
          <w:rFonts w:ascii="Courier New" w:cs="Courier New" w:eastAsia="Courier New" w:hAnsi="Courier New"/>
          <w:sz w:val="17"/>
          <w:szCs w:val="17"/>
          <w:color w:val="auto"/>
        </w:rPr>
        <w:t>OF THE SECURITIES EXCHANGE ACT OF 1934</w:t>
      </w:r>
    </w:p>
    <w:p>
      <w:pPr>
        <w:sectPr>
          <w:pgSz w:w="11900" w:h="16838" w:orient="portrait"/>
          <w:cols w:equalWidth="0" w:num="1">
            <w:col w:w="10219"/>
          </w:cols>
          <w:pgMar w:left="240" w:top="245" w:right="1440" w:bottom="1440" w:gutter="0" w:footer="0" w:header="0"/>
        </w:sectPr>
      </w:pPr>
    </w:p>
    <w:p>
      <w:pPr>
        <w:spacing w:after="0" w:line="397" w:lineRule="exact"/>
        <w:rPr>
          <w:sz w:val="24"/>
          <w:szCs w:val="24"/>
          <w:color w:val="auto"/>
        </w:rPr>
      </w:pPr>
    </w:p>
    <w:p>
      <w:pPr>
        <w:spacing w:after="0" w:line="243" w:lineRule="auto"/>
        <w:rPr>
          <w:sz w:val="20"/>
          <w:szCs w:val="20"/>
          <w:color w:val="auto"/>
        </w:rPr>
      </w:pPr>
      <w:r>
        <w:rPr>
          <w:rFonts w:ascii="Courier New" w:cs="Courier New" w:eastAsia="Courier New" w:hAnsi="Courier New"/>
          <w:sz w:val="17"/>
          <w:szCs w:val="17"/>
          <w:color w:val="auto"/>
        </w:rPr>
        <w:t>For the fiscal year ended February 2, 2002 (Fiscal 2002)</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 0-15898</w:t>
      </w:r>
    </w:p>
    <w:p>
      <w:pPr>
        <w:spacing w:after="0" w:line="406" w:lineRule="exact"/>
        <w:rPr>
          <w:sz w:val="24"/>
          <w:szCs w:val="24"/>
          <w:color w:val="auto"/>
        </w:rPr>
      </w:pPr>
    </w:p>
    <w:p>
      <w:pPr>
        <w:sectPr>
          <w:pgSz w:w="11900" w:h="16838" w:orient="portrait"/>
          <w:cols w:equalWidth="0" w:num="2">
            <w:col w:w="4280" w:space="720"/>
            <w:col w:w="5219"/>
          </w:cols>
          <w:pgMar w:left="240" w:top="245" w:right="1440" w:bottom="1440" w:gutter="0" w:footer="0" w:header="0"/>
          <w:type w:val="continuous"/>
        </w:sectPr>
      </w:pPr>
    </w:p>
    <w:p>
      <w:pPr>
        <w:ind w:left="2560"/>
        <w:spacing w:after="0"/>
        <w:rPr>
          <w:sz w:val="20"/>
          <w:szCs w:val="20"/>
          <w:color w:val="auto"/>
        </w:rPr>
      </w:pPr>
      <w:r>
        <w:rPr>
          <w:rFonts w:ascii="Courier New" w:cs="Courier New" w:eastAsia="Courier New" w:hAnsi="Courier New"/>
          <w:sz w:val="17"/>
          <w:szCs w:val="17"/>
          <w:color w:val="auto"/>
        </w:rPr>
        <w:t>CASUAL MALE RETAIL GROUP, INC.</w:t>
      </w:r>
    </w:p>
    <w:p>
      <w:pPr>
        <w:spacing w:after="0" w:line="4" w:lineRule="exact"/>
        <w:rPr>
          <w:sz w:val="24"/>
          <w:szCs w:val="24"/>
          <w:color w:val="auto"/>
        </w:rPr>
      </w:pPr>
    </w:p>
    <w:p>
      <w:pPr>
        <w:ind w:left="2460"/>
        <w:spacing w:after="0"/>
        <w:rPr>
          <w:sz w:val="20"/>
          <w:szCs w:val="20"/>
          <w:color w:val="auto"/>
        </w:rPr>
      </w:pPr>
      <w:r>
        <w:rPr>
          <w:rFonts w:ascii="Courier New" w:cs="Courier New" w:eastAsia="Courier New" w:hAnsi="Courier New"/>
          <w:sz w:val="17"/>
          <w:szCs w:val="17"/>
          <w:color w:val="auto"/>
        </w:rPr>
        <w:t>(formerly known as Designs, Inc.)</w:t>
      </w:r>
    </w:p>
    <w:p>
      <w:pPr>
        <w:spacing w:after="0" w:line="5" w:lineRule="exact"/>
        <w:rPr>
          <w:sz w:val="24"/>
          <w:szCs w:val="24"/>
          <w:color w:val="auto"/>
        </w:rPr>
      </w:pPr>
    </w:p>
    <w:p>
      <w:pPr>
        <w:ind w:left="1340"/>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245" w:right="1440" w:bottom="1440" w:gutter="0" w:footer="0" w:header="0"/>
          <w:type w:val="continuous"/>
        </w:sectPr>
      </w:pPr>
    </w:p>
    <w:p>
      <w:pPr>
        <w:spacing w:after="0" w:line="210" w:lineRule="exact"/>
        <w:rPr>
          <w:sz w:val="24"/>
          <w:szCs w:val="24"/>
          <w:color w:val="auto"/>
        </w:rPr>
      </w:pPr>
    </w:p>
    <w:p>
      <w:pPr>
        <w:ind w:left="164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(State or other jurisdiction of</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incorporation of principal executive offices)</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ind w:left="320"/>
        <w:spacing w:after="0"/>
        <w:rPr>
          <w:sz w:val="20"/>
          <w:szCs w:val="20"/>
          <w:color w:val="auto"/>
        </w:rPr>
      </w:pPr>
      <w:r>
        <w:rPr>
          <w:rFonts w:ascii="Courier New" w:cs="Courier New" w:eastAsia="Courier New" w:hAnsi="Courier New"/>
          <w:sz w:val="17"/>
          <w:szCs w:val="17"/>
          <w:color w:val="auto"/>
        </w:rPr>
        <w:t>04-2623104</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Identification No.)</w:t>
      </w:r>
    </w:p>
    <w:p>
      <w:pPr>
        <w:spacing w:after="0" w:line="200" w:lineRule="exact"/>
        <w:rPr>
          <w:sz w:val="24"/>
          <w:szCs w:val="24"/>
          <w:color w:val="auto"/>
        </w:rPr>
      </w:pPr>
    </w:p>
    <w:p>
      <w:pPr>
        <w:sectPr>
          <w:pgSz w:w="11900" w:h="16838" w:orient="portrait"/>
          <w:cols w:equalWidth="0" w:num="2">
            <w:col w:w="5400" w:space="720"/>
            <w:col w:w="4099"/>
          </w:cols>
          <w:pgMar w:left="240" w:top="245" w:right="1440" w:bottom="1440" w:gutter="0" w:footer="0" w:header="0"/>
          <w:type w:val="continuous"/>
        </w:sectPr>
      </w:pPr>
    </w:p>
    <w:p>
      <w:pPr>
        <w:spacing w:after="0" w:line="197" w:lineRule="exact"/>
        <w:rPr>
          <w:sz w:val="24"/>
          <w:szCs w:val="24"/>
          <w:color w:val="auto"/>
        </w:rPr>
      </w:pPr>
    </w:p>
    <w:p>
      <w:pPr>
        <w:ind w:right="2240" w:firstLine="612"/>
        <w:spacing w:after="0" w:line="273" w:lineRule="auto"/>
        <w:rPr>
          <w:sz w:val="20"/>
          <w:szCs w:val="20"/>
          <w:color w:val="auto"/>
        </w:rPr>
      </w:pPr>
      <w:r>
        <w:rPr>
          <w:rFonts w:ascii="Courier New" w:cs="Courier New" w:eastAsia="Courier New" w:hAnsi="Courier New"/>
          <w:sz w:val="16"/>
          <w:szCs w:val="16"/>
          <w:color w:val="auto"/>
        </w:rPr>
        <w:t>555 Turnpike Street, Canton, MA (Address of principal executive offices)</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02021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9" w:lineRule="exact"/>
        <w:rPr>
          <w:sz w:val="24"/>
          <w:szCs w:val="24"/>
          <w:color w:val="auto"/>
        </w:rPr>
      </w:pPr>
    </w:p>
    <w:p>
      <w:pPr>
        <w:sectPr>
          <w:pgSz w:w="11900" w:h="16838" w:orient="portrait"/>
          <w:cols w:equalWidth="0" w:num="2">
            <w:col w:w="6320" w:space="720"/>
            <w:col w:w="3179"/>
          </w:cols>
          <w:pgMar w:left="240" w:top="245" w:right="1440" w:bottom="1440" w:gutter="0" w:footer="0" w:header="0"/>
          <w:type w:val="continuous"/>
        </w:sectPr>
      </w:pPr>
    </w:p>
    <w:p>
      <w:pPr>
        <w:jc w:val="center"/>
        <w:ind w:right="2059"/>
        <w:spacing w:after="0"/>
        <w:rPr>
          <w:sz w:val="20"/>
          <w:szCs w:val="20"/>
          <w:color w:val="auto"/>
        </w:rPr>
      </w:pPr>
      <w:r>
        <w:rPr>
          <w:rFonts w:ascii="Courier New" w:cs="Courier New" w:eastAsia="Courier New" w:hAnsi="Courier New"/>
          <w:sz w:val="17"/>
          <w:szCs w:val="17"/>
          <w:color w:val="auto"/>
        </w:rPr>
        <w:t>(781) 828-9300</w:t>
      </w:r>
    </w:p>
    <w:p>
      <w:pPr>
        <w:spacing w:after="0" w:line="4" w:lineRule="exact"/>
        <w:rPr>
          <w:sz w:val="24"/>
          <w:szCs w:val="24"/>
          <w:color w:val="auto"/>
        </w:rPr>
      </w:pPr>
    </w:p>
    <w:p>
      <w:pPr>
        <w:jc w:val="center"/>
        <w:ind w:right="2059"/>
        <w:spacing w:after="0"/>
        <w:rPr>
          <w:sz w:val="20"/>
          <w:szCs w:val="20"/>
          <w:color w:val="auto"/>
        </w:rPr>
      </w:pPr>
      <w:r>
        <w:rPr>
          <w:rFonts w:ascii="Courier New" w:cs="Courier New" w:eastAsia="Courier New" w:hAnsi="Courier New"/>
          <w:sz w:val="17"/>
          <w:szCs w:val="17"/>
          <w:color w:val="auto"/>
        </w:rPr>
        <w:t>(Registrant's telephone number, including area code)</w:t>
      </w:r>
    </w:p>
    <w:p>
      <w:pPr>
        <w:spacing w:after="0" w:line="200" w:lineRule="exact"/>
        <w:rPr>
          <w:sz w:val="24"/>
          <w:szCs w:val="24"/>
          <w:color w:val="auto"/>
        </w:rPr>
      </w:pPr>
    </w:p>
    <w:p>
      <w:pPr>
        <w:ind w:left="820"/>
        <w:spacing w:after="0"/>
        <w:rPr>
          <w:sz w:val="20"/>
          <w:szCs w:val="20"/>
          <w:color w:val="auto"/>
        </w:rPr>
      </w:pPr>
      <w:r>
        <w:rPr>
          <w:rFonts w:ascii="Courier New" w:cs="Courier New" w:eastAsia="Courier New" w:hAnsi="Courier New"/>
          <w:sz w:val="17"/>
          <w:szCs w:val="17"/>
          <w:color w:val="auto"/>
        </w:rPr>
        <w:t>Securities registered pursuant to Section 12(b) of the Act: None</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Securities registered pursuant to Section 12(g) of the Act:</w:t>
      </w:r>
    </w:p>
    <w:p>
      <w:pPr>
        <w:spacing w:after="0" w:line="200"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Common Stock, $0.01 par value</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(Title of each Class)</w:t>
      </w:r>
    </w:p>
    <w:p>
      <w:pPr>
        <w:spacing w:after="0" w:line="4" w:lineRule="exact"/>
        <w:rPr>
          <w:sz w:val="24"/>
          <w:szCs w:val="24"/>
          <w:color w:val="auto"/>
        </w:rPr>
      </w:pPr>
    </w:p>
    <w:p>
      <w:pPr>
        <w:ind w:left="3260"/>
        <w:spacing w:after="0"/>
        <w:rPr>
          <w:sz w:val="20"/>
          <w:szCs w:val="20"/>
          <w:color w:val="auto"/>
        </w:rPr>
      </w:pPr>
      <w:r>
        <w:rPr>
          <w:rFonts w:ascii="Courier New" w:cs="Courier New" w:eastAsia="Courier New" w:hAnsi="Courier New"/>
          <w:sz w:val="17"/>
          <w:szCs w:val="17"/>
          <w:color w:val="auto"/>
        </w:rPr>
        <w:t>-----------------</w:t>
      </w:r>
    </w:p>
    <w:p>
      <w:pPr>
        <w:spacing w:after="0" w:line="201" w:lineRule="exact"/>
        <w:rPr>
          <w:sz w:val="24"/>
          <w:szCs w:val="24"/>
          <w:color w:val="auto"/>
        </w:rPr>
      </w:pPr>
    </w:p>
    <w:p>
      <w:pPr>
        <w:ind w:right="2059"/>
        <w:spacing w:after="0" w:line="244"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_</w:t>
      </w:r>
    </w:p>
    <w:p>
      <w:pPr>
        <w:spacing w:after="0" w:line="198" w:lineRule="exact"/>
        <w:rPr>
          <w:sz w:val="24"/>
          <w:szCs w:val="24"/>
          <w:color w:val="auto"/>
        </w:rPr>
      </w:pPr>
    </w:p>
    <w:p>
      <w:pPr>
        <w:ind w:right="2259"/>
        <w:spacing w:after="0" w:line="244" w:lineRule="auto"/>
        <w:rPr>
          <w:sz w:val="20"/>
          <w:szCs w:val="20"/>
          <w:color w:val="auto"/>
        </w:rPr>
      </w:pPr>
      <w:r>
        <w:rPr>
          <w:rFonts w:ascii="Courier New" w:cs="Courier New" w:eastAsia="Courier New" w:hAnsi="Courier New"/>
          <w:sz w:val="17"/>
          <w:szCs w:val="17"/>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 Form 10-K. [X]</w:t>
      </w:r>
    </w:p>
    <w:p>
      <w:pPr>
        <w:spacing w:after="0" w:line="198" w:lineRule="exact"/>
        <w:rPr>
          <w:sz w:val="24"/>
          <w:szCs w:val="24"/>
          <w:color w:val="auto"/>
        </w:rPr>
      </w:pPr>
    </w:p>
    <w:p>
      <w:pPr>
        <w:ind w:right="2059"/>
        <w:spacing w:after="0" w:line="243" w:lineRule="auto"/>
        <w:rPr>
          <w:sz w:val="20"/>
          <w:szCs w:val="20"/>
          <w:color w:val="auto"/>
        </w:rPr>
      </w:pPr>
      <w:r>
        <w:rPr>
          <w:rFonts w:ascii="Courier New" w:cs="Courier New" w:eastAsia="Courier New" w:hAnsi="Courier New"/>
          <w:sz w:val="17"/>
          <w:szCs w:val="17"/>
          <w:color w:val="auto"/>
        </w:rPr>
        <w:t>The aggregate market value of the voting stock of the registrant held by non-affiliates of the registrant, based on the last sales price of such stock on April 8, 2002, was approximately $44.4 million.</w:t>
      </w:r>
    </w:p>
    <w:p>
      <w:pPr>
        <w:spacing w:after="0" w:line="200" w:lineRule="exact"/>
        <w:rPr>
          <w:sz w:val="24"/>
          <w:szCs w:val="24"/>
          <w:color w:val="auto"/>
        </w:rPr>
      </w:pPr>
    </w:p>
    <w:p>
      <w:pPr>
        <w:ind w:right="3079"/>
        <w:spacing w:after="0" w:line="243" w:lineRule="auto"/>
        <w:rPr>
          <w:sz w:val="20"/>
          <w:szCs w:val="20"/>
          <w:color w:val="auto"/>
        </w:rPr>
      </w:pPr>
      <w:r>
        <w:rPr>
          <w:rFonts w:ascii="Courier New" w:cs="Courier New" w:eastAsia="Courier New" w:hAnsi="Courier New"/>
          <w:sz w:val="17"/>
          <w:szCs w:val="17"/>
          <w:color w:val="auto"/>
        </w:rPr>
        <w:t>The registrant had 14,567,886 shares of Common Stock, $0.01 par value, outstanding as of April 8, 2002.</w:t>
      </w:r>
    </w:p>
    <w:p>
      <w:pPr>
        <w:spacing w:after="0" w:line="198"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DOCUMENTS INCORPORATED BY REFERENCE</w:t>
      </w:r>
    </w:p>
    <w:p>
      <w:pPr>
        <w:spacing w:after="0" w:line="4" w:lineRule="exact"/>
        <w:rPr>
          <w:sz w:val="24"/>
          <w:szCs w:val="24"/>
          <w:color w:val="auto"/>
        </w:rPr>
      </w:pPr>
    </w:p>
    <w:p>
      <w:pPr>
        <w:jc w:val="center"/>
        <w:ind w:right="1959"/>
        <w:spacing w:after="0"/>
        <w:rPr>
          <w:sz w:val="20"/>
          <w:szCs w:val="20"/>
          <w:color w:val="auto"/>
        </w:rPr>
      </w:pPr>
      <w:r>
        <w:rPr>
          <w:rFonts w:ascii="Courier New" w:cs="Courier New" w:eastAsia="Courier New" w:hAnsi="Courier New"/>
          <w:sz w:val="17"/>
          <w:szCs w:val="17"/>
          <w:color w:val="auto"/>
        </w:rPr>
        <w:t>None.</w:t>
      </w: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ind w:right="2059" w:firstLine="1020"/>
        <w:spacing w:after="0" w:line="243" w:lineRule="auto"/>
        <w:rPr>
          <w:sz w:val="20"/>
          <w:szCs w:val="20"/>
          <w:color w:val="auto"/>
        </w:rPr>
      </w:pPr>
      <w:r>
        <w:rPr>
          <w:rFonts w:ascii="Courier New" w:cs="Courier New" w:eastAsia="Courier New" w:hAnsi="Courier New"/>
          <w:sz w:val="17"/>
          <w:szCs w:val="17"/>
          <w:color w:val="auto"/>
        </w:rPr>
        <w:t>The registrant hereby amends its Annual Report on Form 10-K for the fiscal year ended February 2, 2002 by amending "Item 6. Selected Financial Data" in its entirety as follows:</w:t>
      </w:r>
    </w:p>
    <w:p>
      <w:pPr>
        <w:sectPr>
          <w:pgSz w:w="11900" w:h="16838" w:orient="portrait"/>
          <w:cols w:equalWidth="0" w:num="1">
            <w:col w:w="10219"/>
          </w:cols>
          <w:pgMar w:left="240" w:top="245" w:right="1440" w:bottom="1440" w:gutter="0" w:footer="0" w:header="0"/>
          <w:type w:val="continuous"/>
        </w:sectPr>
      </w:pPr>
    </w:p>
    <w:bookmarkStart w:id="1" w:name="page2"/>
    <w:bookmarkEnd w:id="1"/>
    <w:p>
      <w:pPr>
        <w:spacing w:after="0"/>
        <w:tabs>
          <w:tab w:leader="none" w:pos="132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6"/>
          <w:szCs w:val="16"/>
          <w:color w:val="auto"/>
        </w:rPr>
        <w:t>Selected Financial Data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0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Fiscal Years Ended (1)</w:t>
            </w: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392"/>
        </w:trPr>
        <w:tc>
          <w:tcPr>
            <w:tcW w:w="3720" w:type="dxa"/>
            <w:vAlign w:val="bottom"/>
          </w:tcPr>
          <w:p>
            <w:pPr>
              <w:spacing w:after="0"/>
              <w:rPr>
                <w:sz w:val="24"/>
                <w:szCs w:val="24"/>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7"/>
                <w:szCs w:val="17"/>
                <w:color w:val="auto"/>
                <w:w w:val="97"/>
              </w:rPr>
              <w:t>February 2,</w:t>
            </w:r>
          </w:p>
        </w:tc>
        <w:tc>
          <w:tcPr>
            <w:tcW w:w="1680" w:type="dxa"/>
            <w:vAlign w:val="bottom"/>
            <w:gridSpan w:val="2"/>
          </w:tcPr>
          <w:p>
            <w:pPr>
              <w:jc w:val="right"/>
              <w:ind w:right="55"/>
              <w:spacing w:after="0"/>
              <w:rPr>
                <w:sz w:val="20"/>
                <w:szCs w:val="20"/>
                <w:color w:val="auto"/>
              </w:rPr>
            </w:pPr>
            <w:r>
              <w:rPr>
                <w:rFonts w:ascii="Courier New" w:cs="Courier New" w:eastAsia="Courier New" w:hAnsi="Courier New"/>
                <w:sz w:val="17"/>
                <w:szCs w:val="17"/>
                <w:color w:val="auto"/>
              </w:rPr>
              <w:t>February 3,</w:t>
            </w:r>
          </w:p>
        </w:tc>
        <w:tc>
          <w:tcPr>
            <w:tcW w:w="260" w:type="dxa"/>
            <w:vAlign w:val="bottom"/>
          </w:tcPr>
          <w:p>
            <w:pPr>
              <w:spacing w:after="0"/>
              <w:rPr>
                <w:sz w:val="24"/>
                <w:szCs w:val="24"/>
                <w:color w:val="auto"/>
              </w:rPr>
            </w:pPr>
          </w:p>
        </w:tc>
        <w:tc>
          <w:tcPr>
            <w:tcW w:w="2900" w:type="dxa"/>
            <w:vAlign w:val="bottom"/>
            <w:gridSpan w:val="4"/>
          </w:tcPr>
          <w:p>
            <w:pPr>
              <w:jc w:val="right"/>
              <w:ind w:right="355"/>
              <w:spacing w:after="0"/>
              <w:rPr>
                <w:sz w:val="20"/>
                <w:szCs w:val="20"/>
                <w:color w:val="auto"/>
              </w:rPr>
            </w:pPr>
            <w:r>
              <w:rPr>
                <w:rFonts w:ascii="Courier New" w:cs="Courier New" w:eastAsia="Courier New" w:hAnsi="Courier New"/>
                <w:sz w:val="17"/>
                <w:szCs w:val="17"/>
                <w:color w:val="auto"/>
                <w:w w:val="99"/>
              </w:rPr>
              <w:t>January 29,  January 30,</w:t>
            </w:r>
          </w:p>
        </w:tc>
        <w:tc>
          <w:tcPr>
            <w:tcW w:w="1680" w:type="dxa"/>
            <w:vAlign w:val="bottom"/>
            <w:gridSpan w:val="3"/>
          </w:tcPr>
          <w:p>
            <w:pPr>
              <w:jc w:val="right"/>
              <w:ind w:right="215"/>
              <w:spacing w:after="0"/>
              <w:rPr>
                <w:sz w:val="20"/>
                <w:szCs w:val="20"/>
                <w:color w:val="auto"/>
              </w:rPr>
            </w:pPr>
            <w:r>
              <w:rPr>
                <w:rFonts w:ascii="Courier New" w:cs="Courier New" w:eastAsia="Courier New" w:hAnsi="Courier New"/>
                <w:sz w:val="17"/>
                <w:szCs w:val="17"/>
                <w:color w:val="auto"/>
              </w:rPr>
              <w:t>January 31,</w:t>
            </w:r>
          </w:p>
        </w:tc>
      </w:tr>
      <w:tr>
        <w:trPr>
          <w:trHeight w:val="196"/>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415"/>
              <w:spacing w:after="0"/>
              <w:rPr>
                <w:sz w:val="20"/>
                <w:szCs w:val="20"/>
                <w:color w:val="auto"/>
              </w:rPr>
            </w:pPr>
            <w:r>
              <w:rPr>
                <w:rFonts w:ascii="Courier New" w:cs="Courier New" w:eastAsia="Courier New" w:hAnsi="Courier New"/>
                <w:sz w:val="17"/>
                <w:szCs w:val="17"/>
                <w:color w:val="auto"/>
              </w:rPr>
              <w:t>2002</w:t>
            </w:r>
          </w:p>
        </w:tc>
        <w:tc>
          <w:tcPr>
            <w:tcW w:w="660" w:type="dxa"/>
            <w:vAlign w:val="bottom"/>
          </w:tcPr>
          <w:p>
            <w:pPr>
              <w:spacing w:after="0"/>
              <w:rPr>
                <w:sz w:val="17"/>
                <w:szCs w:val="17"/>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2001</w:t>
            </w:r>
          </w:p>
        </w:tc>
        <w:tc>
          <w:tcPr>
            <w:tcW w:w="260" w:type="dxa"/>
            <w:vAlign w:val="bottom"/>
          </w:tcPr>
          <w:p>
            <w:pPr>
              <w:spacing w:after="0"/>
              <w:rPr>
                <w:sz w:val="17"/>
                <w:szCs w:val="17"/>
                <w:color w:val="auto"/>
              </w:rPr>
            </w:pPr>
          </w:p>
        </w:tc>
        <w:tc>
          <w:tcPr>
            <w:tcW w:w="1020" w:type="dxa"/>
            <w:vAlign w:val="bottom"/>
          </w:tcPr>
          <w:p>
            <w:pPr>
              <w:jc w:val="right"/>
              <w:ind w:right="215"/>
              <w:spacing w:after="0"/>
              <w:rPr>
                <w:sz w:val="20"/>
                <w:szCs w:val="20"/>
                <w:color w:val="auto"/>
              </w:rPr>
            </w:pPr>
            <w:r>
              <w:rPr>
                <w:rFonts w:ascii="Courier New" w:cs="Courier New" w:eastAsia="Courier New" w:hAnsi="Courier New"/>
                <w:sz w:val="17"/>
                <w:szCs w:val="17"/>
                <w:color w:val="auto"/>
              </w:rPr>
              <w:t>2000</w:t>
            </w:r>
          </w:p>
        </w:tc>
        <w:tc>
          <w:tcPr>
            <w:tcW w:w="420" w:type="dxa"/>
            <w:vAlign w:val="bottom"/>
          </w:tcPr>
          <w:p>
            <w:pPr>
              <w:spacing w:after="0"/>
              <w:rPr>
                <w:sz w:val="17"/>
                <w:szCs w:val="17"/>
                <w:color w:val="auto"/>
              </w:rPr>
            </w:pPr>
          </w:p>
        </w:tc>
        <w:tc>
          <w:tcPr>
            <w:tcW w:w="860" w:type="dxa"/>
            <w:vAlign w:val="bottom"/>
          </w:tcPr>
          <w:p>
            <w:pPr>
              <w:jc w:val="right"/>
              <w:ind w:right="175"/>
              <w:spacing w:after="0"/>
              <w:rPr>
                <w:sz w:val="20"/>
                <w:szCs w:val="20"/>
                <w:color w:val="auto"/>
              </w:rPr>
            </w:pPr>
            <w:r>
              <w:rPr>
                <w:rFonts w:ascii="Courier New" w:cs="Courier New" w:eastAsia="Courier New" w:hAnsi="Courier New"/>
                <w:sz w:val="17"/>
                <w:szCs w:val="17"/>
                <w:color w:val="auto"/>
              </w:rPr>
              <w:t>1999</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ind w:left="160"/>
              <w:spacing w:after="0"/>
              <w:rPr>
                <w:sz w:val="20"/>
                <w:szCs w:val="20"/>
                <w:color w:val="auto"/>
              </w:rPr>
            </w:pPr>
            <w:r>
              <w:rPr>
                <w:rFonts w:ascii="Courier New" w:cs="Courier New" w:eastAsia="Courier New" w:hAnsi="Courier New"/>
                <w:sz w:val="17"/>
                <w:szCs w:val="17"/>
                <w:color w:val="auto"/>
              </w:rPr>
              <w:t>1998</w:t>
            </w:r>
          </w:p>
        </w:tc>
        <w:tc>
          <w:tcPr>
            <w:tcW w:w="40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12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(Fiscal</w:t>
            </w:r>
          </w:p>
        </w:tc>
        <w:tc>
          <w:tcPr>
            <w:tcW w:w="1680" w:type="dxa"/>
            <w:vAlign w:val="bottom"/>
            <w:gridSpan w:val="2"/>
          </w:tcPr>
          <w:p>
            <w:pPr>
              <w:ind w:left="520"/>
              <w:spacing w:after="0"/>
              <w:rPr>
                <w:sz w:val="20"/>
                <w:szCs w:val="20"/>
                <w:color w:val="auto"/>
              </w:rPr>
            </w:pPr>
            <w:r>
              <w:rPr>
                <w:rFonts w:ascii="Courier New" w:cs="Courier New" w:eastAsia="Courier New" w:hAnsi="Courier New"/>
                <w:sz w:val="17"/>
                <w:szCs w:val="17"/>
                <w:color w:val="auto"/>
              </w:rPr>
              <w:t>(Fiscal</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(Fiscal</w:t>
            </w:r>
          </w:p>
        </w:tc>
        <w:tc>
          <w:tcPr>
            <w:tcW w:w="42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w w:val="95"/>
              </w:rPr>
              <w:t>(Fiscal</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(Fiscal</w:t>
            </w:r>
          </w:p>
        </w:tc>
        <w:tc>
          <w:tcPr>
            <w:tcW w:w="40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2002)</w:t>
            </w:r>
          </w:p>
        </w:tc>
        <w:tc>
          <w:tcPr>
            <w:tcW w:w="660" w:type="dxa"/>
            <w:vAlign w:val="bottom"/>
          </w:tcPr>
          <w:p>
            <w:pPr>
              <w:spacing w:after="0"/>
              <w:rPr>
                <w:sz w:val="17"/>
                <w:szCs w:val="17"/>
                <w:color w:val="auto"/>
              </w:rPr>
            </w:pPr>
          </w:p>
        </w:tc>
        <w:tc>
          <w:tcPr>
            <w:tcW w:w="1020" w:type="dxa"/>
            <w:vAlign w:val="bottom"/>
          </w:tcPr>
          <w:p>
            <w:pPr>
              <w:ind w:left="60"/>
              <w:spacing w:after="0"/>
              <w:rPr>
                <w:sz w:val="20"/>
                <w:szCs w:val="20"/>
                <w:color w:val="auto"/>
              </w:rPr>
            </w:pPr>
            <w:r>
              <w:rPr>
                <w:rFonts w:ascii="Courier New" w:cs="Courier New" w:eastAsia="Courier New" w:hAnsi="Courier New"/>
                <w:sz w:val="17"/>
                <w:szCs w:val="17"/>
                <w:color w:val="auto"/>
              </w:rPr>
              <w:t>2001)</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2000)</w:t>
            </w:r>
          </w:p>
        </w:tc>
        <w:tc>
          <w:tcPr>
            <w:tcW w:w="42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1999)</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ind w:left="160"/>
              <w:spacing w:after="0"/>
              <w:rPr>
                <w:sz w:val="20"/>
                <w:szCs w:val="20"/>
                <w:color w:val="auto"/>
              </w:rPr>
            </w:pPr>
            <w:r>
              <w:rPr>
                <w:rFonts w:ascii="Courier New" w:cs="Courier New" w:eastAsia="Courier New" w:hAnsi="Courier New"/>
                <w:sz w:val="17"/>
                <w:szCs w:val="17"/>
                <w:color w:val="auto"/>
              </w:rPr>
              <w:t>1998)</w:t>
            </w:r>
          </w:p>
        </w:tc>
        <w:tc>
          <w:tcPr>
            <w:tcW w:w="400" w:type="dxa"/>
            <w:vAlign w:val="bottom"/>
          </w:tcPr>
          <w:p>
            <w:pPr>
              <w:spacing w:after="0"/>
              <w:rPr>
                <w:sz w:val="17"/>
                <w:szCs w:val="17"/>
                <w:color w:val="auto"/>
              </w:rPr>
            </w:pPr>
          </w:p>
        </w:tc>
      </w:tr>
      <w:tr>
        <w:trPr>
          <w:trHeight w:val="392"/>
        </w:trPr>
        <w:tc>
          <w:tcPr>
            <w:tcW w:w="3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60" w:type="dxa"/>
            <w:vAlign w:val="bottom"/>
            <w:gridSpan w:val="8"/>
          </w:tcPr>
          <w:p>
            <w:pPr>
              <w:jc w:val="right"/>
              <w:spacing w:after="0"/>
              <w:rPr>
                <w:sz w:val="20"/>
                <w:szCs w:val="20"/>
                <w:color w:val="auto"/>
              </w:rPr>
            </w:pPr>
            <w:r>
              <w:rPr>
                <w:rFonts w:ascii="Courier New" w:cs="Courier New" w:eastAsia="Courier New" w:hAnsi="Courier New"/>
                <w:sz w:val="17"/>
                <w:szCs w:val="17"/>
                <w:color w:val="auto"/>
                <w:w w:val="99"/>
              </w:rPr>
              <w:t>(IN THOUSANDS, EXCEPT PER SHARE AND OPERATING DATA)</w:t>
            </w: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INCOME STATEMENT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589"/>
        </w:trPr>
        <w:tc>
          <w:tcPr>
            <w:tcW w:w="3720" w:type="dxa"/>
            <w:vAlign w:val="bottom"/>
          </w:tcPr>
          <w:p>
            <w:pPr>
              <w:spacing w:after="0"/>
              <w:rPr>
                <w:sz w:val="20"/>
                <w:szCs w:val="20"/>
                <w:color w:val="auto"/>
              </w:rPr>
            </w:pPr>
            <w:r>
              <w:rPr>
                <w:rFonts w:ascii="Courier New" w:cs="Courier New" w:eastAsia="Courier New" w:hAnsi="Courier New"/>
                <w:sz w:val="17"/>
                <w:szCs w:val="17"/>
                <w:color w:val="auto"/>
              </w:rPr>
              <w:t>Sales</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$ 195,119</w:t>
            </w:r>
          </w:p>
        </w:tc>
        <w:tc>
          <w:tcPr>
            <w:tcW w:w="16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$ 194,530</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$ 192,192</w:t>
            </w:r>
          </w:p>
        </w:tc>
        <w:tc>
          <w:tcPr>
            <w:tcW w:w="12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$ 201,634</w:t>
            </w:r>
          </w:p>
        </w:tc>
        <w:tc>
          <w:tcPr>
            <w:tcW w:w="600" w:type="dxa"/>
            <w:vAlign w:val="bottom"/>
          </w:tcPr>
          <w:p>
            <w:pPr>
              <w:spacing w:after="0"/>
              <w:rPr>
                <w:sz w:val="24"/>
                <w:szCs w:val="24"/>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$ 265,726</w:t>
            </w: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Gross profit, net of</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occupancy costs</w:t>
            </w:r>
          </w:p>
        </w:tc>
        <w:tc>
          <w:tcPr>
            <w:tcW w:w="32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47,221</w:t>
            </w:r>
          </w:p>
        </w:tc>
        <w:tc>
          <w:tcPr>
            <w:tcW w:w="66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54,985</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47,440</w:t>
            </w:r>
          </w:p>
        </w:tc>
        <w:tc>
          <w:tcPr>
            <w:tcW w:w="4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1"/>
              </w:rPr>
              <w:t>(3)</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42,249</w:t>
            </w:r>
          </w:p>
        </w:tc>
        <w:tc>
          <w:tcPr>
            <w:tcW w:w="60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38,358</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7"/>
              </w:rPr>
              <w:t>(5)</w:t>
            </w: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Provision for impairment of assets,</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store closing and severance</w:t>
            </w:r>
          </w:p>
        </w:tc>
        <w:tc>
          <w:tcPr>
            <w:tcW w:w="320" w:type="dxa"/>
            <w:vAlign w:val="bottom"/>
          </w:tcPr>
          <w:p>
            <w:pPr>
              <w:spacing w:after="0"/>
              <w:rPr>
                <w:sz w:val="17"/>
                <w:szCs w:val="17"/>
                <w:color w:val="auto"/>
              </w:rPr>
            </w:pPr>
          </w:p>
        </w:tc>
        <w:tc>
          <w:tcPr>
            <w:tcW w:w="960" w:type="dxa"/>
            <w:vAlign w:val="bottom"/>
          </w:tcPr>
          <w:p>
            <w:pPr>
              <w:jc w:val="right"/>
              <w:ind w:right="315"/>
              <w:spacing w:after="0"/>
              <w:rPr>
                <w:sz w:val="20"/>
                <w:szCs w:val="20"/>
                <w:color w:val="auto"/>
              </w:rPr>
            </w:pPr>
            <w:r>
              <w:rPr>
                <w:rFonts w:ascii="Courier New" w:cs="Courier New" w:eastAsia="Courier New" w:hAnsi="Courier New"/>
                <w:sz w:val="17"/>
                <w:szCs w:val="17"/>
                <w:color w:val="auto"/>
              </w:rPr>
              <w:t>--</w:t>
            </w:r>
          </w:p>
        </w:tc>
        <w:tc>
          <w:tcPr>
            <w:tcW w:w="66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107</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14,535</w:t>
            </w:r>
          </w:p>
        </w:tc>
        <w:tc>
          <w:tcPr>
            <w:tcW w:w="420" w:type="dxa"/>
            <w:vAlign w:val="bottom"/>
          </w:tcPr>
          <w:p>
            <w:pPr>
              <w:jc w:val="right"/>
              <w:ind w:right="35"/>
              <w:spacing w:after="0"/>
              <w:rPr>
                <w:sz w:val="20"/>
                <w:szCs w:val="20"/>
                <w:color w:val="auto"/>
              </w:rPr>
            </w:pPr>
            <w:r>
              <w:rPr>
                <w:rFonts w:ascii="Courier New" w:cs="Courier New" w:eastAsia="Courier New" w:hAnsi="Courier New"/>
                <w:sz w:val="17"/>
                <w:szCs w:val="17"/>
                <w:color w:val="auto"/>
                <w:w w:val="91"/>
              </w:rPr>
              <w:t>(3)</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15,729</w:t>
            </w:r>
          </w:p>
        </w:tc>
        <w:tc>
          <w:tcPr>
            <w:tcW w:w="60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w:t>
            </w: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21,600</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w w:val="97"/>
              </w:rPr>
              <w:t>(5)</w:t>
            </w: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Pre-tax income (loss)</w:t>
            </w:r>
          </w:p>
        </w:tc>
        <w:tc>
          <w:tcPr>
            <w:tcW w:w="320" w:type="dxa"/>
            <w:vAlign w:val="bottom"/>
          </w:tcPr>
          <w:p>
            <w:pPr>
              <w:spacing w:after="0"/>
              <w:rPr>
                <w:sz w:val="24"/>
                <w:szCs w:val="24"/>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175</w:t>
            </w:r>
          </w:p>
        </w:tc>
        <w:tc>
          <w:tcPr>
            <w:tcW w:w="660" w:type="dxa"/>
            <w:vAlign w:val="bottom"/>
          </w:tcPr>
          <w:p>
            <w:pPr>
              <w:spacing w:after="0"/>
              <w:rPr>
                <w:sz w:val="24"/>
                <w:szCs w:val="24"/>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5,488</w:t>
            </w:r>
          </w:p>
        </w:tc>
        <w:tc>
          <w:tcPr>
            <w:tcW w:w="260" w:type="dxa"/>
            <w:vAlign w:val="bottom"/>
          </w:tcPr>
          <w:p>
            <w:pPr>
              <w:spacing w:after="0"/>
              <w:rPr>
                <w:sz w:val="24"/>
                <w:szCs w:val="24"/>
                <w:color w:val="auto"/>
              </w:rPr>
            </w:pPr>
          </w:p>
        </w:tc>
        <w:tc>
          <w:tcPr>
            <w:tcW w:w="2900" w:type="dxa"/>
            <w:vAlign w:val="bottom"/>
            <w:gridSpan w:val="4"/>
          </w:tcPr>
          <w:p>
            <w:pPr>
              <w:jc w:val="right"/>
              <w:ind w:right="155"/>
              <w:spacing w:after="0"/>
              <w:rPr>
                <w:sz w:val="20"/>
                <w:szCs w:val="20"/>
                <w:color w:val="auto"/>
              </w:rPr>
            </w:pPr>
            <w:r>
              <w:rPr>
                <w:rFonts w:ascii="Courier New" w:cs="Courier New" w:eastAsia="Courier New" w:hAnsi="Courier New"/>
                <w:sz w:val="17"/>
                <w:szCs w:val="17"/>
                <w:color w:val="auto"/>
              </w:rPr>
              <w:t>(10,278) (3) (29,269) (4)</w:t>
            </w:r>
          </w:p>
        </w:tc>
        <w:tc>
          <w:tcPr>
            <w:tcW w:w="420" w:type="dxa"/>
            <w:vAlign w:val="bottom"/>
          </w:tcPr>
          <w:p>
            <w:pPr>
              <w:spacing w:after="0"/>
              <w:rPr>
                <w:sz w:val="24"/>
                <w:szCs w:val="24"/>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(46,562) (5)</w:t>
            </w: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income (loss)</w:t>
            </w:r>
          </w:p>
        </w:tc>
        <w:tc>
          <w:tcPr>
            <w:tcW w:w="320" w:type="dxa"/>
            <w:vAlign w:val="bottom"/>
          </w:tcPr>
          <w:p>
            <w:pPr>
              <w:spacing w:after="0"/>
              <w:rPr>
                <w:sz w:val="24"/>
                <w:szCs w:val="24"/>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(7,881)</w:t>
            </w:r>
          </w:p>
        </w:tc>
        <w:tc>
          <w:tcPr>
            <w:tcW w:w="660" w:type="dxa"/>
            <w:vAlign w:val="bottom"/>
          </w:tcPr>
          <w:p>
            <w:pPr>
              <w:spacing w:after="0"/>
              <w:rPr>
                <w:sz w:val="24"/>
                <w:szCs w:val="24"/>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3,216</w:t>
            </w:r>
          </w:p>
        </w:tc>
        <w:tc>
          <w:tcPr>
            <w:tcW w:w="260" w:type="dxa"/>
            <w:vAlign w:val="bottom"/>
          </w:tcPr>
          <w:p>
            <w:pPr>
              <w:spacing w:after="0"/>
              <w:rPr>
                <w:sz w:val="24"/>
                <w:szCs w:val="24"/>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(12,493)</w:t>
            </w: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w w:val="95"/>
              </w:rPr>
              <w:t>(18,541)</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(29,063)</w:t>
            </w: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Earnings (loss) per share-basic</w:t>
            </w:r>
          </w:p>
        </w:tc>
        <w:tc>
          <w:tcPr>
            <w:tcW w:w="3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(0.54)</w:t>
            </w:r>
          </w:p>
        </w:tc>
        <w:tc>
          <w:tcPr>
            <w:tcW w:w="66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0.20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(0.78)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(1.17)</w:t>
            </w:r>
          </w:p>
        </w:tc>
        <w:tc>
          <w:tcPr>
            <w:tcW w:w="6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(1.86)</w:t>
            </w: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Earnings (loss) per share-diluted</w:t>
            </w:r>
          </w:p>
        </w:tc>
        <w:tc>
          <w:tcPr>
            <w:tcW w:w="3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(0.54)</w:t>
            </w:r>
          </w:p>
        </w:tc>
        <w:tc>
          <w:tcPr>
            <w:tcW w:w="66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0.20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(0.78)</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(1.17)</w:t>
            </w:r>
          </w:p>
        </w:tc>
        <w:tc>
          <w:tcPr>
            <w:tcW w:w="6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rPr>
              <w:t>(1.86)</w:t>
            </w:r>
          </w:p>
        </w:tc>
        <w:tc>
          <w:tcPr>
            <w:tcW w:w="400" w:type="dxa"/>
            <w:vAlign w:val="bottom"/>
          </w:tcPr>
          <w:p>
            <w:pPr>
              <w:spacing w:after="0"/>
              <w:rPr>
                <w:sz w:val="24"/>
                <w:szCs w:val="24"/>
                <w:color w:val="auto"/>
              </w:rPr>
            </w:pPr>
          </w:p>
        </w:tc>
      </w:tr>
      <w:tr>
        <w:trPr>
          <w:trHeight w:val="196"/>
        </w:trPr>
        <w:tc>
          <w:tcPr>
            <w:tcW w:w="3720" w:type="dxa"/>
            <w:vAlign w:val="bottom"/>
          </w:tcPr>
          <w:p>
            <w:pPr>
              <w:spacing w:after="0"/>
              <w:rPr>
                <w:sz w:val="17"/>
                <w:szCs w:val="17"/>
                <w:color w:val="auto"/>
              </w:rPr>
            </w:pP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3720" w:type="dxa"/>
            <w:vAlign w:val="bottom"/>
          </w:tcPr>
          <w:p>
            <w:pPr>
              <w:ind w:left="320"/>
              <w:spacing w:after="0"/>
              <w:rPr>
                <w:sz w:val="20"/>
                <w:szCs w:val="20"/>
                <w:color w:val="auto"/>
              </w:rPr>
            </w:pPr>
            <w:r>
              <w:rPr>
                <w:rFonts w:ascii="Courier New" w:cs="Courier New" w:eastAsia="Courier New" w:hAnsi="Courier New"/>
                <w:sz w:val="17"/>
                <w:szCs w:val="17"/>
                <w:color w:val="auto"/>
              </w:rPr>
              <w:t>For earnings per share-basic</w:t>
            </w:r>
          </w:p>
        </w:tc>
        <w:tc>
          <w:tcPr>
            <w:tcW w:w="32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14,486</w:t>
            </w:r>
          </w:p>
        </w:tc>
        <w:tc>
          <w:tcPr>
            <w:tcW w:w="66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16,015</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16,088</w:t>
            </w:r>
          </w:p>
        </w:tc>
        <w:tc>
          <w:tcPr>
            <w:tcW w:w="42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15,810</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15,649</w:t>
            </w:r>
          </w:p>
        </w:tc>
        <w:tc>
          <w:tcPr>
            <w:tcW w:w="400" w:type="dxa"/>
            <w:vAlign w:val="bottom"/>
          </w:tcPr>
          <w:p>
            <w:pPr>
              <w:spacing w:after="0"/>
              <w:rPr>
                <w:sz w:val="17"/>
                <w:szCs w:val="17"/>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Weighted average shares outstanding</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3720" w:type="dxa"/>
            <w:vAlign w:val="bottom"/>
          </w:tcPr>
          <w:p>
            <w:pPr>
              <w:ind w:left="320"/>
              <w:spacing w:after="0"/>
              <w:rPr>
                <w:sz w:val="20"/>
                <w:szCs w:val="20"/>
                <w:color w:val="auto"/>
              </w:rPr>
            </w:pPr>
            <w:r>
              <w:rPr>
                <w:rFonts w:ascii="Courier New" w:cs="Courier New" w:eastAsia="Courier New" w:hAnsi="Courier New"/>
                <w:sz w:val="17"/>
                <w:szCs w:val="17"/>
                <w:color w:val="auto"/>
              </w:rPr>
              <w:t>For earnings per share -diluted</w:t>
            </w:r>
          </w:p>
        </w:tc>
        <w:tc>
          <w:tcPr>
            <w:tcW w:w="32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14,486</w:t>
            </w:r>
          </w:p>
        </w:tc>
        <w:tc>
          <w:tcPr>
            <w:tcW w:w="66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16,292</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16,088</w:t>
            </w:r>
          </w:p>
        </w:tc>
        <w:tc>
          <w:tcPr>
            <w:tcW w:w="42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15,810</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15,649</w:t>
            </w:r>
          </w:p>
        </w:tc>
        <w:tc>
          <w:tcPr>
            <w:tcW w:w="400" w:type="dxa"/>
            <w:vAlign w:val="bottom"/>
          </w:tcPr>
          <w:p>
            <w:pPr>
              <w:spacing w:after="0"/>
              <w:rPr>
                <w:sz w:val="17"/>
                <w:szCs w:val="17"/>
                <w:color w:val="auto"/>
              </w:rPr>
            </w:pPr>
          </w:p>
        </w:tc>
      </w:tr>
      <w:tr>
        <w:trPr>
          <w:trHeight w:val="196"/>
        </w:trPr>
        <w:tc>
          <w:tcPr>
            <w:tcW w:w="3720" w:type="dxa"/>
            <w:vAlign w:val="bottom"/>
          </w:tcPr>
          <w:p>
            <w:pPr>
              <w:spacing w:after="0"/>
              <w:rPr>
                <w:sz w:val="17"/>
                <w:szCs w:val="17"/>
                <w:color w:val="auto"/>
              </w:rPr>
            </w:pP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680" w:type="dxa"/>
            <w:vAlign w:val="bottom"/>
            <w:gridSpan w:val="2"/>
          </w:tcPr>
          <w:p>
            <w:pPr>
              <w:jc w:val="right"/>
              <w:ind w:right="15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115"/>
              <w:spacing w:after="0"/>
              <w:rPr>
                <w:sz w:val="20"/>
                <w:szCs w:val="20"/>
                <w:color w:val="auto"/>
              </w:rPr>
            </w:pPr>
            <w:r>
              <w:rPr>
                <w:rFonts w:ascii="Courier New" w:cs="Courier New" w:eastAsia="Courier New" w:hAnsi="Courier New"/>
                <w:sz w:val="17"/>
                <w:szCs w:val="17"/>
                <w:color w:val="auto"/>
              </w:rPr>
              <w:t>---------</w:t>
            </w:r>
          </w:p>
        </w:tc>
        <w:tc>
          <w:tcPr>
            <w:tcW w:w="1280" w:type="dxa"/>
            <w:vAlign w:val="bottom"/>
            <w:gridSpan w:val="2"/>
          </w:tcPr>
          <w:p>
            <w:pPr>
              <w:jc w:val="right"/>
              <w:ind w:right="75"/>
              <w:spacing w:after="0"/>
              <w:rPr>
                <w:sz w:val="20"/>
                <w:szCs w:val="20"/>
                <w:color w:val="auto"/>
              </w:rPr>
            </w:pPr>
            <w:r>
              <w:rPr>
                <w:rFonts w:ascii="Courier New" w:cs="Courier New" w:eastAsia="Courier New" w:hAnsi="Courier New"/>
                <w:sz w:val="17"/>
                <w:szCs w:val="17"/>
                <w:color w:val="auto"/>
              </w:rPr>
              <w:t>--------</w:t>
            </w:r>
          </w:p>
        </w:tc>
        <w:tc>
          <w:tcPr>
            <w:tcW w:w="600" w:type="dxa"/>
            <w:vAlign w:val="bottom"/>
          </w:tcPr>
          <w:p>
            <w:pPr>
              <w:spacing w:after="0"/>
              <w:rPr>
                <w:sz w:val="17"/>
                <w:szCs w:val="17"/>
                <w:color w:val="auto"/>
              </w:rPr>
            </w:pPr>
          </w:p>
        </w:tc>
        <w:tc>
          <w:tcPr>
            <w:tcW w:w="1280" w:type="dxa"/>
            <w:vAlign w:val="bottom"/>
            <w:gridSpan w:val="2"/>
          </w:tcPr>
          <w:p>
            <w:pPr>
              <w:jc w:val="right"/>
              <w:ind w:right="15"/>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BALANCE SHEET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Working capital</w:t>
            </w:r>
          </w:p>
        </w:tc>
        <w:tc>
          <w:tcPr>
            <w:tcW w:w="3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13,277</w:t>
            </w:r>
          </w:p>
        </w:tc>
        <w:tc>
          <w:tcPr>
            <w:tcW w:w="66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16,306</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19,624</w:t>
            </w:r>
          </w:p>
        </w:tc>
        <w:tc>
          <w:tcPr>
            <w:tcW w:w="4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24,078</w:t>
            </w:r>
          </w:p>
        </w:tc>
        <w:tc>
          <w:tcPr>
            <w:tcW w:w="6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42,104</w:t>
            </w: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Inventories</w:t>
            </w:r>
          </w:p>
        </w:tc>
        <w:tc>
          <w:tcPr>
            <w:tcW w:w="320" w:type="dxa"/>
            <w:vAlign w:val="bottom"/>
          </w:tcPr>
          <w:p>
            <w:pPr>
              <w:spacing w:after="0"/>
              <w:rPr>
                <w:sz w:val="24"/>
                <w:szCs w:val="24"/>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57,734</w:t>
            </w:r>
          </w:p>
        </w:tc>
        <w:tc>
          <w:tcPr>
            <w:tcW w:w="660" w:type="dxa"/>
            <w:vAlign w:val="bottom"/>
          </w:tcPr>
          <w:p>
            <w:pPr>
              <w:spacing w:after="0"/>
              <w:rPr>
                <w:sz w:val="24"/>
                <w:szCs w:val="24"/>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57,675</w:t>
            </w:r>
          </w:p>
        </w:tc>
        <w:tc>
          <w:tcPr>
            <w:tcW w:w="2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57,022</w:t>
            </w:r>
          </w:p>
        </w:tc>
        <w:tc>
          <w:tcPr>
            <w:tcW w:w="42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57,925</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54,972</w:t>
            </w: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Property and equipment, net</w:t>
            </w:r>
          </w:p>
        </w:tc>
        <w:tc>
          <w:tcPr>
            <w:tcW w:w="320" w:type="dxa"/>
            <w:vAlign w:val="bottom"/>
          </w:tcPr>
          <w:p>
            <w:pPr>
              <w:spacing w:after="0"/>
              <w:rPr>
                <w:sz w:val="24"/>
                <w:szCs w:val="24"/>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20,912</w:t>
            </w:r>
          </w:p>
        </w:tc>
        <w:tc>
          <w:tcPr>
            <w:tcW w:w="660" w:type="dxa"/>
            <w:vAlign w:val="bottom"/>
          </w:tcPr>
          <w:p>
            <w:pPr>
              <w:spacing w:after="0"/>
              <w:rPr>
                <w:sz w:val="24"/>
                <w:szCs w:val="24"/>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18,577</w:t>
            </w:r>
          </w:p>
        </w:tc>
        <w:tc>
          <w:tcPr>
            <w:tcW w:w="2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16,737</w:t>
            </w:r>
          </w:p>
        </w:tc>
        <w:tc>
          <w:tcPr>
            <w:tcW w:w="42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17,788</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35,307</w:t>
            </w: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Total assets</w:t>
            </w:r>
          </w:p>
        </w:tc>
        <w:tc>
          <w:tcPr>
            <w:tcW w:w="320" w:type="dxa"/>
            <w:vAlign w:val="bottom"/>
          </w:tcPr>
          <w:p>
            <w:pPr>
              <w:spacing w:after="0"/>
              <w:rPr>
                <w:sz w:val="24"/>
                <w:szCs w:val="24"/>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90,901</w:t>
            </w:r>
          </w:p>
        </w:tc>
        <w:tc>
          <w:tcPr>
            <w:tcW w:w="660" w:type="dxa"/>
            <w:vAlign w:val="bottom"/>
          </w:tcPr>
          <w:p>
            <w:pPr>
              <w:spacing w:after="0"/>
              <w:rPr>
                <w:sz w:val="24"/>
                <w:szCs w:val="24"/>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95,070</w:t>
            </w:r>
          </w:p>
        </w:tc>
        <w:tc>
          <w:tcPr>
            <w:tcW w:w="2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95,077</w:t>
            </w:r>
          </w:p>
        </w:tc>
        <w:tc>
          <w:tcPr>
            <w:tcW w:w="42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99,317</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116,399</w:t>
            </w: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Shareholders' equity</w:t>
            </w:r>
          </w:p>
        </w:tc>
        <w:tc>
          <w:tcPr>
            <w:tcW w:w="320" w:type="dxa"/>
            <w:vAlign w:val="bottom"/>
          </w:tcPr>
          <w:p>
            <w:pPr>
              <w:spacing w:after="0"/>
              <w:rPr>
                <w:sz w:val="24"/>
                <w:szCs w:val="24"/>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42,414</w:t>
            </w:r>
          </w:p>
        </w:tc>
        <w:tc>
          <w:tcPr>
            <w:tcW w:w="660" w:type="dxa"/>
            <w:vAlign w:val="bottom"/>
          </w:tcPr>
          <w:p>
            <w:pPr>
              <w:spacing w:after="0"/>
              <w:rPr>
                <w:sz w:val="24"/>
                <w:szCs w:val="24"/>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49,825</w:t>
            </w:r>
          </w:p>
        </w:tc>
        <w:tc>
          <w:tcPr>
            <w:tcW w:w="260" w:type="dxa"/>
            <w:vAlign w:val="bottom"/>
          </w:tcPr>
          <w:p>
            <w:pPr>
              <w:spacing w:after="0"/>
              <w:rPr>
                <w:sz w:val="24"/>
                <w:szCs w:val="24"/>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52,269</w:t>
            </w:r>
          </w:p>
        </w:tc>
        <w:tc>
          <w:tcPr>
            <w:tcW w:w="420" w:type="dxa"/>
            <w:vAlign w:val="bottom"/>
          </w:tcPr>
          <w:p>
            <w:pPr>
              <w:spacing w:after="0"/>
              <w:rPr>
                <w:sz w:val="24"/>
                <w:szCs w:val="24"/>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63,956</w:t>
            </w: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82,380</w:t>
            </w: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CASH FLOW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cash flow provided by</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3720" w:type="dxa"/>
            <w:vAlign w:val="bottom"/>
          </w:tcPr>
          <w:p>
            <w:pPr>
              <w:spacing w:after="0"/>
              <w:rPr>
                <w:sz w:val="20"/>
                <w:szCs w:val="20"/>
                <w:color w:val="auto"/>
              </w:rPr>
            </w:pPr>
            <w:r>
              <w:rPr>
                <w:rFonts w:ascii="Courier New" w:cs="Courier New" w:eastAsia="Courier New" w:hAnsi="Courier New"/>
                <w:sz w:val="17"/>
                <w:szCs w:val="17"/>
                <w:color w:val="auto"/>
              </w:rPr>
              <w:t>(used for) operating activities</w:t>
            </w:r>
          </w:p>
        </w:tc>
        <w:tc>
          <w:tcPr>
            <w:tcW w:w="32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563</w:t>
            </w:r>
          </w:p>
        </w:tc>
        <w:tc>
          <w:tcPr>
            <w:tcW w:w="66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6,299</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(1,227)</w:t>
            </w:r>
          </w:p>
        </w:tc>
        <w:tc>
          <w:tcPr>
            <w:tcW w:w="42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1,936</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(7,182)</w:t>
            </w:r>
          </w:p>
        </w:tc>
        <w:tc>
          <w:tcPr>
            <w:tcW w:w="400" w:type="dxa"/>
            <w:vAlign w:val="bottom"/>
          </w:tcPr>
          <w:p>
            <w:pPr>
              <w:spacing w:after="0"/>
              <w:rPr>
                <w:sz w:val="17"/>
                <w:szCs w:val="17"/>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cash flow used for</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investing activities</w:t>
            </w:r>
          </w:p>
        </w:tc>
        <w:tc>
          <w:tcPr>
            <w:tcW w:w="320" w:type="dxa"/>
            <w:vAlign w:val="bottom"/>
          </w:tcPr>
          <w:p>
            <w:pPr>
              <w:spacing w:after="0"/>
              <w:rPr>
                <w:sz w:val="17"/>
                <w:szCs w:val="17"/>
                <w:color w:val="auto"/>
              </w:rPr>
            </w:pPr>
          </w:p>
        </w:tc>
        <w:tc>
          <w:tcPr>
            <w:tcW w:w="9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(3,991)</w:t>
            </w:r>
          </w:p>
        </w:tc>
        <w:tc>
          <w:tcPr>
            <w:tcW w:w="66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(2,071)</w:t>
            </w:r>
          </w:p>
        </w:tc>
        <w:tc>
          <w:tcPr>
            <w:tcW w:w="260" w:type="dxa"/>
            <w:vAlign w:val="bottom"/>
          </w:tcPr>
          <w:p>
            <w:pPr>
              <w:spacing w:after="0"/>
              <w:rPr>
                <w:sz w:val="17"/>
                <w:szCs w:val="17"/>
                <w:color w:val="auto"/>
              </w:rPr>
            </w:pPr>
          </w:p>
        </w:tc>
        <w:tc>
          <w:tcPr>
            <w:tcW w:w="102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(7,303)</w:t>
            </w:r>
          </w:p>
        </w:tc>
        <w:tc>
          <w:tcPr>
            <w:tcW w:w="4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7"/>
                <w:szCs w:val="17"/>
                <w:color w:val="auto"/>
                <w:w w:val="95"/>
              </w:rPr>
              <w:t>(10,145)</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(2,186)</w:t>
            </w:r>
          </w:p>
        </w:tc>
        <w:tc>
          <w:tcPr>
            <w:tcW w:w="400" w:type="dxa"/>
            <w:vAlign w:val="bottom"/>
          </w:tcPr>
          <w:p>
            <w:pPr>
              <w:spacing w:after="0"/>
              <w:rPr>
                <w:sz w:val="17"/>
                <w:szCs w:val="17"/>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cash flow provided by</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(used for) financing activities</w:t>
            </w:r>
          </w:p>
        </w:tc>
        <w:tc>
          <w:tcPr>
            <w:tcW w:w="32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3,428</w:t>
            </w:r>
          </w:p>
        </w:tc>
        <w:tc>
          <w:tcPr>
            <w:tcW w:w="660" w:type="dxa"/>
            <w:vAlign w:val="bottom"/>
          </w:tcPr>
          <w:p>
            <w:pPr>
              <w:spacing w:after="0"/>
              <w:rPr>
                <w:sz w:val="17"/>
                <w:szCs w:val="17"/>
                <w:color w:val="auto"/>
              </w:rPr>
            </w:pPr>
          </w:p>
        </w:tc>
        <w:tc>
          <w:tcPr>
            <w:tcW w:w="1020" w:type="dxa"/>
            <w:vAlign w:val="bottom"/>
          </w:tcPr>
          <w:p>
            <w:pPr>
              <w:jc w:val="right"/>
              <w:ind w:right="55"/>
              <w:spacing w:after="0"/>
              <w:rPr>
                <w:sz w:val="20"/>
                <w:szCs w:val="20"/>
                <w:color w:val="auto"/>
              </w:rPr>
            </w:pPr>
            <w:r>
              <w:rPr>
                <w:rFonts w:ascii="Courier New" w:cs="Courier New" w:eastAsia="Courier New" w:hAnsi="Courier New"/>
                <w:sz w:val="17"/>
                <w:szCs w:val="17"/>
                <w:color w:val="auto"/>
              </w:rPr>
              <w:t>(4,228)</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8,377</w:t>
            </w:r>
          </w:p>
        </w:tc>
        <w:tc>
          <w:tcPr>
            <w:tcW w:w="42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6,889</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7,451</w:t>
            </w:r>
          </w:p>
        </w:tc>
        <w:tc>
          <w:tcPr>
            <w:tcW w:w="400" w:type="dxa"/>
            <w:vAlign w:val="bottom"/>
          </w:tcPr>
          <w:p>
            <w:pPr>
              <w:spacing w:after="0"/>
              <w:rPr>
                <w:sz w:val="17"/>
                <w:szCs w:val="17"/>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OPERATING DATA:</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Net sales per square foot</w:t>
            </w:r>
          </w:p>
        </w:tc>
        <w:tc>
          <w:tcPr>
            <w:tcW w:w="320" w:type="dxa"/>
            <w:vAlign w:val="bottom"/>
          </w:tcPr>
          <w:p>
            <w:pPr>
              <w:ind w:left="160"/>
              <w:spacing w:after="0"/>
              <w:rPr>
                <w:sz w:val="20"/>
                <w:szCs w:val="20"/>
                <w:color w:val="auto"/>
              </w:rPr>
            </w:pPr>
            <w:r>
              <w:rPr>
                <w:rFonts w:ascii="Courier New" w:cs="Courier New" w:eastAsia="Courier New" w:hAnsi="Courier New"/>
                <w:sz w:val="17"/>
                <w:szCs w:val="17"/>
                <w:color w:val="auto"/>
              </w:rPr>
              <w:t>$</w:t>
            </w: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195</w:t>
            </w:r>
          </w:p>
        </w:tc>
        <w:tc>
          <w:tcPr>
            <w:tcW w:w="660" w:type="dxa"/>
            <w:vAlign w:val="bottom"/>
          </w:tcPr>
          <w:p>
            <w:pPr>
              <w:ind w:left="520"/>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192</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190</w:t>
            </w:r>
          </w:p>
        </w:tc>
        <w:tc>
          <w:tcPr>
            <w:tcW w:w="420" w:type="dxa"/>
            <w:vAlign w:val="bottom"/>
          </w:tcPr>
          <w:p>
            <w:pPr>
              <w:jc w:val="right"/>
              <w:ind w:right="35"/>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187</w:t>
            </w:r>
          </w:p>
        </w:tc>
        <w:tc>
          <w:tcPr>
            <w:tcW w:w="6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220</w:t>
            </w:r>
          </w:p>
        </w:tc>
        <w:tc>
          <w:tcPr>
            <w:tcW w:w="400" w:type="dxa"/>
            <w:vAlign w:val="bottom"/>
          </w:tcPr>
          <w:p>
            <w:pPr>
              <w:spacing w:after="0"/>
              <w:rPr>
                <w:sz w:val="24"/>
                <w:szCs w:val="24"/>
                <w:color w:val="auto"/>
              </w:rPr>
            </w:pPr>
          </w:p>
        </w:tc>
      </w:tr>
      <w:tr>
        <w:trPr>
          <w:trHeight w:val="392"/>
        </w:trPr>
        <w:tc>
          <w:tcPr>
            <w:tcW w:w="3720" w:type="dxa"/>
            <w:vAlign w:val="bottom"/>
          </w:tcPr>
          <w:p>
            <w:pPr>
              <w:spacing w:after="0"/>
              <w:rPr>
                <w:sz w:val="20"/>
                <w:szCs w:val="20"/>
                <w:color w:val="auto"/>
              </w:rPr>
            </w:pPr>
            <w:r>
              <w:rPr>
                <w:rFonts w:ascii="Courier New" w:cs="Courier New" w:eastAsia="Courier New" w:hAnsi="Courier New"/>
                <w:sz w:val="17"/>
                <w:szCs w:val="17"/>
                <w:color w:val="auto"/>
              </w:rPr>
              <w:t>Number of stores open at fiscal</w:t>
            </w: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196"/>
        </w:trPr>
        <w:tc>
          <w:tcPr>
            <w:tcW w:w="3720" w:type="dxa"/>
            <w:vAlign w:val="bottom"/>
          </w:tcPr>
          <w:p>
            <w:pPr>
              <w:ind w:left="200"/>
              <w:spacing w:after="0"/>
              <w:rPr>
                <w:sz w:val="20"/>
                <w:szCs w:val="20"/>
                <w:color w:val="auto"/>
              </w:rPr>
            </w:pPr>
            <w:r>
              <w:rPr>
                <w:rFonts w:ascii="Courier New" w:cs="Courier New" w:eastAsia="Courier New" w:hAnsi="Courier New"/>
                <w:sz w:val="17"/>
                <w:szCs w:val="17"/>
                <w:color w:val="auto"/>
              </w:rPr>
              <w:t>year end</w:t>
            </w:r>
          </w:p>
        </w:tc>
        <w:tc>
          <w:tcPr>
            <w:tcW w:w="320" w:type="dxa"/>
            <w:vAlign w:val="bottom"/>
          </w:tcPr>
          <w:p>
            <w:pPr>
              <w:spacing w:after="0"/>
              <w:rPr>
                <w:sz w:val="17"/>
                <w:szCs w:val="17"/>
                <w:color w:val="auto"/>
              </w:rPr>
            </w:pPr>
          </w:p>
        </w:tc>
        <w:tc>
          <w:tcPr>
            <w:tcW w:w="96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102</w:t>
            </w:r>
          </w:p>
        </w:tc>
        <w:tc>
          <w:tcPr>
            <w:tcW w:w="660" w:type="dxa"/>
            <w:vAlign w:val="bottom"/>
          </w:tcPr>
          <w:p>
            <w:pPr>
              <w:spacing w:after="0"/>
              <w:rPr>
                <w:sz w:val="17"/>
                <w:szCs w:val="17"/>
                <w:color w:val="auto"/>
              </w:rPr>
            </w:pPr>
          </w:p>
        </w:tc>
        <w:tc>
          <w:tcPr>
            <w:tcW w:w="1020" w:type="dxa"/>
            <w:vAlign w:val="bottom"/>
          </w:tcPr>
          <w:p>
            <w:pPr>
              <w:jc w:val="right"/>
              <w:ind w:right="155"/>
              <w:spacing w:after="0"/>
              <w:rPr>
                <w:sz w:val="20"/>
                <w:szCs w:val="20"/>
                <w:color w:val="auto"/>
              </w:rPr>
            </w:pPr>
            <w:r>
              <w:rPr>
                <w:rFonts w:ascii="Courier New" w:cs="Courier New" w:eastAsia="Courier New" w:hAnsi="Courier New"/>
                <w:sz w:val="17"/>
                <w:szCs w:val="17"/>
                <w:color w:val="auto"/>
              </w:rPr>
              <w:t>102</w:t>
            </w:r>
          </w:p>
        </w:tc>
        <w:tc>
          <w:tcPr>
            <w:tcW w:w="260" w:type="dxa"/>
            <w:vAlign w:val="bottom"/>
          </w:tcPr>
          <w:p>
            <w:pPr>
              <w:spacing w:after="0"/>
              <w:rPr>
                <w:sz w:val="17"/>
                <w:szCs w:val="17"/>
                <w:color w:val="auto"/>
              </w:rPr>
            </w:pPr>
          </w:p>
        </w:tc>
        <w:tc>
          <w:tcPr>
            <w:tcW w:w="1020" w:type="dxa"/>
            <w:vAlign w:val="bottom"/>
          </w:tcPr>
          <w:p>
            <w:pPr>
              <w:jc w:val="right"/>
              <w:ind w:right="115"/>
              <w:spacing w:after="0"/>
              <w:rPr>
                <w:sz w:val="20"/>
                <w:szCs w:val="20"/>
                <w:color w:val="auto"/>
              </w:rPr>
            </w:pPr>
            <w:r>
              <w:rPr>
                <w:rFonts w:ascii="Courier New" w:cs="Courier New" w:eastAsia="Courier New" w:hAnsi="Courier New"/>
                <w:sz w:val="17"/>
                <w:szCs w:val="17"/>
                <w:color w:val="auto"/>
              </w:rPr>
              <w:t>103</w:t>
            </w:r>
          </w:p>
        </w:tc>
        <w:tc>
          <w:tcPr>
            <w:tcW w:w="420" w:type="dxa"/>
            <w:vAlign w:val="bottom"/>
          </w:tcPr>
          <w:p>
            <w:pPr>
              <w:spacing w:after="0"/>
              <w:rPr>
                <w:sz w:val="17"/>
                <w:szCs w:val="17"/>
                <w:color w:val="auto"/>
              </w:rPr>
            </w:pPr>
          </w:p>
        </w:tc>
        <w:tc>
          <w:tcPr>
            <w:tcW w:w="860" w:type="dxa"/>
            <w:vAlign w:val="bottom"/>
          </w:tcPr>
          <w:p>
            <w:pPr>
              <w:jc w:val="right"/>
              <w:ind w:right="75"/>
              <w:spacing w:after="0"/>
              <w:rPr>
                <w:sz w:val="20"/>
                <w:szCs w:val="20"/>
                <w:color w:val="auto"/>
              </w:rPr>
            </w:pPr>
            <w:r>
              <w:rPr>
                <w:rFonts w:ascii="Courier New" w:cs="Courier New" w:eastAsia="Courier New" w:hAnsi="Courier New"/>
                <w:sz w:val="17"/>
                <w:szCs w:val="17"/>
                <w:color w:val="auto"/>
              </w:rPr>
              <w:t>113</w:t>
            </w:r>
          </w:p>
        </w:tc>
        <w:tc>
          <w:tcPr>
            <w:tcW w:w="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jc w:val="right"/>
              <w:ind w:right="15"/>
              <w:spacing w:after="0"/>
              <w:rPr>
                <w:sz w:val="20"/>
                <w:szCs w:val="20"/>
                <w:color w:val="auto"/>
              </w:rPr>
            </w:pPr>
            <w:r>
              <w:rPr>
                <w:rFonts w:ascii="Courier New" w:cs="Courier New" w:eastAsia="Courier New" w:hAnsi="Courier New"/>
                <w:sz w:val="17"/>
                <w:szCs w:val="17"/>
                <w:color w:val="auto"/>
              </w:rPr>
              <w:t>125</w:t>
            </w:r>
          </w:p>
        </w:tc>
        <w:tc>
          <w:tcPr>
            <w:tcW w:w="400" w:type="dxa"/>
            <w:vAlign w:val="bottom"/>
          </w:tcPr>
          <w:p>
            <w:pPr>
              <w:spacing w:after="0"/>
              <w:rPr>
                <w:sz w:val="17"/>
                <w:szCs w:val="17"/>
                <w:color w:val="auto"/>
              </w:rPr>
            </w:pPr>
          </w:p>
        </w:tc>
      </w:tr>
    </w:tbl>
    <w:p>
      <w:pPr>
        <w:spacing w:after="0" w:line="397" w:lineRule="exact"/>
        <w:rPr>
          <w:sz w:val="20"/>
          <w:szCs w:val="20"/>
          <w:color w:val="auto"/>
        </w:rPr>
      </w:pPr>
    </w:p>
    <w:p>
      <w:pPr>
        <w:ind w:left="420" w:right="3560" w:hanging="415"/>
        <w:spacing w:after="0" w:line="243" w:lineRule="auto"/>
        <w:tabs>
          <w:tab w:leader="none" w:pos="4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Company's fiscal year is a 52 or 53 week period ending on the Saturday closest to January 31. The fiscal year ended February 3, 2001 included 53 weeks.</w:t>
      </w:r>
    </w:p>
    <w:p>
      <w:pPr>
        <w:spacing w:after="0" w:line="199" w:lineRule="exact"/>
        <w:rPr>
          <w:rFonts w:ascii="Courier New" w:cs="Courier New" w:eastAsia="Courier New" w:hAnsi="Courier New"/>
          <w:sz w:val="17"/>
          <w:szCs w:val="17"/>
          <w:color w:val="auto"/>
        </w:rPr>
      </w:pPr>
    </w:p>
    <w:p>
      <w:pPr>
        <w:ind w:left="420" w:right="3560" w:hanging="415"/>
        <w:spacing w:after="0" w:line="263" w:lineRule="auto"/>
        <w:tabs>
          <w:tab w:leader="none" w:pos="4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fourth quarter of fiscal 2002, the Company recorded a special non-cash charge of $8.0 million to reduce the carrying value of certain deferred tax assets. Due to the general weakness of the economy during fiscal 2002, which resulted in reduced earnings from fiscal 2001, the full realizability of certain tax assets can not be assured, accordingly the</w:t>
      </w:r>
    </w:p>
    <w:p>
      <w:pPr>
        <w:sectPr>
          <w:pgSz w:w="11900" w:h="16838" w:orient="portrait"/>
          <w:cols w:equalWidth="0" w:num="1">
            <w:col w:w="11520"/>
          </w:cols>
          <w:pgMar w:left="240" w:top="703" w:right="139" w:bottom="0" w:gutter="0" w:footer="0" w:header="0"/>
        </w:sectPr>
      </w:pPr>
    </w:p>
    <w:bookmarkStart w:id="2" w:name="page3"/>
    <w:bookmarkEnd w:id="2"/>
    <w:p>
      <w:pPr>
        <w:ind w:left="415" w:right="2059"/>
        <w:spacing w:after="0" w:line="244" w:lineRule="auto"/>
        <w:rPr>
          <w:sz w:val="20"/>
          <w:szCs w:val="20"/>
          <w:color w:val="auto"/>
        </w:rPr>
      </w:pPr>
      <w:r>
        <w:rPr>
          <w:rFonts w:ascii="Courier New" w:cs="Courier New" w:eastAsia="Courier New" w:hAnsi="Courier New"/>
          <w:sz w:val="17"/>
          <w:szCs w:val="17"/>
          <w:color w:val="auto"/>
        </w:rPr>
        <w:t>Company established additional reserves against those assets. As the Company's profitability improves, either from improved performance in its Levi's(R)/Dockers(R) stores, or from its roll-out of the Candies(R), EcKo(R), and other brands, the Company may have the ability to reinstate the full value of its deferred tax assets. Conversely, the amount of the deferred tax assets considered realizable could be reduced in the near term if projections of future taxable income during the carryforward period are reduced or if actual results are less than projections.</w:t>
      </w:r>
    </w:p>
    <w:p>
      <w:pPr>
        <w:spacing w:after="0" w:line="199" w:lineRule="exact"/>
        <w:rPr>
          <w:sz w:val="20"/>
          <w:szCs w:val="20"/>
          <w:color w:val="auto"/>
        </w:rPr>
      </w:pPr>
    </w:p>
    <w:p>
      <w:pPr>
        <w:ind w:left="415" w:right="2159" w:hanging="415"/>
        <w:spacing w:after="0" w:line="244" w:lineRule="auto"/>
        <w:tabs>
          <w:tab w:leader="none" w:pos="41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Pre-tax loss for fiscal 2000 includes the $15.2 million charge taken in the fourth quarter related to inventory markdowns, the abandonment of the Company's Boston Traders(R) trademark, severance, and the closure of the Company's five remaining Designs/BTC(TM) stores and its five Buffalo(R) Jeans Factory stores. Of the $15.2 million charge, $7.8 million, or 4.1% of sales, is reflected in gross margin. The pre-tax loss for fiscal 2000 also includes $717,000 of non-recurring income related to excess reserves from the fiscal 1999 restructuring program.</w:t>
      </w:r>
    </w:p>
    <w:p>
      <w:pPr>
        <w:spacing w:after="0" w:line="199" w:lineRule="exact"/>
        <w:rPr>
          <w:rFonts w:ascii="Courier New" w:cs="Courier New" w:eastAsia="Courier New" w:hAnsi="Courier New"/>
          <w:sz w:val="17"/>
          <w:szCs w:val="17"/>
          <w:color w:val="auto"/>
        </w:rPr>
      </w:pPr>
    </w:p>
    <w:p>
      <w:pPr>
        <w:ind w:left="415" w:right="2159" w:hanging="415"/>
        <w:spacing w:after="0" w:line="261" w:lineRule="auto"/>
        <w:tabs>
          <w:tab w:leader="none" w:pos="41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Pre-tax loss for fiscal 1999 includes the $13.4 million charge taken in the third quarter related to closing 30 unprofitable stores. Also included in the pre-tax loss for fiscal 1999 is the $5.2 million charge related to the closing of one Designs store, three BTC(TM) stores and four Boston Traders(R) outlet stores, all eight of which were closed in fiscal 2000. Of the $5.2 million charge, $800,000, or 0.4% of sales, is reflected in gross margin. In addition, the Company recognized $2.9 million in restructuring income in the fourth quarter which was the result of favorable lease negotiations associated with the original estimated $13.4 million charge.</w:t>
      </w:r>
    </w:p>
    <w:p>
      <w:pPr>
        <w:spacing w:after="0" w:line="187" w:lineRule="exact"/>
        <w:rPr>
          <w:rFonts w:ascii="Courier New" w:cs="Courier New" w:eastAsia="Courier New" w:hAnsi="Courier New"/>
          <w:sz w:val="16"/>
          <w:szCs w:val="16"/>
          <w:color w:val="auto"/>
        </w:rPr>
      </w:pPr>
    </w:p>
    <w:p>
      <w:pPr>
        <w:ind w:left="415" w:right="2059" w:hanging="415"/>
        <w:spacing w:after="0" w:line="244" w:lineRule="auto"/>
        <w:tabs>
          <w:tab w:leader="none" w:pos="415"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Pre-tax loss for fiscal 1998 includes the $20 million charge taken in the second quarter related to the Company's strategy shift and the fourth quarter charge of $1.6 million for the Company's reduction in work force. Of the $20 million charge, $13.9 million, or 5.2% of sales, is reflected in gross margin.</w:t>
      </w:r>
    </w:p>
    <w:p>
      <w:pPr>
        <w:sectPr>
          <w:pgSz w:w="11900" w:h="16838" w:orient="portrait"/>
          <w:cols w:equalWidth="0" w:num="1">
            <w:col w:w="10215"/>
          </w:cols>
          <w:pgMar w:left="245" w:top="142" w:right="1440" w:bottom="1440" w:gutter="0" w:footer="0" w:header="0"/>
        </w:sectPr>
      </w:pPr>
    </w:p>
    <w:bookmarkStart w:id="3" w:name="page4"/>
    <w:bookmarkEnd w:id="3"/>
    <w:p>
      <w:pPr>
        <w:ind w:left="3580"/>
        <w:spacing w:after="0"/>
        <w:rPr>
          <w:sz w:val="20"/>
          <w:szCs w:val="20"/>
          <w:color w:val="auto"/>
        </w:rPr>
      </w:pPr>
      <w:r>
        <w:rPr>
          <w:rFonts w:ascii="Courier New" w:cs="Courier New" w:eastAsia="Courier New" w:hAnsi="Courier New"/>
          <w:sz w:val="17"/>
          <w:szCs w:val="17"/>
          <w:color w:val="auto"/>
        </w:rPr>
        <w:t>SIGNATURES</w:t>
      </w:r>
    </w:p>
    <w:p>
      <w:pPr>
        <w:spacing w:after="0" w:line="201" w:lineRule="exact"/>
        <w:rPr>
          <w:sz w:val="20"/>
          <w:szCs w:val="20"/>
          <w:color w:val="auto"/>
        </w:rPr>
      </w:pPr>
    </w:p>
    <w:p>
      <w:pPr>
        <w:ind w:right="2259" w:firstLine="1326"/>
        <w:spacing w:after="0" w:line="243" w:lineRule="auto"/>
        <w:rPr>
          <w:sz w:val="20"/>
          <w:szCs w:val="20"/>
          <w:color w:val="auto"/>
        </w:rPr>
      </w:pPr>
      <w:r>
        <w:rPr>
          <w:rFonts w:ascii="Courier New" w:cs="Courier New" w:eastAsia="Courier New" w:hAnsi="Courier New"/>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99"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CASUAL MALE RETAIL GROUP, INC.</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September 11, 2002</w:t>
      </w:r>
    </w:p>
    <w:p>
      <w:pPr>
        <w:spacing w:after="0" w:line="200"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By: /s/ David A. Levin</w:t>
      </w:r>
    </w:p>
    <w:p>
      <w:pPr>
        <w:spacing w:after="0" w:line="4" w:lineRule="exact"/>
        <w:rPr>
          <w:sz w:val="20"/>
          <w:szCs w:val="20"/>
          <w:color w:val="auto"/>
        </w:rPr>
      </w:pPr>
    </w:p>
    <w:p>
      <w:pPr>
        <w:ind w:left="520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900"/>
        <w:spacing w:after="0"/>
        <w:tabs>
          <w:tab w:leader="none" w:pos="5600" w:val="left"/>
        </w:tabs>
        <w:rPr>
          <w:sz w:val="20"/>
          <w:szCs w:val="20"/>
          <w:color w:val="auto"/>
        </w:rPr>
      </w:pPr>
      <w:r>
        <w:rPr>
          <w:rFonts w:ascii="Courier New" w:cs="Courier New" w:eastAsia="Courier New" w:hAnsi="Courier New"/>
          <w:sz w:val="17"/>
          <w:szCs w:val="17"/>
          <w:color w:val="auto"/>
        </w:rPr>
        <w:t>Name:</w:t>
        <w:tab/>
        <w:t>David A. Levin</w:t>
      </w:r>
    </w:p>
    <w:p>
      <w:pPr>
        <w:spacing w:after="0" w:line="4" w:lineRule="exact"/>
        <w:rPr>
          <w:sz w:val="20"/>
          <w:szCs w:val="20"/>
          <w:color w:val="auto"/>
        </w:rPr>
      </w:pPr>
    </w:p>
    <w:p>
      <w:pPr>
        <w:ind w:left="4900"/>
        <w:spacing w:after="0"/>
        <w:rPr>
          <w:sz w:val="20"/>
          <w:szCs w:val="20"/>
          <w:color w:val="auto"/>
        </w:rPr>
      </w:pPr>
      <w:r>
        <w:rPr>
          <w:rFonts w:ascii="Courier New" w:cs="Courier New" w:eastAsia="Courier New" w:hAnsi="Courier New"/>
          <w:sz w:val="17"/>
          <w:szCs w:val="17"/>
          <w:color w:val="auto"/>
        </w:rPr>
        <w:t>Title: President and Chief</w:t>
      </w:r>
    </w:p>
    <w:p>
      <w:pPr>
        <w:spacing w:after="0" w:line="4" w:lineRule="exact"/>
        <w:rPr>
          <w:sz w:val="20"/>
          <w:szCs w:val="20"/>
          <w:color w:val="auto"/>
        </w:rPr>
      </w:pPr>
    </w:p>
    <w:p>
      <w:pPr>
        <w:ind w:left="5620"/>
        <w:spacing w:after="0"/>
        <w:rPr>
          <w:sz w:val="20"/>
          <w:szCs w:val="20"/>
          <w:color w:val="auto"/>
        </w:rPr>
      </w:pPr>
      <w:r>
        <w:rPr>
          <w:rFonts w:ascii="Courier New" w:cs="Courier New" w:eastAsia="Courier New" w:hAnsi="Courier New"/>
          <w:sz w:val="17"/>
          <w:szCs w:val="17"/>
          <w:color w:val="auto"/>
        </w:rPr>
        <w:t>Executive Officer</w:t>
      </w:r>
    </w:p>
    <w:p>
      <w:pPr>
        <w:sectPr>
          <w:pgSz w:w="11900" w:h="16838" w:orient="portrait"/>
          <w:cols w:equalWidth="0" w:num="1">
            <w:col w:w="10219"/>
          </w:cols>
          <w:pgMar w:left="240" w:top="703" w:right="1440" w:bottom="1440" w:gutter="0" w:footer="0" w:header="0"/>
        </w:sectPr>
      </w:pPr>
    </w:p>
    <w:bookmarkStart w:id="4" w:name="page5"/>
    <w:bookmarkEnd w:id="4"/>
    <w:p>
      <w:pPr>
        <w:jc w:val="center"/>
        <w:ind w:right="2059"/>
        <w:spacing w:after="0"/>
        <w:rPr>
          <w:sz w:val="20"/>
          <w:szCs w:val="20"/>
          <w:color w:val="auto"/>
        </w:rPr>
      </w:pPr>
      <w:r>
        <w:rPr>
          <w:rFonts w:ascii="Courier New" w:cs="Courier New" w:eastAsia="Courier New" w:hAnsi="Courier New"/>
          <w:sz w:val="17"/>
          <w:szCs w:val="17"/>
          <w:color w:val="auto"/>
        </w:rPr>
        <w:t>Casual Male Retail Group, Inc.</w:t>
      </w:r>
    </w:p>
    <w:p>
      <w:pPr>
        <w:spacing w:after="0" w:line="4" w:lineRule="exact"/>
        <w:rPr>
          <w:sz w:val="20"/>
          <w:szCs w:val="20"/>
          <w:color w:val="auto"/>
        </w:rPr>
      </w:pPr>
    </w:p>
    <w:p>
      <w:pPr>
        <w:jc w:val="center"/>
        <w:ind w:right="1959"/>
        <w:spacing w:after="0"/>
        <w:rPr>
          <w:sz w:val="20"/>
          <w:szCs w:val="20"/>
          <w:color w:val="auto"/>
        </w:rPr>
      </w:pPr>
      <w:r>
        <w:rPr>
          <w:rFonts w:ascii="Courier New" w:cs="Courier New" w:eastAsia="Courier New" w:hAnsi="Courier New"/>
          <w:sz w:val="17"/>
          <w:szCs w:val="17"/>
          <w:color w:val="auto"/>
        </w:rPr>
        <w:t>Certification Pursuant to Section 302 of the Sarbanes-Oxley Act of 2002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David A. Levin, certify that:</w:t>
      </w:r>
    </w:p>
    <w:p>
      <w:pPr>
        <w:spacing w:after="0" w:line="201" w:lineRule="exact"/>
        <w:rPr>
          <w:sz w:val="20"/>
          <w:szCs w:val="20"/>
          <w:color w:val="auto"/>
        </w:rPr>
      </w:pPr>
    </w:p>
    <w:p>
      <w:pPr>
        <w:ind w:left="1020" w:right="2659" w:hanging="505"/>
        <w:spacing w:after="0" w:line="243" w:lineRule="auto"/>
        <w:tabs>
          <w:tab w:leader="none" w:pos="10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report on Form 10-K/A of Casual Male Retail Group, Inc. (formerly Designs, Inc.);</w:t>
      </w:r>
    </w:p>
    <w:p>
      <w:pPr>
        <w:spacing w:after="0" w:line="198" w:lineRule="exact"/>
        <w:rPr>
          <w:rFonts w:ascii="Courier New" w:cs="Courier New" w:eastAsia="Courier New" w:hAnsi="Courier New"/>
          <w:sz w:val="17"/>
          <w:szCs w:val="17"/>
          <w:color w:val="auto"/>
        </w:rPr>
      </w:pPr>
    </w:p>
    <w:p>
      <w:pPr>
        <w:ind w:left="1020" w:right="2159" w:hanging="505"/>
        <w:spacing w:after="0" w:line="244" w:lineRule="auto"/>
        <w:tabs>
          <w:tab w:leader="none" w:pos="10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98" w:lineRule="exact"/>
        <w:rPr>
          <w:rFonts w:ascii="Courier New" w:cs="Courier New" w:eastAsia="Courier New" w:hAnsi="Courier New"/>
          <w:sz w:val="17"/>
          <w:szCs w:val="17"/>
          <w:color w:val="auto"/>
        </w:rPr>
      </w:pPr>
    </w:p>
    <w:p>
      <w:pPr>
        <w:ind w:left="1020" w:right="2059" w:hanging="505"/>
        <w:spacing w:after="0" w:line="244" w:lineRule="auto"/>
        <w:tabs>
          <w:tab w:leader="none" w:pos="10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September 11, 2002</w:t>
      </w:r>
    </w:p>
    <w:p>
      <w:pPr>
        <w:spacing w:after="0" w:line="200" w:lineRule="exact"/>
        <w:rPr>
          <w:sz w:val="20"/>
          <w:szCs w:val="20"/>
          <w:color w:val="auto"/>
        </w:rPr>
      </w:pPr>
    </w:p>
    <w:p>
      <w:pPr>
        <w:spacing w:after="0" w:line="392"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 David A. Levin</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David A. Levin</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Chief Executive Officer</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(Principal Executive Officer)</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 Dennis R. Hernreich, certify that:</w:t>
      </w:r>
    </w:p>
    <w:p>
      <w:pPr>
        <w:spacing w:after="0" w:line="201" w:lineRule="exact"/>
        <w:rPr>
          <w:sz w:val="20"/>
          <w:szCs w:val="20"/>
          <w:color w:val="auto"/>
        </w:rPr>
      </w:pPr>
    </w:p>
    <w:p>
      <w:pPr>
        <w:ind w:left="1020" w:right="2659" w:hanging="505"/>
        <w:spacing w:after="0" w:line="243" w:lineRule="auto"/>
        <w:tabs>
          <w:tab w:leader="none" w:pos="10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I have reviewed this report on Form 10-K/A of Casual Male Retail Group, Inc. (formerly Designs, Inc.);</w:t>
      </w:r>
    </w:p>
    <w:p>
      <w:pPr>
        <w:spacing w:after="0" w:line="198" w:lineRule="exact"/>
        <w:rPr>
          <w:rFonts w:ascii="Courier New" w:cs="Courier New" w:eastAsia="Courier New" w:hAnsi="Courier New"/>
          <w:sz w:val="17"/>
          <w:szCs w:val="17"/>
          <w:color w:val="auto"/>
        </w:rPr>
      </w:pPr>
    </w:p>
    <w:p>
      <w:pPr>
        <w:ind w:left="1020" w:right="2159" w:hanging="505"/>
        <w:spacing w:after="0" w:line="244" w:lineRule="auto"/>
        <w:tabs>
          <w:tab w:leader="none" w:pos="10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and</w:t>
      </w:r>
    </w:p>
    <w:p>
      <w:pPr>
        <w:spacing w:after="0" w:line="198" w:lineRule="exact"/>
        <w:rPr>
          <w:rFonts w:ascii="Courier New" w:cs="Courier New" w:eastAsia="Courier New" w:hAnsi="Courier New"/>
          <w:sz w:val="17"/>
          <w:szCs w:val="17"/>
          <w:color w:val="auto"/>
        </w:rPr>
      </w:pPr>
    </w:p>
    <w:p>
      <w:pPr>
        <w:ind w:left="1020" w:right="2059" w:hanging="505"/>
        <w:spacing w:after="0" w:line="244" w:lineRule="auto"/>
        <w:tabs>
          <w:tab w:leader="none" w:pos="10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September 11, 2002</w:t>
      </w:r>
    </w:p>
    <w:p>
      <w:pPr>
        <w:spacing w:after="0" w:line="200" w:lineRule="exact"/>
        <w:rPr>
          <w:sz w:val="20"/>
          <w:szCs w:val="20"/>
          <w:color w:val="auto"/>
        </w:rPr>
      </w:pPr>
    </w:p>
    <w:p>
      <w:pPr>
        <w:spacing w:after="0" w:line="392"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/s/ Dennis R. Hernreich</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Dennis R. Hernreich</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Chief Financial Officer</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(Principal Financial and Accounting</w:t>
      </w:r>
    </w:p>
    <w:p>
      <w:pPr>
        <w:spacing w:after="0" w:line="4" w:lineRule="exact"/>
        <w:rPr>
          <w:sz w:val="20"/>
          <w:szCs w:val="20"/>
          <w:color w:val="auto"/>
        </w:rPr>
      </w:pPr>
    </w:p>
    <w:p>
      <w:pPr>
        <w:ind w:left="4280"/>
        <w:spacing w:after="0"/>
        <w:rPr>
          <w:sz w:val="20"/>
          <w:szCs w:val="20"/>
          <w:color w:val="auto"/>
        </w:rPr>
      </w:pPr>
      <w:r>
        <w:rPr>
          <w:rFonts w:ascii="Courier New" w:cs="Courier New" w:eastAsia="Courier New" w:hAnsi="Courier New"/>
          <w:sz w:val="17"/>
          <w:szCs w:val="17"/>
          <w:color w:val="auto"/>
        </w:rPr>
        <w:t>Officer)</w:t>
      </w:r>
    </w:p>
    <w:sectPr>
      <w:pgSz w:w="11900" w:h="16838" w:orient="portrait"/>
      <w:cols w:equalWidth="0" w:num="1">
        <w:col w:w="10219"/>
      </w:cols>
      <w:pgMar w:left="240" w:top="70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2019-12-12T11:04:57Z</dcterms:created>
  <dcterms:modified xsi:type="dcterms:W3CDTF">2019-12-12T11:04:57Z</dcterms:modified>
</cp:coreProperties>
</file>