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560"/>
        <w:spacing w:after="0"/>
        <w:rPr>
          <w:sz w:val="20"/>
          <w:szCs w:val="20"/>
          <w:color w:val="auto"/>
        </w:rPr>
      </w:pPr>
      <w:r>
        <w:rPr>
          <w:rFonts w:ascii="Arial" w:cs="Arial" w:eastAsia="Arial" w:hAnsi="Arial"/>
          <w:sz w:val="22"/>
          <w:szCs w:val="22"/>
          <w:color w:val="auto"/>
        </w:rPr>
        <w:t>_________________________</w:t>
      </w:r>
    </w:p>
    <w:p>
      <w:pPr>
        <w:spacing w:after="0" w:line="168"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34" w:lineRule="exact"/>
        <w:rPr>
          <w:sz w:val="24"/>
          <w:szCs w:val="24"/>
          <w:color w:val="auto"/>
        </w:rPr>
      </w:pPr>
    </w:p>
    <w:p>
      <w:pPr>
        <w:ind w:left="4560"/>
        <w:spacing w:after="0"/>
        <w:rPr>
          <w:sz w:val="20"/>
          <w:szCs w:val="20"/>
          <w:color w:val="auto"/>
        </w:rPr>
      </w:pPr>
      <w:r>
        <w:rPr>
          <w:rFonts w:ascii="Arial" w:cs="Arial" w:eastAsia="Arial" w:hAnsi="Arial"/>
          <w:sz w:val="22"/>
          <w:szCs w:val="22"/>
          <w:color w:val="auto"/>
        </w:rPr>
        <w:t>_________________________</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15(d) OF THE SECURITIES EXCHANGE ACT OF 1934</w:t>
      </w:r>
    </w:p>
    <w:p>
      <w:pPr>
        <w:spacing w:after="0" w:line="13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158"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540" w:hanging="532"/>
        <w:spacing w:after="0"/>
        <w:tabs>
          <w:tab w:leader="none" w:pos="54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15(d) OF THE SECURITIES EXCHANGE ACT OF 1934</w:t>
      </w:r>
    </w:p>
    <w:p>
      <w:pPr>
        <w:spacing w:after="0" w:line="159"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For the transition period from _________ to ____________</w:t>
      </w:r>
    </w:p>
    <w:p>
      <w:pPr>
        <w:spacing w:after="0" w:line="158"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Commission File Number 01-34219</w:t>
      </w:r>
    </w:p>
    <w:p>
      <w:pPr>
        <w:spacing w:after="0" w:line="114" w:lineRule="exact"/>
        <w:rPr>
          <w:sz w:val="24"/>
          <w:szCs w:val="24"/>
          <w:color w:val="auto"/>
        </w:rPr>
      </w:pPr>
    </w:p>
    <w:p>
      <w:pPr>
        <w:ind w:left="4560"/>
        <w:spacing w:after="0"/>
        <w:rPr>
          <w:sz w:val="20"/>
          <w:szCs w:val="20"/>
          <w:color w:val="auto"/>
        </w:rPr>
      </w:pPr>
      <w:r>
        <w:rPr>
          <w:rFonts w:ascii="Arial" w:cs="Arial" w:eastAsia="Arial" w:hAnsi="Arial"/>
          <w:sz w:val="22"/>
          <w:szCs w:val="22"/>
          <w:color w:val="auto"/>
        </w:rPr>
        <w:t>_________________________</w:t>
      </w:r>
    </w:p>
    <w:p>
      <w:pPr>
        <w:spacing w:after="0" w:line="205"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DESTINATION XL GROUP, INC. 401(K) SALARIED SAVINGS PLAN</w:t>
      </w:r>
    </w:p>
    <w:p>
      <w:pPr>
        <w:spacing w:after="0" w:line="34" w:lineRule="exact"/>
        <w:rPr>
          <w:sz w:val="24"/>
          <w:szCs w:val="24"/>
          <w:color w:val="auto"/>
        </w:rPr>
      </w:pPr>
    </w:p>
    <w:p>
      <w:pPr>
        <w:jc w:val="center"/>
        <w:ind w:right="-539"/>
        <w:spacing w:after="0"/>
        <w:rPr>
          <w:sz w:val="20"/>
          <w:szCs w:val="20"/>
          <w:color w:val="auto"/>
        </w:rPr>
      </w:pPr>
      <w:r>
        <w:rPr>
          <w:rFonts w:ascii="Arial" w:cs="Arial" w:eastAsia="Arial" w:hAnsi="Arial"/>
          <w:sz w:val="18"/>
          <w:szCs w:val="18"/>
          <w:i w:val="1"/>
          <w:iCs w:val="1"/>
          <w:color w:val="auto"/>
        </w:rPr>
        <w:t>(Full title of the plan)</w:t>
      </w:r>
    </w:p>
    <w:p>
      <w:pPr>
        <w:spacing w:after="0" w:line="196"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DESTINATION XL GROUP, INC.</w:t>
      </w:r>
    </w:p>
    <w:p>
      <w:pPr>
        <w:spacing w:after="0" w:line="4"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555 Turnpike Street</w:t>
      </w:r>
    </w:p>
    <w:p>
      <w:pPr>
        <w:jc w:val="center"/>
        <w:ind w:right="-539"/>
        <w:spacing w:after="0" w:line="230" w:lineRule="auto"/>
        <w:rPr>
          <w:sz w:val="20"/>
          <w:szCs w:val="20"/>
          <w:color w:val="auto"/>
        </w:rPr>
      </w:pPr>
      <w:r>
        <w:rPr>
          <w:rFonts w:ascii="Arial" w:cs="Arial" w:eastAsia="Arial" w:hAnsi="Arial"/>
          <w:sz w:val="22"/>
          <w:szCs w:val="22"/>
          <w:b w:val="1"/>
          <w:bCs w:val="1"/>
          <w:color w:val="auto"/>
        </w:rPr>
        <w:t>Canton, Massachusetts 02021</w:t>
      </w:r>
    </w:p>
    <w:p>
      <w:pPr>
        <w:jc w:val="center"/>
        <w:ind w:right="-539"/>
        <w:spacing w:after="0" w:line="231" w:lineRule="auto"/>
        <w:rPr>
          <w:sz w:val="20"/>
          <w:szCs w:val="20"/>
          <w:color w:val="auto"/>
        </w:rPr>
      </w:pPr>
      <w:r>
        <w:rPr>
          <w:rFonts w:ascii="Arial" w:cs="Arial" w:eastAsia="Arial" w:hAnsi="Arial"/>
          <w:sz w:val="22"/>
          <w:szCs w:val="22"/>
          <w:i w:val="1"/>
          <w:iCs w:val="1"/>
          <w:color w:val="auto"/>
        </w:rPr>
        <w:t>(Name of issuer of the securities held pursuant to the plan and the address</w:t>
      </w:r>
    </w:p>
    <w:p>
      <w:pPr>
        <w:jc w:val="center"/>
        <w:ind w:right="-539"/>
        <w:spacing w:after="0"/>
        <w:rPr>
          <w:sz w:val="20"/>
          <w:szCs w:val="20"/>
          <w:color w:val="auto"/>
        </w:rPr>
      </w:pPr>
      <w:r>
        <w:rPr>
          <w:rFonts w:ascii="Arial" w:cs="Arial" w:eastAsia="Arial" w:hAnsi="Arial"/>
          <w:sz w:val="22"/>
          <w:szCs w:val="22"/>
          <w:i w:val="1"/>
          <w:i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301" w:right="779" w:bottom="1440" w:gutter="0" w:footer="0" w:header="0"/>
        </w:sectPr>
      </w:pPr>
    </w:p>
    <w:bookmarkStart w:id="1" w:name="page2"/>
    <w:bookmarkEnd w:id="1"/>
    <w:p>
      <w:pPr>
        <w:ind w:left="3660"/>
        <w:spacing w:after="0"/>
        <w:rPr>
          <w:sz w:val="20"/>
          <w:szCs w:val="20"/>
          <w:color w:val="auto"/>
        </w:rPr>
      </w:pPr>
      <w:r>
        <w:rPr>
          <w:rFonts w:ascii="Arial" w:cs="Arial" w:eastAsia="Arial" w:hAnsi="Arial"/>
          <w:sz w:val="18"/>
          <w:szCs w:val="18"/>
          <w:color w:val="auto"/>
        </w:rPr>
        <w:t>Destination XL Group, Inc. 401(k) Salaried Savings Plan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Financial Statements and Supplemental Schedule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 Ended December 31,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940" w:type="dxa"/>
            <w:vAlign w:val="bottom"/>
            <w:gridSpan w:val="4"/>
          </w:tcPr>
          <w:p>
            <w:pPr>
              <w:ind w:left="640"/>
              <w:spacing w:after="0"/>
              <w:rPr>
                <w:sz w:val="20"/>
                <w:szCs w:val="20"/>
                <w:color w:val="auto"/>
              </w:rPr>
            </w:pPr>
            <w:r>
              <w:rPr>
                <w:rFonts w:ascii="Arial" w:cs="Arial" w:eastAsia="Arial" w:hAnsi="Arial"/>
                <w:sz w:val="18"/>
                <w:szCs w:val="18"/>
                <w:b w:val="1"/>
                <w:bCs w:val="1"/>
                <w:color w:val="auto"/>
              </w:rPr>
              <w:t>Table of Contents</w:t>
            </w:r>
          </w:p>
        </w:tc>
        <w:tc>
          <w:tcPr>
            <w:tcW w:w="2240" w:type="dxa"/>
            <w:vAlign w:val="bottom"/>
          </w:tcPr>
          <w:p>
            <w:pPr>
              <w:spacing w:after="0"/>
              <w:rPr>
                <w:sz w:val="20"/>
                <w:szCs w:val="20"/>
                <w:color w:val="auto"/>
              </w:rPr>
            </w:pPr>
          </w:p>
        </w:tc>
      </w:tr>
      <w:tr>
        <w:trPr>
          <w:trHeight w:val="419"/>
        </w:trPr>
        <w:tc>
          <w:tcPr>
            <w:tcW w:w="916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45"/>
        </w:trPr>
        <w:tc>
          <w:tcPr>
            <w:tcW w:w="916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 as of December 31, 2014 and 2013</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45"/>
        </w:trPr>
        <w:tc>
          <w:tcPr>
            <w:tcW w:w="916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 of Changes in Net Assets Available for Benefits for the Year Ended December 31, 2014</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45"/>
        </w:trPr>
        <w:tc>
          <w:tcPr>
            <w:tcW w:w="7080" w:type="dxa"/>
            <w:vAlign w:val="bottom"/>
            <w:tcBorders>
              <w:top w:val="single" w:sz="8" w:color="0000EE"/>
            </w:tcBorders>
            <w:gridSpan w:val="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208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45"/>
        </w:trPr>
        <w:tc>
          <w:tcPr>
            <w:tcW w:w="2160" w:type="dxa"/>
            <w:vAlign w:val="bottom"/>
            <w:tcBorders>
              <w:top w:val="single" w:sz="8" w:color="0000EE"/>
            </w:tcBorders>
            <w:gridSpan w:val="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Supplemental Schedule</w:t>
              </w:r>
            </w:hyperlink>
          </w:p>
        </w:tc>
        <w:tc>
          <w:tcPr>
            <w:tcW w:w="7000" w:type="dxa"/>
            <w:vAlign w:val="bottom"/>
            <w:gridSpan w:val="5"/>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1700" w:type="dxa"/>
            <w:vAlign w:val="bottom"/>
            <w:shd w:val="clear" w:color="auto" w:fill="0000EE"/>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45"/>
        </w:trPr>
        <w:tc>
          <w:tcPr>
            <w:tcW w:w="9160" w:type="dxa"/>
            <w:vAlign w:val="bottom"/>
            <w:gridSpan w:val="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Schedule H, Line 4i – Schedule of Assets (Held at End of Year) as of December 31, 2014</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ectPr>
          <w:pgSz w:w="11900" w:h="16838" w:orient="portrait"/>
          <w:cols w:equalWidth="0" w:num="1">
            <w:col w:w="11400"/>
          </w:cols>
          <w:pgMar w:left="240" w:top="139"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Salaried Savings Plan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Destination XL Group, Inc. 401(k) Salaried Savings Plan (the “Plan”) as of December 31, 2014 and 2013, and the related statement of changes in net assets available for benefits for the year ended December 31, 2014. These financial statements are the responsibility of the Plan’s management. Our responsibility is to express an opinion on these financial statements based on our audits.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2014 and 2013, and the changes in net assets available for benefits for the year ended December 31, 2014, in conformity with accounting principles generally accepted in the United States of America.</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supplemental information in the accompanying Schedule of Assets (Held at End of Year) as of December 31, 2014 has been subjected to audit procedures performed in conjunction with the audit of the Plan’s financial statements. The supplemental information is presented for the purpose of additional analysis and is not a required part of the financial statements but includes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have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basic financial statements taken as a whole.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CPAs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New York Practice of Mayer Hoffman McCann P.C.)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25, 2015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5" w:right="239" w:bottom="1440" w:gutter="0" w:footer="0" w:header="0"/>
        </w:sectPr>
      </w:pPr>
    </w:p>
    <w:bookmarkStart w:id="3" w:name="page4"/>
    <w:bookmarkEnd w:id="3"/>
    <w:p>
      <w:pPr>
        <w:ind w:left="3660"/>
        <w:spacing w:after="0"/>
        <w:rPr>
          <w:sz w:val="20"/>
          <w:szCs w:val="20"/>
          <w:color w:val="auto"/>
        </w:rPr>
      </w:pPr>
      <w:r>
        <w:rPr>
          <w:rFonts w:ascii="Arial" w:cs="Arial" w:eastAsia="Arial" w:hAnsi="Arial"/>
          <w:sz w:val="18"/>
          <w:szCs w:val="18"/>
          <w:color w:val="auto"/>
        </w:rPr>
        <w:t>Destination XL Group, Inc. 401(k) Salaried Savings Plan</w:t>
      </w:r>
    </w:p>
    <w:p>
      <w:pPr>
        <w:spacing w:after="0" w:line="11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Statements of Net Assets Available for Benefits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2014 and 2013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Borders>
              <w:bottom w:val="single" w:sz="8" w:color="CFF0FC"/>
            </w:tcBorders>
          </w:tcPr>
          <w:p>
            <w:pPr>
              <w:spacing w:after="0"/>
              <w:rPr>
                <w:sz w:val="14"/>
                <w:szCs w:val="14"/>
                <w:color w:val="auto"/>
              </w:rPr>
            </w:pPr>
          </w:p>
        </w:tc>
        <w:tc>
          <w:tcPr>
            <w:tcW w:w="18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Investments, at fair value (Notes 3, 4 and 5)</w:t>
            </w:r>
          </w:p>
        </w:tc>
        <w:tc>
          <w:tcPr>
            <w:tcW w:w="2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39,386,168</w:t>
            </w:r>
          </w:p>
        </w:tc>
        <w:tc>
          <w:tcPr>
            <w:tcW w:w="2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36,177,255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0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Receivables:</w:t>
            </w:r>
          </w:p>
        </w:tc>
        <w:tc>
          <w:tcPr>
            <w:tcW w:w="1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360"/>
              <w:spacing w:after="0"/>
              <w:rPr>
                <w:sz w:val="20"/>
                <w:szCs w:val="20"/>
                <w:color w:val="auto"/>
              </w:rPr>
            </w:pPr>
            <w:r>
              <w:rPr>
                <w:rFonts w:ascii="Arial" w:cs="Arial" w:eastAsia="Arial" w:hAnsi="Arial"/>
                <w:sz w:val="18"/>
                <w:szCs w:val="18"/>
                <w:color w:val="auto"/>
              </w:rPr>
              <w:t>Employer contributions</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1,201,112</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1,170,977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Notes receivable from participants</w:t>
            </w:r>
          </w:p>
        </w:tc>
        <w:tc>
          <w:tcPr>
            <w:tcW w:w="18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955,723</w:t>
            </w:r>
          </w:p>
        </w:tc>
        <w:tc>
          <w:tcPr>
            <w:tcW w:w="2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794,878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2,156,835</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1,965,855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Total assets reflecting investments at fair value</w:t>
            </w:r>
          </w:p>
        </w:tc>
        <w:tc>
          <w:tcPr>
            <w:tcW w:w="18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41,543,003</w:t>
            </w:r>
          </w:p>
        </w:tc>
        <w:tc>
          <w:tcPr>
            <w:tcW w:w="2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38,143,110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6080" w:type="dxa"/>
            <w:vAlign w:val="bottom"/>
          </w:tcPr>
          <w:p>
            <w:pPr>
              <w:ind w:left="360"/>
              <w:spacing w:after="0"/>
              <w:rPr>
                <w:sz w:val="20"/>
                <w:szCs w:val="20"/>
                <w:color w:val="auto"/>
              </w:rPr>
            </w:pPr>
            <w:r>
              <w:rPr>
                <w:rFonts w:ascii="Arial" w:cs="Arial" w:eastAsia="Arial" w:hAnsi="Arial"/>
                <w:sz w:val="18"/>
                <w:szCs w:val="18"/>
                <w:color w:val="auto"/>
              </w:rPr>
              <w:t>Adjustment from fair value to contract value for fully</w:t>
            </w: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ind w:left="500"/>
              <w:spacing w:after="0"/>
              <w:rPr>
                <w:sz w:val="20"/>
                <w:szCs w:val="20"/>
                <w:color w:val="auto"/>
              </w:rPr>
            </w:pPr>
            <w:r>
              <w:rPr>
                <w:rFonts w:ascii="Arial" w:cs="Arial" w:eastAsia="Arial" w:hAnsi="Arial"/>
                <w:sz w:val="18"/>
                <w:szCs w:val="18"/>
                <w:color w:val="auto"/>
              </w:rPr>
              <w:t>benefit-responsive investment contracts</w:t>
            </w:r>
          </w:p>
        </w:tc>
        <w:tc>
          <w:tcPr>
            <w:tcW w:w="1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(80,132)</w:t>
            </w:r>
          </w:p>
        </w:tc>
        <w:tc>
          <w:tcPr>
            <w:tcW w:w="4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(84,549)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Net assets available for benefits</w:t>
            </w:r>
          </w:p>
        </w:tc>
        <w:tc>
          <w:tcPr>
            <w:tcW w:w="2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41,462,871</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38,058,561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CFF0FC"/>
            </w:tcBorders>
          </w:tcPr>
          <w:p>
            <w:pPr>
              <w:spacing w:after="0" w:line="20" w:lineRule="exact"/>
              <w:rPr>
                <w:sz w:val="1"/>
                <w:szCs w:val="1"/>
                <w:color w:val="auto"/>
              </w:rPr>
            </w:pPr>
          </w:p>
        </w:tc>
        <w:tc>
          <w:tcPr>
            <w:tcW w:w="18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9" w:right="239" w:bottom="1440" w:gutter="0" w:footer="0" w:header="0"/>
        </w:sectPr>
      </w:pPr>
    </w:p>
    <w:bookmarkStart w:id="4" w:name="page5"/>
    <w:bookmarkEnd w:id="4"/>
    <w:p>
      <w:pPr>
        <w:ind w:left="3660"/>
        <w:spacing w:after="0"/>
        <w:rPr>
          <w:sz w:val="20"/>
          <w:szCs w:val="20"/>
          <w:color w:val="auto"/>
        </w:rPr>
      </w:pPr>
      <w:r>
        <w:rPr>
          <w:rFonts w:ascii="Arial" w:cs="Arial" w:eastAsia="Arial" w:hAnsi="Arial"/>
          <w:sz w:val="18"/>
          <w:szCs w:val="18"/>
          <w:color w:val="auto"/>
        </w:rPr>
        <w:t>Destination XL Group, Inc. 401(k) Salaried Savings Plan</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Statement of Changes in Net Assets Available for Benefits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Additions:</w:t>
            </w:r>
          </w:p>
        </w:tc>
        <w:tc>
          <w:tcPr>
            <w:tcW w:w="5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944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Dividend income</w:t>
            </w: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2,374,455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9440" w:type="dxa"/>
            <w:vAlign w:val="bottom"/>
            <w:gridSpan w:val="2"/>
          </w:tcPr>
          <w:p>
            <w:pPr>
              <w:spacing w:after="0"/>
              <w:rPr>
                <w:sz w:val="20"/>
                <w:szCs w:val="20"/>
                <w:color w:val="auto"/>
              </w:rPr>
            </w:pPr>
            <w:r>
              <w:rPr>
                <w:rFonts w:ascii="Arial" w:cs="Arial" w:eastAsia="Arial" w:hAnsi="Arial"/>
                <w:sz w:val="18"/>
                <w:szCs w:val="18"/>
                <w:color w:val="auto"/>
              </w:rPr>
              <w:t>Interest income on notes receivable from participants</w:t>
            </w:r>
          </w:p>
        </w:tc>
        <w:tc>
          <w:tcPr>
            <w:tcW w:w="5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41,625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20" w:type="dxa"/>
            <w:vAlign w:val="bottom"/>
            <w:shd w:val="clear" w:color="auto" w:fill="CFF0FC"/>
          </w:tcPr>
          <w:p>
            <w:pPr>
              <w:spacing w:after="0"/>
              <w:rPr>
                <w:sz w:val="20"/>
                <w:szCs w:val="20"/>
                <w:color w:val="auto"/>
              </w:rPr>
            </w:pPr>
            <w:r>
              <w:rPr>
                <w:rFonts w:ascii="Arial" w:cs="Arial" w:eastAsia="Arial" w:hAnsi="Arial"/>
                <w:sz w:val="18"/>
                <w:szCs w:val="18"/>
                <w:color w:val="auto"/>
              </w:rPr>
              <w:t>Contributions:</w:t>
            </w:r>
          </w:p>
        </w:tc>
        <w:tc>
          <w:tcPr>
            <w:tcW w:w="5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tcPr>
          <w:p>
            <w:pPr>
              <w:ind w:left="360"/>
              <w:spacing w:after="0"/>
              <w:rPr>
                <w:sz w:val="20"/>
                <w:szCs w:val="20"/>
                <w:color w:val="auto"/>
              </w:rPr>
            </w:pPr>
            <w:r>
              <w:rPr>
                <w:rFonts w:ascii="Arial" w:cs="Arial" w:eastAsia="Arial" w:hAnsi="Arial"/>
                <w:sz w:val="18"/>
                <w:szCs w:val="18"/>
                <w:color w:val="auto"/>
              </w:rPr>
              <w:t>Participants</w:t>
            </w: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3,059,842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Employer</w:t>
            </w:r>
          </w:p>
        </w:tc>
        <w:tc>
          <w:tcPr>
            <w:tcW w:w="5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1,202,672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Rollovers</w:t>
            </w: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571,402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4,833,916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9440" w:type="dxa"/>
            <w:vAlign w:val="bottom"/>
            <w:gridSpan w:val="2"/>
          </w:tcPr>
          <w:p>
            <w:pPr>
              <w:spacing w:after="0"/>
              <w:rPr>
                <w:sz w:val="20"/>
                <w:szCs w:val="20"/>
                <w:color w:val="auto"/>
              </w:rPr>
            </w:pPr>
            <w:r>
              <w:rPr>
                <w:rFonts w:ascii="Arial" w:cs="Arial" w:eastAsia="Arial" w:hAnsi="Arial"/>
                <w:sz w:val="18"/>
                <w:szCs w:val="18"/>
                <w:color w:val="auto"/>
              </w:rPr>
              <w:t>Transfers into the Plan (Note 1)</w:t>
            </w:r>
          </w:p>
        </w:tc>
        <w:tc>
          <w:tcPr>
            <w:tcW w:w="5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197,461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additions</w:t>
            </w: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7,447,547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Deductions:</w:t>
            </w: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20" w:type="dxa"/>
            <w:vAlign w:val="bottom"/>
            <w:shd w:val="clear" w:color="auto" w:fill="CFF0FC"/>
          </w:tcPr>
          <w:p>
            <w:pPr>
              <w:spacing w:after="0"/>
              <w:rPr>
                <w:sz w:val="20"/>
                <w:szCs w:val="20"/>
                <w:color w:val="auto"/>
              </w:rPr>
            </w:pPr>
            <w:r>
              <w:rPr>
                <w:rFonts w:ascii="Arial" w:cs="Arial" w:eastAsia="Arial" w:hAnsi="Arial"/>
                <w:sz w:val="18"/>
                <w:szCs w:val="18"/>
                <w:color w:val="auto"/>
              </w:rPr>
              <w:t>Net depreciation in fair value of investments (Note 3)</w:t>
            </w:r>
          </w:p>
        </w:tc>
        <w:tc>
          <w:tcPr>
            <w:tcW w:w="5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294,532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Benefits paid to participants</w:t>
            </w: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3,320,544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shd w:val="clear" w:color="auto" w:fill="CFF0FC"/>
          </w:tcPr>
          <w:p>
            <w:pPr>
              <w:spacing w:after="0"/>
              <w:rPr>
                <w:sz w:val="20"/>
                <w:szCs w:val="20"/>
                <w:color w:val="auto"/>
              </w:rPr>
            </w:pPr>
            <w:r>
              <w:rPr>
                <w:rFonts w:ascii="Arial" w:cs="Arial" w:eastAsia="Arial" w:hAnsi="Arial"/>
                <w:sz w:val="18"/>
                <w:szCs w:val="18"/>
                <w:color w:val="auto"/>
              </w:rPr>
              <w:t>Transfers out of the Plan (Note 1)</w:t>
            </w:r>
          </w:p>
        </w:tc>
        <w:tc>
          <w:tcPr>
            <w:tcW w:w="5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398,579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Administrative Fees</w:t>
            </w: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shd w:val="clear" w:color="auto" w:fill="CFF0FC"/>
          </w:tcPr>
          <w:p>
            <w:pPr>
              <w:spacing w:after="0"/>
              <w:rPr>
                <w:sz w:val="20"/>
                <w:szCs w:val="20"/>
                <w:color w:val="auto"/>
              </w:rPr>
            </w:pPr>
            <w:r>
              <w:rPr>
                <w:rFonts w:ascii="Arial" w:cs="Arial" w:eastAsia="Arial" w:hAnsi="Arial"/>
                <w:sz w:val="18"/>
                <w:szCs w:val="18"/>
                <w:color w:val="auto"/>
              </w:rPr>
              <w:t>Total deductions</w:t>
            </w:r>
          </w:p>
        </w:tc>
        <w:tc>
          <w:tcPr>
            <w:tcW w:w="5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4,043,147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9440" w:type="dxa"/>
            <w:vAlign w:val="bottom"/>
            <w:gridSpan w:val="2"/>
          </w:tcPr>
          <w:p>
            <w:pPr>
              <w:spacing w:after="0"/>
              <w:rPr>
                <w:sz w:val="20"/>
                <w:szCs w:val="20"/>
                <w:color w:val="auto"/>
              </w:rPr>
            </w:pPr>
            <w:r>
              <w:rPr>
                <w:rFonts w:ascii="Arial" w:cs="Arial" w:eastAsia="Arial" w:hAnsi="Arial"/>
                <w:sz w:val="18"/>
                <w:szCs w:val="18"/>
                <w:color w:val="auto"/>
              </w:rPr>
              <w:t>Net increase</w:t>
            </w:r>
          </w:p>
        </w:tc>
        <w:tc>
          <w:tcPr>
            <w:tcW w:w="5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3,404,310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20" w:type="dxa"/>
            <w:vAlign w:val="bottom"/>
            <w:shd w:val="clear" w:color="auto" w:fill="CFF0FC"/>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5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38,058,561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944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end of year</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41,462,871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9"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Destination XL Group, Inc. 401(k) Salaried Savings Plan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description of Destination XL Group, Inc. 401(k) Salaried Savings Plan (the “Plan”) provides only general information. Participants should refer to the Plan document for a more complete description of the Plan’s provisions.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Plan is a defined contribution plan covering eligible employees of Destination XL Group, Inc. (the “Company”). The Plan is subject to the provisions of the Employee Retirement Income Security Act of 1974 (“ERISA”).</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Plan is administered by the Company’s Investment Committee (“Committee”), which is a committee comprised of members of management of the Company. The Committee has overall responsibility for the operation and administration of the Plan. The Committee, along with its investment advisors, has developed an investment policy to determine the appropriateness of the Plan’s investment offerings and monitors investment performance.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11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All salaried employees of the Company who have completed six months of employment and are at least 21 years of age are eligible to participate in the Plan. After completing age and service requirements, the employee can enter the Plan on the first day of any subsequent month.</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participants change positions at the Company, they may change from an hourly to salary status or vice versa. Assets transferred to the Destination XL Group, Inc. 401(k) Hourly Savings Plan during the year ended December 31, 2014 were $398,579. Assets transferred from the Destination XL Group, Inc. 401(k) Hourly Savings Plan during the year ended December 31, 2014 were $197,461.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11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Each year, participants may contribute up to 80% of annual compensation as defined in the Plan. The participants can elect their contributions to be on a before tax and/or after tax basis. Participants may also contribute amounts representing distributions from other qualified defined benefit or defined contribution plans. Additionally, participants who have attained age 50 before the end of the plan year are eligible to make catch-up contributions. Contributions are subject to certain Internal Revenue Code (“Code”) limitations.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39"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color w:val="auto"/>
        </w:rPr>
        <w:t>Destination XL Group, Inc. 401(k) Salaried Savings Plan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Safe Harbor Matching provisions permitted under the Pension Protection Act of 2006, the Company matches 100% of the participant’s elective deferral for the first 1% of eligible compensation plus 50% of the participant’s elective deferral for the next 5% of eligible compensation. Additional amounts may be contributed at the discretion of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Automatic Enrollment</w:t>
      </w:r>
    </w:p>
    <w:p>
      <w:pPr>
        <w:spacing w:after="0" w:line="117"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Each employee who has satisfied the eligibility requirements shall be automatically enrolled and shall have an amount equal to 5% of their compensation automatically deferred unless the employee affirmatively elects a different elective deferral contribution percentage (including a zero percent</w:t>
      </w:r>
    </w:p>
    <w:p>
      <w:pPr>
        <w:ind w:right="120"/>
        <w:spacing w:after="0" w:line="261" w:lineRule="auto"/>
        <w:rPr>
          <w:sz w:val="20"/>
          <w:szCs w:val="20"/>
          <w:color w:val="auto"/>
        </w:rPr>
      </w:pPr>
      <w:r>
        <w:rPr>
          <w:rFonts w:ascii="Arial" w:cs="Arial" w:eastAsia="Arial" w:hAnsi="Arial"/>
          <w:sz w:val="18"/>
          <w:szCs w:val="18"/>
          <w:color w:val="auto"/>
        </w:rPr>
        <w:t>election). Unless an eligible employee affirmatively elects not to contribute or changes his or her deferral rate, the pre-tax deferral will increase annually by 1% not to exceed 10%.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Participants’ Accounts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Each participant’s account is credited with the participant’s contributions, the Company’s matching and discretionary contribution, Plan earnings, and charged with an allocation of Plan expenses. The Plan expenses are divided equally to all participants. The benefits to which a participant is entitled are the benefits that can be provided from the participant’s vested account.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Participants are immediately vested in their contributions plus actual earnings thereon. Vesting in the Company contribution portion of their accounts plus actual earnings thereon, is based on each participant’s years of continuous service. A participant is 100% vested after two years of credited service.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Forfeitures</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Amounts forfeited under the Plan are used to reduce future employer contributions and administrative expenses. At December 31, 2014 and 2013, forfeited non-vested accounts totaled $75,625 and $48,608 respectively. In March 2015, $89,100 was used to reduce employer contributions.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39" w:right="2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Destination XL Group, Inc. 401(k) Salaried Savings Plan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Options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Upon enrollment in the Plan, participants may direct their elective contribution and Company contributions into various investment options offered by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Participants may borrow the lesser of $50,000 reduced by the individual’s highest outstanding loan balance during the preceding twelve months or 50% of the individual’s vested balance with a minimum of $1,000 per loan. Loans are secured by the balance in the participant’s account and bear interest at rates which are commensurate with local prevailing rates as determined by the Plan Administrator at the inception of the loan (currently at prime rate plus 1.5%). Loan terms range from one to five years unless the loan is used to purchase a primary residence, in which case the loan may be repaid over a ten-year period. Other restrictions, as specified in the Plan agreement, may apply to a participant’s loan transaction. Principal and interest are paid ratably through payroll deductions.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Distributions can be made if requested due to disability, retirement, or termination of employment. Upon termination of service for any reason, a participant may receive a lump-sum amount equal to the value of the participant’s vested interest in his or her account, if the vested interest is $5,000 or less. If the participant’s vested interest is over $5,000, the participant may elect to receive payment in a lump-sum amount or installments paid over a certain number of years selected by the participant.</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Beneficiaries may request a distribution of the vested account balance in the event of death. The account balance will continue to increase or decrease, as appropriate, based on the investment returns until it is distributed.</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distribution can be deferred to a later date, however, it cannot be postponed if the vested account balance is $5,000 or less; in which case the Plan Administrator will direct the Trustee that any amount exceeding $1,000 be distributed to an Individual Retirement Account or Annuity (“IRA”). If the vested account balance is $1,000 or less, the Plan Administrator will direct the Trustee to distribute it as a lump sum distribution without the participant’s consent. Prior to such distribution, participants still have the right to request that the amount be distributed directly to them in the form of a lump sum payment 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9"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Destination XL Group, Inc. 401(k) Salaried Savings Plan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to request that it be rolled-over to a different IRA provider or another retirement plan eligible to receive rollover contributions. If the participant fails to request a different treatment of an automatic distribution under the Plan’s cash-out provision, the distribution will be paid over to an IRA provider chosen by the Plan Administrator and invested in a product designed to preserve the principal of that distribution while still providing a reasonable rate of return and preserving liquidity. The fees assessed against this newly established IRA by its provider will be paid by the participant.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Termination</w:t>
      </w:r>
    </w:p>
    <w:p>
      <w:pPr>
        <w:spacing w:after="0" w:line="11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vested in their accounts.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 </w:t>
      </w:r>
      <w:r>
        <w:rPr>
          <w:rFonts w:ascii="Arial" w:cs="Arial" w:eastAsia="Arial" w:hAnsi="Arial"/>
          <w:sz w:val="18"/>
          <w:szCs w:val="18"/>
          <w:u w:val="single" w:color="auto"/>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on the accrual basis of accounting.</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Fidelity Advisor Stable Value Fund invests in fully benefit-responsive investment contracts which are reported at fair value (see Note 5); however, contract value is the relevant measurement attribute for that portion of the net assets available for benefits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investment contracts as well as the adjustment of the fully benefit-responsive investment contracts from fair value to contract value. The Statement of Changes in Net Assets Available for Benefits is prepared on a contract value basis.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Valuation and Income Recognition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Investments are stated at fair value. Fair value is the price that would be received to sell an asset or paid to transfer a liability in an orderly transaction between market participants at the measurement date. The Committee determines the Plan’s valuation policies utilizing information provided by the investment advisers and trustee. See Note 5 for further discussion of fair value measurements.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9" w:right="2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color w:val="auto"/>
        </w:rPr>
        <w:t>Destination XL Group, Inc. 401(k) Salaried Savings Plan</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 </w:t>
      </w:r>
      <w:r>
        <w:rPr>
          <w:rFonts w:ascii="Arial" w:cs="Arial" w:eastAsia="Arial" w:hAnsi="Arial"/>
          <w:sz w:val="18"/>
          <w:szCs w:val="18"/>
          <w:u w:val="single" w:color="auto"/>
          <w:color w:val="auto"/>
        </w:rPr>
        <w:t>Summary of Significant Accounting Policies (continued)</w:t>
      </w:r>
    </w:p>
    <w:p>
      <w:pPr>
        <w:spacing w:after="0" w:line="11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Purchases and sales of securities are recorded on a trade-date basis. Interest income is recorded on the accrual basis. Dividends are recorded on the ex-dividend date. Net depreciation includes the plan’s gains and losses on investments bought and sold as well as held during the year.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Notes receivable from participants are measured at their unpaid principal balance plus accrued but unpaid interest. Interest income is recorded on the accrual basis. Related fees are recorded as administrative expenses and are expensed when they are incurred. No allowance for credit losses has been recorded as of December 31, 2014 and 2013. If a participant ceases to make loan repayments and the Plan Administrator deems the participant loan to be in default, the participant loan balance is reduced and a benefit payment is recorded.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 Values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Individual participant accounts for the Fidelity Advisor Stable Value Fund, a common/collective trust fund, are maintained on a unit value basis. Participants do not have beneficial ownership in the specific underlying securities or other assets in the fund, but do have an interest therein represented by units valued daily. The fund earns dividends and interest which are automatically reinvested in additional units. Generally, contributions to and withdrawals from each fund are converted to units by dividing the amounts of such transactions by the unit values as last determined, and the participants’ accounts are charged or credited with the number of units properly attributable to each participant.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39" w:right="31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t>Destination XL Group, Inc. 401(k) Salaried Savings Plan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 </w:t>
      </w:r>
      <w:r>
        <w:rPr>
          <w:rFonts w:ascii="Arial" w:cs="Arial" w:eastAsia="Arial" w:hAnsi="Arial"/>
          <w:sz w:val="18"/>
          <w:szCs w:val="18"/>
          <w:u w:val="single" w:color="auto"/>
          <w:color w:val="auto"/>
        </w:rPr>
        <w:t>Summary of Significant Accounting Policies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Expenses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Plan, all administrative expenses may be paid out of the Plan unless paid by the Company. During 2014, there were no expenses paid by the Company. Fees related to the administration of notes receivable from participants are charged directly to the participant’s account and are included in administrative expenses. Investment related expenses are included in net depreciation of fair value of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3 – </w:t>
      </w:r>
      <w:r>
        <w:rPr>
          <w:rFonts w:ascii="Arial" w:cs="Arial" w:eastAsia="Arial" w:hAnsi="Arial"/>
          <w:sz w:val="18"/>
          <w:szCs w:val="18"/>
          <w:u w:val="single" w:color="auto"/>
          <w:color w:val="auto"/>
        </w:rPr>
        <w:t>Investments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2014, the Plan’s investments (including gains and losses on investments bought and sold, as well as held during the year) depreciated in fair value as follows:</w:t>
      </w:r>
    </w:p>
    <w:p>
      <w:pPr>
        <w:spacing w:after="0" w:line="185"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Mutual Funds</w:t>
            </w:r>
          </w:p>
        </w:tc>
        <w:tc>
          <w:tcPr>
            <w:tcW w:w="25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5"/>
              </w:rPr>
              <w:t>(152,167)</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Common Stock</w:t>
            </w: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ind w:left="200"/>
              <w:spacing w:after="0"/>
              <w:rPr>
                <w:sz w:val="20"/>
                <w:szCs w:val="20"/>
                <w:color w:val="auto"/>
              </w:rPr>
            </w:pPr>
            <w:r>
              <w:rPr>
                <w:rFonts w:ascii="Arial" w:cs="Arial" w:eastAsia="Arial" w:hAnsi="Arial"/>
                <w:sz w:val="18"/>
                <w:szCs w:val="18"/>
                <w:color w:val="auto"/>
                <w:w w:val="95"/>
              </w:rPr>
              <w:t>(142,365)</w:t>
            </w:r>
          </w:p>
        </w:tc>
      </w:tr>
      <w:tr>
        <w:trPr>
          <w:trHeight w:val="223"/>
        </w:trPr>
        <w:tc>
          <w:tcPr>
            <w:tcW w:w="3360" w:type="dxa"/>
            <w:vAlign w:val="bottom"/>
            <w:tcBorders>
              <w:top w:val="single" w:sz="8" w:color="CFF0FC"/>
              <w:bottom w:val="single" w:sz="8" w:color="CFF0FC"/>
            </w:tcBorders>
            <w:shd w:val="clear" w:color="auto" w:fill="CFF0FC"/>
          </w:tcPr>
          <w:p>
            <w:pPr>
              <w:spacing w:after="0"/>
              <w:rPr>
                <w:sz w:val="19"/>
                <w:szCs w:val="19"/>
                <w:color w:val="auto"/>
              </w:rPr>
            </w:pPr>
          </w:p>
        </w:tc>
        <w:tc>
          <w:tcPr>
            <w:tcW w:w="2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83"/>
              </w:rPr>
              <w:t>(294,532)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Investments that represent 5% or more of the Plan’s net assets available for benefits are as follows: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December 31,</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556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2014</w:t>
            </w:r>
          </w:p>
        </w:tc>
        <w:tc>
          <w:tcPr>
            <w:tcW w:w="1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w w:val="96"/>
              </w:rPr>
              <w:t>2013</w:t>
            </w:r>
          </w:p>
        </w:tc>
        <w:tc>
          <w:tcPr>
            <w:tcW w:w="80" w:type="dxa"/>
            <w:vAlign w:val="bottom"/>
            <w:tcBorders>
              <w:bottom w:val="single" w:sz="8" w:color="CFF0FC"/>
            </w:tcBorders>
          </w:tcPr>
          <w:p>
            <w:pPr>
              <w:spacing w:after="0"/>
              <w:rPr>
                <w:sz w:val="14"/>
                <w:szCs w:val="14"/>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Fidelity Advisor Stable Value Fund *</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4,514,488</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4,357,437</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JP Morgan Equity Index Select</w:t>
            </w:r>
          </w:p>
        </w:tc>
        <w:tc>
          <w:tcPr>
            <w:tcW w:w="1100" w:type="dxa"/>
            <w:vAlign w:val="bottom"/>
          </w:tcPr>
          <w:p>
            <w:pPr>
              <w:jc w:val="right"/>
              <w:spacing w:after="0"/>
              <w:rPr>
                <w:sz w:val="20"/>
                <w:szCs w:val="20"/>
                <w:color w:val="auto"/>
              </w:rPr>
            </w:pPr>
            <w:r>
              <w:rPr>
                <w:rFonts w:ascii="Arial" w:cs="Arial" w:eastAsia="Arial" w:hAnsi="Arial"/>
                <w:sz w:val="18"/>
                <w:szCs w:val="18"/>
                <w:color w:val="auto"/>
              </w:rPr>
              <w:t>4,166,416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Fidelity Advisor New Insights I</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3,341,354</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Fidelity Advisor Freedom 2035 I</w:t>
            </w:r>
          </w:p>
        </w:tc>
        <w:tc>
          <w:tcPr>
            <w:tcW w:w="1100" w:type="dxa"/>
            <w:vAlign w:val="bottom"/>
          </w:tcPr>
          <w:p>
            <w:pPr>
              <w:jc w:val="right"/>
              <w:spacing w:after="0"/>
              <w:rPr>
                <w:sz w:val="20"/>
                <w:szCs w:val="20"/>
                <w:color w:val="auto"/>
              </w:rPr>
            </w:pPr>
            <w:r>
              <w:rPr>
                <w:rFonts w:ascii="Arial" w:cs="Arial" w:eastAsia="Arial" w:hAnsi="Arial"/>
                <w:sz w:val="18"/>
                <w:szCs w:val="18"/>
                <w:color w:val="auto"/>
              </w:rPr>
              <w:t>2,575,525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American Century Mid Cap Value Fund Investor</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2,522,673</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JP Morgan Equity Index A</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3,610,815</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Fidelity Advisor New Insights A</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3,444,545</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PIMCO Total Return</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2,127,070</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Fidelity Advisor Freedom 2035 A</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2,087,984</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Fidelity Advisor Leveraged Company Stock Fund</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1,988,254</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Fidelity Advisor Freedom 2005 A</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1,977,397</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2100" w:hanging="306"/>
        <w:spacing w:after="0"/>
        <w:tabs>
          <w:tab w:leader="none" w:pos="2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represents contract value for this investment.</w:t>
      </w:r>
    </w:p>
    <w:p>
      <w:pPr>
        <w:spacing w:after="0" w:line="23" w:lineRule="exact"/>
        <w:rPr>
          <w:sz w:val="20"/>
          <w:szCs w:val="20"/>
          <w:color w:val="auto"/>
        </w:rPr>
      </w:pPr>
    </w:p>
    <w:p>
      <w:pPr>
        <w:ind w:left="5660" w:right="4820" w:hanging="3866"/>
        <w:spacing w:after="0" w:line="511" w:lineRule="auto"/>
        <w:tabs>
          <w:tab w:leader="none" w:pos="209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Plan did not have any investment in this fund at Year end. 9</w:t>
      </w:r>
    </w:p>
    <w:p>
      <w:pPr>
        <w:sectPr>
          <w:pgSz w:w="11900" w:h="16838" w:orient="portrait"/>
          <w:cols w:equalWidth="0" w:num="1">
            <w:col w:w="11420"/>
          </w:cols>
          <w:pgMar w:left="240" w:top="139" w:right="239" w:bottom="1440" w:gutter="0" w:footer="0" w:header="0"/>
        </w:sectPr>
      </w:pPr>
    </w:p>
    <w:bookmarkStart w:id="11" w:name="page12"/>
    <w:bookmarkEnd w:id="11"/>
    <w:p>
      <w:pPr>
        <w:jc w:val="center"/>
        <w:ind w:right="-179"/>
        <w:spacing w:after="0"/>
        <w:rPr>
          <w:sz w:val="20"/>
          <w:szCs w:val="20"/>
          <w:color w:val="auto"/>
        </w:rPr>
      </w:pPr>
      <w:r>
        <w:rPr>
          <w:rFonts w:ascii="Arial" w:cs="Arial" w:eastAsia="Arial" w:hAnsi="Arial"/>
          <w:sz w:val="18"/>
          <w:szCs w:val="18"/>
          <w:color w:val="auto"/>
        </w:rPr>
        <w:t>Destination XL Group, Inc. 401(k) Salaried Savings Plan</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 </w:t>
      </w:r>
      <w:r>
        <w:rPr>
          <w:rFonts w:ascii="Arial" w:cs="Arial" w:eastAsia="Arial" w:hAnsi="Arial"/>
          <w:sz w:val="18"/>
          <w:szCs w:val="18"/>
          <w:u w:val="single" w:color="auto"/>
          <w:color w:val="auto"/>
        </w:rPr>
        <w:t>Non Participant Directed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net assets and the significant components of the change in net assets relating to the non participant directed investments is as follows: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4"/>
          </w:tcPr>
          <w:p>
            <w:pPr>
              <w:jc w:val="right"/>
              <w:ind w:right="280"/>
              <w:spacing w:after="0"/>
              <w:rPr>
                <w:sz w:val="20"/>
                <w:szCs w:val="20"/>
                <w:color w:val="auto"/>
              </w:rPr>
            </w:pPr>
            <w:r>
              <w:rPr>
                <w:rFonts w:ascii="Arial" w:cs="Arial" w:eastAsia="Arial" w:hAnsi="Arial"/>
                <w:sz w:val="14"/>
                <w:szCs w:val="14"/>
                <w:color w:val="auto"/>
              </w:rPr>
              <w:t>December 31,</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5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320"/>
              <w:spacing w:after="0"/>
              <w:rPr>
                <w:sz w:val="20"/>
                <w:szCs w:val="20"/>
                <w:color w:val="auto"/>
              </w:rPr>
            </w:pPr>
            <w:r>
              <w:rPr>
                <w:rFonts w:ascii="Arial" w:cs="Arial" w:eastAsia="Arial" w:hAnsi="Arial"/>
                <w:sz w:val="14"/>
                <w:szCs w:val="14"/>
                <w:color w:val="auto"/>
              </w:rPr>
              <w:t>2014</w:t>
            </w:r>
          </w:p>
        </w:tc>
        <w:tc>
          <w:tcPr>
            <w:tcW w:w="1240" w:type="dxa"/>
            <w:vAlign w:val="bottom"/>
            <w:gridSpan w:val="4"/>
          </w:tcPr>
          <w:p>
            <w:pPr>
              <w:jc w:val="right"/>
              <w:ind w:right="330"/>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14"/>
                <w:szCs w:val="14"/>
                <w:color w:val="auto"/>
              </w:rPr>
            </w:pPr>
          </w:p>
        </w:tc>
      </w:tr>
      <w:tr>
        <w:trPr>
          <w:trHeight w:val="223"/>
        </w:trPr>
        <w:tc>
          <w:tcPr>
            <w:tcW w:w="5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Assets:</w:t>
            </w:r>
          </w:p>
        </w:tc>
        <w:tc>
          <w:tcPr>
            <w:tcW w:w="3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right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60" w:type="dxa"/>
            <w:vAlign w:val="bottom"/>
            <w:gridSpan w:val="2"/>
          </w:tcPr>
          <w:p>
            <w:pPr>
              <w:ind w:left="380"/>
              <w:spacing w:after="0"/>
              <w:rPr>
                <w:sz w:val="20"/>
                <w:szCs w:val="20"/>
                <w:color w:val="auto"/>
              </w:rPr>
            </w:pPr>
            <w:r>
              <w:rPr>
                <w:rFonts w:ascii="Arial" w:cs="Arial" w:eastAsia="Arial" w:hAnsi="Arial"/>
                <w:sz w:val="18"/>
                <w:szCs w:val="18"/>
                <w:color w:val="auto"/>
              </w:rPr>
              <w:t>Fidelity Advisor Stable Value Fund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75,625</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48,608</w:t>
            </w:r>
          </w:p>
        </w:tc>
        <w:tc>
          <w:tcPr>
            <w:tcW w:w="80" w:type="dxa"/>
            <w:vAlign w:val="bottom"/>
          </w:tcPr>
          <w:p>
            <w:pPr>
              <w:spacing w:after="0"/>
              <w:rPr>
                <w:sz w:val="20"/>
                <w:szCs w:val="20"/>
                <w:color w:val="auto"/>
              </w:rPr>
            </w:pPr>
          </w:p>
        </w:tc>
      </w:tr>
      <w:tr>
        <w:trPr>
          <w:trHeight w:val="372"/>
        </w:trPr>
        <w:tc>
          <w:tcPr>
            <w:tcW w:w="5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gridSpan w:val="4"/>
          </w:tcPr>
          <w:p>
            <w:pPr>
              <w:jc w:val="right"/>
              <w:ind w:right="480"/>
              <w:spacing w:after="0"/>
              <w:rPr>
                <w:sz w:val="20"/>
                <w:szCs w:val="20"/>
                <w:color w:val="auto"/>
              </w:rPr>
            </w:pPr>
            <w:r>
              <w:rPr>
                <w:rFonts w:ascii="Arial" w:cs="Arial" w:eastAsia="Arial" w:hAnsi="Arial"/>
                <w:sz w:val="14"/>
                <w:szCs w:val="14"/>
                <w:color w:val="auto"/>
              </w:rPr>
              <w:t>Year Ended</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5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4"/>
          </w:tcPr>
          <w:p>
            <w:pPr>
              <w:jc w:val="right"/>
              <w:ind w:right="240"/>
              <w:spacing w:after="0"/>
              <w:rPr>
                <w:sz w:val="20"/>
                <w:szCs w:val="20"/>
                <w:color w:val="auto"/>
              </w:rPr>
            </w:pPr>
            <w:r>
              <w:rPr>
                <w:rFonts w:ascii="Arial" w:cs="Arial" w:eastAsia="Arial" w:hAnsi="Arial"/>
                <w:sz w:val="14"/>
                <w:szCs w:val="14"/>
                <w:color w:val="auto"/>
              </w:rPr>
              <w:t>December 31, 2014</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Changes in Net Assets:</w:t>
            </w:r>
          </w:p>
        </w:tc>
        <w:tc>
          <w:tcPr>
            <w:tcW w:w="3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right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Dividend income</w:t>
            </w:r>
          </w:p>
        </w:tc>
        <w:tc>
          <w:tcPr>
            <w:tcW w:w="340" w:type="dxa"/>
            <w:vAlign w:val="bottom"/>
          </w:tcPr>
          <w:p>
            <w:pPr>
              <w:spacing w:after="0"/>
              <w:rPr>
                <w:sz w:val="19"/>
                <w:szCs w:val="19"/>
                <w:color w:val="auto"/>
              </w:rPr>
            </w:pPr>
          </w:p>
        </w:tc>
        <w:tc>
          <w:tcPr>
            <w:tcW w:w="760" w:type="dxa"/>
            <w:vAlign w:val="bottom"/>
          </w:tcPr>
          <w:p>
            <w:pPr>
              <w:jc w:val="right"/>
              <w:ind w:right="58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Current year forfeitures</w:t>
            </w: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55,154</w:t>
            </w:r>
          </w:p>
        </w:tc>
        <w:tc>
          <w:tcPr>
            <w:tcW w:w="80" w:type="dxa"/>
            <w:vAlign w:val="bottom"/>
            <w:tcBorders>
              <w:right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Contributions</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2,365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Administrative Fees</w:t>
            </w: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6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(834)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Forfeitures used to reduce prior year employer match</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(30,000)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9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8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27,017</w:t>
            </w:r>
          </w:p>
        </w:tc>
        <w:tc>
          <w:tcPr>
            <w:tcW w:w="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Fair Value Measurements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The Plan measures fair value in accordance with Financial Accounting Standards Board (“FASB”) Accounting Standards Codification (“ASC”) 820, </w:t>
      </w:r>
      <w:r>
        <w:rPr>
          <w:rFonts w:ascii="Arial" w:cs="Arial" w:eastAsia="Arial" w:hAnsi="Arial"/>
          <w:sz w:val="16"/>
          <w:szCs w:val="16"/>
          <w:i w:val="1"/>
          <w:iCs w:val="1"/>
          <w:color w:val="auto"/>
        </w:rPr>
        <w:t>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Measurement</w:t>
      </w:r>
      <w:r>
        <w:rPr>
          <w:rFonts w:ascii="Arial" w:cs="Arial" w:eastAsia="Arial" w:hAnsi="Arial"/>
          <w:sz w:val="16"/>
          <w:szCs w:val="16"/>
          <w:color w:val="auto"/>
        </w:rPr>
        <w:t>, which provides a fair value hierarchy that prioritizes the inputs to valuation techniques used to measure fair value. The hierarchy gives</w:t>
      </w:r>
      <w:r>
        <w:rPr>
          <w:rFonts w:ascii="Arial" w:cs="Arial" w:eastAsia="Arial" w:hAnsi="Arial"/>
          <w:sz w:val="16"/>
          <w:szCs w:val="16"/>
          <w:i w:val="1"/>
          <w:iCs w:val="1"/>
          <w:color w:val="auto"/>
        </w:rPr>
        <w:t xml:space="preserve"> </w:t>
      </w:r>
      <w:r>
        <w:rPr>
          <w:rFonts w:ascii="Arial" w:cs="Arial" w:eastAsia="Arial" w:hAnsi="Arial"/>
          <w:sz w:val="16"/>
          <w:szCs w:val="16"/>
          <w:color w:val="auto"/>
        </w:rPr>
        <w:t>the highest priority to unadjusted quoted prices in active markets for identical assets or liabilities (Level 1 measurements) and the lowest priority to unobservable inputs (Level 3 measurements). The three levels of the fair value hierarchy under FASB ASC 820 are described as follows:</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Level 1 Inputs to the valuation methodology are unadjusted quoted prices for identical assets or liabilities in active markets that the Plan has the ability to access.</w:t>
      </w: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139" w:right="41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color w:val="auto"/>
        </w:rPr>
        <w:t>Destination XL Group, Inc. 401(k) Salaried Savings Plan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Fair Value Measurements (continued)</w:t>
      </w:r>
    </w:p>
    <w:p>
      <w:pPr>
        <w:spacing w:after="0" w:line="11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2240" w:hanging="330"/>
        <w:spacing w:after="0"/>
        <w:tabs>
          <w:tab w:leader="none" w:pos="2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2240" w:hanging="330"/>
        <w:spacing w:after="0"/>
        <w:tabs>
          <w:tab w:leader="none" w:pos="2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2240" w:hanging="330"/>
        <w:spacing w:after="0"/>
        <w:tabs>
          <w:tab w:leader="none" w:pos="2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2240" w:hanging="330"/>
        <w:spacing w:after="0"/>
        <w:tabs>
          <w:tab w:leader="none" w:pos="2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11" w:lineRule="exact"/>
        <w:rPr>
          <w:sz w:val="20"/>
          <w:szCs w:val="20"/>
          <w:color w:val="auto"/>
        </w:rPr>
      </w:pPr>
    </w:p>
    <w:p>
      <w:pPr>
        <w:ind w:left="1520" w:right="80"/>
        <w:spacing w:after="0" w:line="277" w:lineRule="auto"/>
        <w:rPr>
          <w:sz w:val="20"/>
          <w:szCs w:val="20"/>
          <w:color w:val="auto"/>
        </w:rPr>
      </w:pPr>
      <w:r>
        <w:rPr>
          <w:rFonts w:ascii="Arial" w:cs="Arial" w:eastAsia="Arial" w:hAnsi="Arial"/>
          <w:sz w:val="18"/>
          <w:szCs w:val="18"/>
          <w:color w:val="auto"/>
        </w:rPr>
        <w:t>If the asset or liability has a specified (contractual) term, the Level 2 input must be observable for substantially the full term of the asset or liability.</w:t>
      </w:r>
    </w:p>
    <w:p>
      <w:pPr>
        <w:spacing w:after="0" w:line="1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Following is a description of the valuation methodologies used for assets measured at fair value. There have been no changes in the methodologies used at December 31, 2014 and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Valued at the closing price reported on the active market on which the individual securities are traded.</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Valued at the daily closing price as reported by the fund. Mutual funds held by the Plan are open-end mutual funds that are registered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These funds are required to publish their daily Net Asset Value (“NAV”) and to transact at that price. The mutual funds held by the Plan are deemed to be actively traded.</w:t>
      </w:r>
    </w:p>
    <w:p>
      <w:pPr>
        <w:spacing w:after="0" w:line="18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 xml:space="preserve">Common/collective trust fund: </w:t>
      </w:r>
      <w:r>
        <w:rPr>
          <w:rFonts w:ascii="Arial" w:cs="Arial" w:eastAsia="Arial" w:hAnsi="Arial"/>
          <w:sz w:val="17"/>
          <w:szCs w:val="17"/>
          <w:color w:val="auto"/>
        </w:rPr>
        <w:t>Valued at the NAV of units of a bank collective trust. The NAV, as provided by the trustee, is used as a practical expedient to</w:t>
      </w:r>
      <w:r>
        <w:rPr>
          <w:rFonts w:ascii="Arial" w:cs="Arial" w:eastAsia="Arial" w:hAnsi="Arial"/>
          <w:sz w:val="17"/>
          <w:szCs w:val="17"/>
          <w:i w:val="1"/>
          <w:iCs w:val="1"/>
          <w:color w:val="auto"/>
        </w:rPr>
        <w:t xml:space="preserve"> </w:t>
      </w:r>
      <w:r>
        <w:rPr>
          <w:rFonts w:ascii="Arial" w:cs="Arial" w:eastAsia="Arial" w:hAnsi="Arial"/>
          <w:sz w:val="17"/>
          <w:szCs w:val="17"/>
          <w:color w:val="auto"/>
        </w:rPr>
        <w:t>estimating fair value. The NAV is based on the fair value of the underlying investments held by the fund less its liabilities. This practical expedient is not used when it is determined to be probable that the fund will sell the investment for an amount different than the reported NAV.</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39" w:right="279" w:bottom="1440" w:gutter="0" w:footer="0" w:header="0"/>
        </w:sectPr>
      </w:pPr>
    </w:p>
    <w:bookmarkStart w:id="13" w:name="page14"/>
    <w:bookmarkEnd w:id="13"/>
    <w:p>
      <w:pPr>
        <w:jc w:val="center"/>
        <w:ind w:right="-259"/>
        <w:spacing w:after="0"/>
        <w:rPr>
          <w:sz w:val="20"/>
          <w:szCs w:val="20"/>
          <w:color w:val="auto"/>
        </w:rPr>
      </w:pPr>
      <w:r>
        <w:rPr>
          <w:rFonts w:ascii="Arial" w:cs="Arial" w:eastAsia="Arial" w:hAnsi="Arial"/>
          <w:sz w:val="18"/>
          <w:szCs w:val="18"/>
          <w:color w:val="auto"/>
        </w:rPr>
        <w:t>Destination XL Group, Inc. 401(k) Salaried Savings Plan</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Fair Value Measurements (continued)</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by level, within the fair value hierarchy, the Plan’s investments at fair value as of December 31, 2014 and 2013:</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660" w:type="dxa"/>
            <w:vAlign w:val="bottom"/>
            <w:gridSpan w:val="4"/>
          </w:tcPr>
          <w:p>
            <w:pPr>
              <w:ind w:left="700"/>
              <w:spacing w:after="0"/>
              <w:rPr>
                <w:sz w:val="20"/>
                <w:szCs w:val="20"/>
                <w:color w:val="auto"/>
              </w:rPr>
            </w:pPr>
            <w:r>
              <w:rPr>
                <w:rFonts w:ascii="Arial" w:cs="Arial" w:eastAsia="Arial" w:hAnsi="Arial"/>
                <w:sz w:val="14"/>
                <w:szCs w:val="14"/>
                <w:color w:val="auto"/>
                <w:w w:val="91"/>
              </w:rPr>
              <w:t>Investments at Fair Value as of December 31, 2014</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color w:val="auto"/>
              </w:rPr>
              <w:t>Level 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color w:val="auto"/>
              </w:rPr>
              <w:t>Level 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Arial" w:cs="Arial" w:eastAsia="Arial" w:hAnsi="Arial"/>
                <w:sz w:val="14"/>
                <w:szCs w:val="14"/>
                <w:color w:val="auto"/>
              </w:rPr>
              <w:t>Level 3</w:t>
            </w: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Mutual Funds:</w:t>
            </w:r>
          </w:p>
        </w:tc>
        <w:tc>
          <w:tcPr>
            <w:tcW w:w="24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Large cap stock funds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8,981,474</w:t>
            </w:r>
          </w:p>
        </w:tc>
        <w:tc>
          <w:tcPr>
            <w:tcW w:w="140" w:type="dxa"/>
            <w:vAlign w:val="bottom"/>
          </w:tcPr>
          <w:p>
            <w:pPr>
              <w:spacing w:after="0"/>
              <w:rPr>
                <w:sz w:val="19"/>
                <w:szCs w:val="19"/>
                <w:color w:val="auto"/>
              </w:rPr>
            </w:pPr>
          </w:p>
        </w:tc>
        <w:tc>
          <w:tcPr>
            <w:tcW w:w="220" w:type="dxa"/>
            <w:vAlign w:val="bottom"/>
            <w:gridSpan w:val="2"/>
          </w:tcPr>
          <w:p>
            <w:pPr>
              <w:jc w:val="right"/>
              <w:ind w:right="25"/>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8,981,474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Mid cap stock funds</w:t>
            </w:r>
          </w:p>
        </w:tc>
        <w:tc>
          <w:tcPr>
            <w:tcW w:w="2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4,482,009</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4,482,009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Small cap stock fund</w:t>
            </w: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1,415,430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1,415,430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International stock funds</w:t>
            </w:r>
          </w:p>
        </w:tc>
        <w:tc>
          <w:tcPr>
            <w:tcW w:w="2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1,947,315</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1,947,315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Target funds</w:t>
            </w: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14,207,559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14,207,559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Fixed income funds</w:t>
            </w:r>
          </w:p>
        </w:tc>
        <w:tc>
          <w:tcPr>
            <w:tcW w:w="2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3,010,886</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3,010,886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80" w:type="dxa"/>
            <w:vAlign w:val="bottom"/>
          </w:tcPr>
          <w:p>
            <w:pPr>
              <w:ind w:left="720"/>
              <w:spacing w:after="0"/>
              <w:rPr>
                <w:sz w:val="20"/>
                <w:szCs w:val="20"/>
                <w:color w:val="auto"/>
              </w:rPr>
            </w:pPr>
            <w:r>
              <w:rPr>
                <w:rFonts w:ascii="Arial" w:cs="Arial" w:eastAsia="Arial" w:hAnsi="Arial"/>
                <w:sz w:val="18"/>
                <w:szCs w:val="18"/>
                <w:color w:val="auto"/>
              </w:rPr>
              <w:t>Total mutual funds</w:t>
            </w:r>
          </w:p>
        </w:tc>
        <w:tc>
          <w:tcPr>
            <w:tcW w:w="2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34,044,673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34,044,673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8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Common stock:</w:t>
            </w:r>
          </w:p>
        </w:tc>
        <w:tc>
          <w:tcPr>
            <w:tcW w:w="2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Retail</w:t>
            </w: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746,875</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746,875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00" w:type="dxa"/>
            <w:vAlign w:val="bottom"/>
            <w:gridSpan w:val="2"/>
          </w:tcPr>
          <w:p>
            <w:pPr>
              <w:spacing w:after="0"/>
              <w:rPr>
                <w:sz w:val="19"/>
                <w:szCs w:val="19"/>
                <w:color w:val="auto"/>
              </w:rPr>
            </w:pP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Common/collective trust fund:</w:t>
            </w:r>
          </w:p>
        </w:tc>
        <w:tc>
          <w:tcPr>
            <w:tcW w:w="24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Fixed income fund</w:t>
            </w: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4,594,620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4,594,620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investments at fair value</w:t>
            </w:r>
          </w:p>
        </w:tc>
        <w:tc>
          <w:tcPr>
            <w:tcW w:w="24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34,791,548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4,594,620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39,386,168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80" w:type="dxa"/>
            <w:vAlign w:val="bottom"/>
            <w:vMerge w:val="restart"/>
          </w:tcPr>
          <w:p>
            <w:pPr>
              <w:jc w:val="right"/>
              <w:ind w:right="76"/>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139" w:right="4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Destination XL Group, Inc. 401(k) Salaried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Fair Value Measurements (continued)</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660" w:type="dxa"/>
            <w:vAlign w:val="bottom"/>
            <w:gridSpan w:val="4"/>
          </w:tcPr>
          <w:p>
            <w:pPr>
              <w:ind w:left="700"/>
              <w:spacing w:after="0"/>
              <w:rPr>
                <w:sz w:val="20"/>
                <w:szCs w:val="20"/>
                <w:color w:val="auto"/>
              </w:rPr>
            </w:pPr>
            <w:r>
              <w:rPr>
                <w:rFonts w:ascii="Arial" w:cs="Arial" w:eastAsia="Arial" w:hAnsi="Arial"/>
                <w:sz w:val="14"/>
                <w:szCs w:val="14"/>
                <w:color w:val="auto"/>
                <w:w w:val="91"/>
              </w:rPr>
              <w:t>Investments at Fair Value as of December 31, 2013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color w:val="auto"/>
              </w:rPr>
              <w:t>Level 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color w:val="auto"/>
              </w:rPr>
              <w:t>Level 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Arial" w:cs="Arial" w:eastAsia="Arial" w:hAnsi="Arial"/>
                <w:sz w:val="14"/>
                <w:szCs w:val="14"/>
                <w:color w:val="auto"/>
              </w:rPr>
              <w:t>Level 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Mutual Funds:</w:t>
            </w:r>
          </w:p>
        </w:tc>
        <w:tc>
          <w:tcPr>
            <w:tcW w:w="24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Large cap stock funds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8,123,795</w:t>
            </w:r>
          </w:p>
        </w:tc>
        <w:tc>
          <w:tcPr>
            <w:tcW w:w="140" w:type="dxa"/>
            <w:vAlign w:val="bottom"/>
          </w:tcPr>
          <w:p>
            <w:pPr>
              <w:spacing w:after="0"/>
              <w:rPr>
                <w:sz w:val="19"/>
                <w:szCs w:val="19"/>
                <w:color w:val="auto"/>
              </w:rPr>
            </w:pPr>
          </w:p>
        </w:tc>
        <w:tc>
          <w:tcPr>
            <w:tcW w:w="220" w:type="dxa"/>
            <w:vAlign w:val="bottom"/>
            <w:gridSpan w:val="2"/>
          </w:tcPr>
          <w:p>
            <w:pPr>
              <w:jc w:val="right"/>
              <w:ind w:right="25"/>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8,123,795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Mid cap stock funds</w:t>
            </w:r>
          </w:p>
        </w:tc>
        <w:tc>
          <w:tcPr>
            <w:tcW w:w="2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4,374,243</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4,374,243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Small cap stock funds</w:t>
            </w: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1,426,222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1,426,222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International stock funds</w:t>
            </w:r>
          </w:p>
        </w:tc>
        <w:tc>
          <w:tcPr>
            <w:tcW w:w="2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2,109,438</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2,109,438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Target funds</w:t>
            </w: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11,789,711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11,789,711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Fixed income funds</w:t>
            </w:r>
          </w:p>
        </w:tc>
        <w:tc>
          <w:tcPr>
            <w:tcW w:w="24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3,054,473</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3,054,473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80" w:type="dxa"/>
            <w:vAlign w:val="bottom"/>
          </w:tcPr>
          <w:p>
            <w:pPr>
              <w:ind w:left="720"/>
              <w:spacing w:after="0"/>
              <w:rPr>
                <w:sz w:val="20"/>
                <w:szCs w:val="20"/>
                <w:color w:val="auto"/>
              </w:rPr>
            </w:pPr>
            <w:r>
              <w:rPr>
                <w:rFonts w:ascii="Arial" w:cs="Arial" w:eastAsia="Arial" w:hAnsi="Arial"/>
                <w:sz w:val="18"/>
                <w:szCs w:val="18"/>
                <w:color w:val="auto"/>
              </w:rPr>
              <w:t>Total mutual funds</w:t>
            </w: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30,877,882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30,877,882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8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Common stock:</w:t>
            </w:r>
          </w:p>
        </w:tc>
        <w:tc>
          <w:tcPr>
            <w:tcW w:w="2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Retail</w:t>
            </w: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857,387</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857,387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8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Common/collective trust fund:</w:t>
            </w:r>
          </w:p>
        </w:tc>
        <w:tc>
          <w:tcPr>
            <w:tcW w:w="2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Fixed income fund</w:t>
            </w: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4,441,986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4,441,986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investments at fair value</w:t>
            </w:r>
          </w:p>
        </w:tc>
        <w:tc>
          <w:tcPr>
            <w:tcW w:w="24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31,735,269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4,441,986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36,177,255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6 – </w:t>
      </w:r>
      <w:r>
        <w:rPr>
          <w:rFonts w:ascii="Arial" w:cs="Arial" w:eastAsia="Arial" w:hAnsi="Arial"/>
          <w:sz w:val="18"/>
          <w:szCs w:val="18"/>
          <w:u w:val="single" w:color="auto"/>
          <w:color w:val="auto"/>
        </w:rPr>
        <w:t>Common/Collective Trust Fund</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Fidelity Advisor Stable Value Fund is a common/collective trust fund that is considered to be a stable value fund with underlying investments in investment contracts and is valued at fair value and then adjusted by the issuer to contract value. The net asset value of the stable value fund is the fair market value of its underlying investments and contract value is principal plus accrued interest. The Fidelity Advisor Stable Value Fund is a stable value fund that is an open-end commingled pool dedicated exclusively to the management of assets of defined contribution plans. The Fidelity Advisor Stable Value Fund’s investment objective is to seek preservation of capital and a competitive level of income over time. To achieve its investment objective, the Fidelity Advisor Stable Value Fund invests in underlying assets (typically fixed income securities or bond funds and may include derivative instruments such as futures contracts and swap agreements) and enters into a “wrapper” contract issued by a third party. Participants may ordinarily direct the withdrawal or transfer of all or a portion of their investment at contract value. However, certain events limit the ability of the Plan to transact at contract value with the issuer. Such events include the following: (1) amendment to the Plan document (including complete or partial termination or merger with another plan), (2) changes to the Plan’s prohibition on competing investment options or deletion of equity wash provisions, (3) bankruptcy of the plan sponsor or other plan sponsor events (for example, divestitures or spin-offs of a subsidiary) that cause a significant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9"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Destination XL Group, Inc. 401(k) Salaried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6 – </w:t>
      </w:r>
      <w:r>
        <w:rPr>
          <w:rFonts w:ascii="Arial" w:cs="Arial" w:eastAsia="Arial" w:hAnsi="Arial"/>
          <w:sz w:val="18"/>
          <w:szCs w:val="18"/>
          <w:u w:val="single" w:color="auto"/>
          <w:color w:val="auto"/>
        </w:rPr>
        <w:t>Common/Collective Trust Fund (continued)</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withdrawal from the Plan, or (4) the failure of the trust to qualify for exemption from federal income taxes or any required prohibited transaction exemption under ERISA. The Plan Administrator does not believe that any events which would limit the Plan’s ability to transact at contract value with Plan participants is probable of occurring. Contract value represents contributions made to the fund, plus earnings, less participant withdrawals.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common/collective trust fund has certain restrictions on withdrawals and transfers as follows: withdrawals directed by the Company must be preceded by twelve months written notice to the Trustee, provided, however, that the Trustee may, in its discretion complete any plan-level withdrawals before the expiration of such twelve month period, withdrawals made in order to accommodate distribution to participants, whether in-service or following termination of employment, may be made on any business day; withdrawals made in order to accommodate a participant-directed exchange to another investment option may be made on any business day, provided that the exchange is not directed to a competing fund (money market funds or certain other types of fixed income funds). Transferred amounts must be held in a non-competing investment option for 90 days before subsequent transfers to a competing fund can occur.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7 – </w:t>
      </w:r>
      <w:r>
        <w:rPr>
          <w:rFonts w:ascii="Arial" w:cs="Arial" w:eastAsia="Arial" w:hAnsi="Arial"/>
          <w:sz w:val="18"/>
          <w:szCs w:val="18"/>
          <w:u w:val="single" w:color="auto"/>
          <w:color w:val="auto"/>
        </w:rPr>
        <w:t>Related Party and Party-In-Interest Transactions</w:t>
      </w:r>
    </w:p>
    <w:p>
      <w:pPr>
        <w:spacing w:after="0" w:line="117"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color w:val="auto"/>
        </w:rPr>
        <w:t>The Plan owned 136,790 and 131,099 shares of Destination XL Group, Inc. valued at $746,875 and $857,387 at December 31, 2014 and 2013, respectively. Additionally, certain Plan investments are shares of mutual funds and units in the Fidelity Advisor Stable Value Fund managed by Fidelity Management Trust Company who is the Trustee as defined by the Plan, and therefore, these transactions qualify as party-in-interest transactions. Fees incurred by the Plan for the investment management services are included in net depreciation in fair value of the investments, as they are paid through revenue sharing, rather than a direct payment.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8 – </w:t>
      </w:r>
      <w:r>
        <w:rPr>
          <w:rFonts w:ascii="Arial" w:cs="Arial" w:eastAsia="Arial" w:hAnsi="Arial"/>
          <w:sz w:val="18"/>
          <w:szCs w:val="18"/>
          <w:u w:val="single" w:color="auto"/>
          <w:color w:val="auto"/>
        </w:rPr>
        <w:t>Risks and Uncertainties</w:t>
      </w:r>
    </w:p>
    <w:p>
      <w:pPr>
        <w:spacing w:after="0" w:line="11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9" w:right="239" w:bottom="1440" w:gutter="0" w:footer="0" w:header="0"/>
        </w:sectPr>
      </w:pPr>
    </w:p>
    <w:bookmarkStart w:id="16" w:name="page17"/>
    <w:bookmarkEnd w:id="16"/>
    <w:p>
      <w:pPr>
        <w:jc w:val="center"/>
        <w:ind w:right="-99"/>
        <w:spacing w:after="0"/>
        <w:rPr>
          <w:sz w:val="20"/>
          <w:szCs w:val="20"/>
          <w:color w:val="auto"/>
        </w:rPr>
      </w:pPr>
      <w:r>
        <w:rPr>
          <w:rFonts w:ascii="Arial" w:cs="Arial" w:eastAsia="Arial" w:hAnsi="Arial"/>
          <w:sz w:val="18"/>
          <w:szCs w:val="18"/>
          <w:color w:val="auto"/>
        </w:rPr>
        <w:t>Destination XL Group, Inc. 401(k) Salaried Savings Plan</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9 – </w:t>
      </w:r>
      <w:r>
        <w:rPr>
          <w:rFonts w:ascii="Arial" w:cs="Arial" w:eastAsia="Arial" w:hAnsi="Arial"/>
          <w:sz w:val="18"/>
          <w:szCs w:val="18"/>
          <w:u w:val="single" w:color="auto"/>
          <w:color w:val="auto"/>
        </w:rPr>
        <w:t>Income Tax Status</w:t>
      </w:r>
    </w:p>
    <w:p>
      <w:pPr>
        <w:spacing w:after="0" w:line="117"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The underlying non-standardized prototype plan has received an opinion letter from the Internal Revenue Service (“IRS”) dated March 31, 2014 stating that the form of the Plan is qualified under Section 401 of the Code and, therefore, the related trust tax-exempt. In accordance with Revenue Procedure 2002-6 and Announcement 2001-77, the Plan Sponsor has determined that it is eligible to and has chosen to rely on the current IRS prototype plan opinion</w:t>
      </w:r>
    </w:p>
    <w:p>
      <w:pPr>
        <w:ind w:right="120"/>
        <w:spacing w:after="0" w:line="255" w:lineRule="auto"/>
        <w:rPr>
          <w:sz w:val="20"/>
          <w:szCs w:val="20"/>
          <w:color w:val="auto"/>
        </w:rPr>
      </w:pPr>
      <w:r>
        <w:rPr>
          <w:rFonts w:ascii="Arial" w:cs="Arial" w:eastAsia="Arial" w:hAnsi="Arial"/>
          <w:sz w:val="18"/>
          <w:szCs w:val="18"/>
          <w:color w:val="auto"/>
        </w:rPr>
        <w:t>letter. Once qualified, the Plan is required to operate in conformity with the Code to maintain its qualification. The Plan has been amended since receiving the opinion letter. However, the Plan Administrator believes the Plan is being operated in compliance with the applicable requirements of the Code and, therefore, believes that the Plan is qualified and the related trust is tax-exempt.</w:t>
      </w:r>
    </w:p>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Accounting principles generally accepted in the United States of America require plan management to evaluate tax positions taken by the Plan and recognize a tax liability (or asset) if the Plan has taken an uncertain tax position that more likely than not would not be sustained upon examination by the taxing authorities. The Plan Administrator has analyzed the tax positions taken by the Plan, and has concluded that as of December 31, 2014, there are no uncertain positions taken or expected to be taken that would require recognition of a liability (or asset) or disclosure in the financial statements. The Plan is subject to routine audits by taxing jurisdictions.</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are currently no audits for any tax periods in progress. The Plan Administrator believes it is no longer subject to income tax examinations for years prior to 2011.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10 – </w:t>
      </w:r>
      <w:r>
        <w:rPr>
          <w:rFonts w:ascii="Arial" w:cs="Arial" w:eastAsia="Arial" w:hAnsi="Arial"/>
          <w:sz w:val="18"/>
          <w:szCs w:val="18"/>
          <w:u w:val="single" w:color="auto"/>
          <w:color w:val="auto"/>
        </w:rPr>
        <w:t>Reconciliation of Financial Statement to Form 5500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assets available for benefits according to the financial statements to Form 5500 as of December 31, 2014 and 2013:</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55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2014</w:t>
            </w: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2013</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41,462,871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38,058,561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560" w:type="dxa"/>
            <w:vAlign w:val="bottom"/>
          </w:tcPr>
          <w:p>
            <w:pPr>
              <w:spacing w:after="0"/>
              <w:rPr>
                <w:sz w:val="20"/>
                <w:szCs w:val="20"/>
                <w:color w:val="auto"/>
              </w:rPr>
            </w:pPr>
            <w:r>
              <w:rPr>
                <w:rFonts w:ascii="Arial" w:cs="Arial" w:eastAsia="Arial" w:hAnsi="Arial"/>
                <w:sz w:val="18"/>
                <w:szCs w:val="18"/>
                <w:color w:val="auto"/>
              </w:rPr>
              <w:t>Adjustment from fair value to contract value for fully</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benefit-responsive investment contract</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80,132</w:t>
            </w:r>
          </w:p>
        </w:tc>
        <w:tc>
          <w:tcPr>
            <w:tcW w:w="1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84,549</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available for benefits per Form 5500</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41,543,003</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38,143,110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ind w:left="390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39"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Destination XL Group, Inc. 401(k) Salaried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10 – </w:t>
      </w:r>
      <w:r>
        <w:rPr>
          <w:rFonts w:ascii="Arial" w:cs="Arial" w:eastAsia="Arial" w:hAnsi="Arial"/>
          <w:sz w:val="18"/>
          <w:szCs w:val="18"/>
          <w:u w:val="single" w:color="auto"/>
          <w:color w:val="auto"/>
        </w:rPr>
        <w:t>Reconciliation of Financial Statement to Form 5500 (continued)</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is a reconciliation of net depreciation in fair value of investments, dividend income, and interest income on notes receivable from participants for the year ended December 31, 2014 per the financial statements to Form 5500: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9420" w:type="dxa"/>
            <w:vAlign w:val="bottom"/>
            <w:shd w:val="clear" w:color="auto" w:fill="CFF0FC"/>
          </w:tcPr>
          <w:p>
            <w:pPr>
              <w:spacing w:after="0"/>
              <w:rPr>
                <w:sz w:val="20"/>
                <w:szCs w:val="20"/>
                <w:color w:val="auto"/>
              </w:rPr>
            </w:pPr>
            <w:r>
              <w:rPr>
                <w:rFonts w:ascii="Arial" w:cs="Arial" w:eastAsia="Arial" w:hAnsi="Arial"/>
                <w:sz w:val="18"/>
                <w:szCs w:val="18"/>
                <w:color w:val="auto"/>
              </w:rPr>
              <w:t>Net depreciation in fair value of investments, dividend income, and interest income on notes</w:t>
            </w:r>
          </w:p>
        </w:tc>
        <w:tc>
          <w:tcPr>
            <w:tcW w:w="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receivable from participants per the financial statements</w:t>
            </w: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2,121,548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9440" w:type="dxa"/>
            <w:vAlign w:val="bottom"/>
            <w:gridSpan w:val="2"/>
          </w:tcPr>
          <w:p>
            <w:pPr>
              <w:spacing w:after="0"/>
              <w:rPr>
                <w:sz w:val="20"/>
                <w:szCs w:val="20"/>
                <w:color w:val="auto"/>
              </w:rPr>
            </w:pPr>
            <w:r>
              <w:rPr>
                <w:rFonts w:ascii="Arial" w:cs="Arial" w:eastAsia="Arial" w:hAnsi="Arial"/>
                <w:sz w:val="18"/>
                <w:szCs w:val="18"/>
                <w:color w:val="auto"/>
              </w:rPr>
              <w:t>Add: Adjustment from fair value to contract value for fully benefit-responsive investment</w:t>
            </w: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tcPr>
          <w:p>
            <w:pPr>
              <w:ind w:left="120"/>
              <w:spacing w:after="0"/>
              <w:rPr>
                <w:sz w:val="20"/>
                <w:szCs w:val="20"/>
                <w:color w:val="auto"/>
              </w:rPr>
            </w:pPr>
            <w:r>
              <w:rPr>
                <w:rFonts w:ascii="Arial" w:cs="Arial" w:eastAsia="Arial" w:hAnsi="Arial"/>
                <w:sz w:val="18"/>
                <w:szCs w:val="18"/>
                <w:color w:val="auto"/>
              </w:rPr>
              <w:t>contracts in 2014</w:t>
            </w:r>
          </w:p>
        </w:tc>
        <w:tc>
          <w:tcPr>
            <w:tcW w:w="6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80,132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420" w:type="dxa"/>
            <w:vAlign w:val="bottom"/>
            <w:shd w:val="clear" w:color="auto" w:fill="CFF0FC"/>
          </w:tcPr>
          <w:p>
            <w:pPr>
              <w:spacing w:after="0"/>
              <w:rPr>
                <w:sz w:val="20"/>
                <w:szCs w:val="20"/>
                <w:color w:val="auto"/>
              </w:rPr>
            </w:pPr>
            <w:r>
              <w:rPr>
                <w:rFonts w:ascii="Arial" w:cs="Arial" w:eastAsia="Arial" w:hAnsi="Arial"/>
                <w:sz w:val="18"/>
                <w:szCs w:val="18"/>
                <w:color w:val="auto"/>
              </w:rPr>
              <w:t>Less: Adjustment from fair value to contract value for fully benefit-responsive investment</w:t>
            </w:r>
          </w:p>
        </w:tc>
        <w:tc>
          <w:tcPr>
            <w:tcW w:w="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contracts in 2013</w:t>
            </w:r>
          </w:p>
        </w:tc>
        <w:tc>
          <w:tcPr>
            <w:tcW w:w="6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(84,549)</w:t>
            </w:r>
          </w:p>
        </w:tc>
        <w:tc>
          <w:tcPr>
            <w:tcW w:w="0" w:type="dxa"/>
            <w:vAlign w:val="bottom"/>
          </w:tcPr>
          <w:p>
            <w:pPr>
              <w:spacing w:after="0"/>
              <w:rPr>
                <w:sz w:val="1"/>
                <w:szCs w:val="1"/>
                <w:color w:val="auto"/>
              </w:rPr>
            </w:pPr>
          </w:p>
        </w:tc>
      </w:tr>
      <w:tr>
        <w:trPr>
          <w:trHeight w:val="438"/>
        </w:trPr>
        <w:tc>
          <w:tcPr>
            <w:tcW w:w="9440" w:type="dxa"/>
            <w:vAlign w:val="bottom"/>
            <w:gridSpan w:val="2"/>
          </w:tcPr>
          <w:p>
            <w:pPr>
              <w:spacing w:after="0"/>
              <w:rPr>
                <w:sz w:val="20"/>
                <w:szCs w:val="20"/>
                <w:color w:val="auto"/>
              </w:rPr>
            </w:pPr>
            <w:r>
              <w:rPr>
                <w:rFonts w:ascii="Arial" w:cs="Arial" w:eastAsia="Arial" w:hAnsi="Arial"/>
                <w:sz w:val="18"/>
                <w:szCs w:val="18"/>
                <w:color w:val="auto"/>
              </w:rPr>
              <w:t>Net depreciation in fair value of investments, dividend income, and interest income on notes</w:t>
            </w:r>
          </w:p>
        </w:tc>
        <w:tc>
          <w:tcPr>
            <w:tcW w:w="6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tcPr>
          <w:p>
            <w:pPr>
              <w:ind w:left="120"/>
              <w:spacing w:after="0"/>
              <w:rPr>
                <w:sz w:val="20"/>
                <w:szCs w:val="20"/>
                <w:color w:val="auto"/>
              </w:rPr>
            </w:pPr>
            <w:r>
              <w:rPr>
                <w:rFonts w:ascii="Arial" w:cs="Arial" w:eastAsia="Arial" w:hAnsi="Arial"/>
                <w:sz w:val="18"/>
                <w:szCs w:val="18"/>
                <w:color w:val="auto"/>
              </w:rPr>
              <w:t>receivable from participants per Form 5500</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2,117,131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11 – </w:t>
      </w:r>
      <w:r>
        <w:rPr>
          <w:rFonts w:ascii="Arial" w:cs="Arial" w:eastAsia="Arial" w:hAnsi="Arial"/>
          <w:sz w:val="18"/>
          <w:szCs w:val="18"/>
          <w:u w:val="single" w:color="auto"/>
          <w:color w:val="auto"/>
        </w:rPr>
        <w:t>Subsequent Event</w:t>
      </w:r>
    </w:p>
    <w:p>
      <w:pPr>
        <w:spacing w:after="0" w:line="11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On January 1, 2015, the Destination XL Group, Inc. 401(k) Hourly Savings Plan was merged into this Plan which was renamed to the Destination XL Group, Inc. 401(k) Savings Plan.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9" w:right="2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SUPPLEMENTAL SCHEDULE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019"/>
          </w:cols>
          <w:pgMar w:left="1440" w:top="1440" w:right="1440" w:bottom="1440" w:gutter="0" w:footer="0" w:header="0"/>
          <w:type w:val="continuous"/>
        </w:sectPr>
      </w:pPr>
    </w:p>
    <w:bookmarkStart w:id="19" w:name="page20"/>
    <w:bookmarkEnd w:id="19"/>
    <w:p>
      <w:pPr>
        <w:jc w:val="center"/>
        <w:ind w:left="1740"/>
        <w:spacing w:after="0"/>
        <w:rPr>
          <w:sz w:val="20"/>
          <w:szCs w:val="20"/>
          <w:color w:val="auto"/>
        </w:rPr>
      </w:pPr>
      <w:r>
        <w:rPr>
          <w:rFonts w:ascii="Arial" w:cs="Arial" w:eastAsia="Arial" w:hAnsi="Arial"/>
          <w:sz w:val="18"/>
          <w:szCs w:val="18"/>
          <w:color w:val="auto"/>
        </w:rPr>
        <w:t>Destination XL Group, Inc. 401(k) Salaried Savings Plan</w:t>
      </w:r>
    </w:p>
    <w:p>
      <w:pPr>
        <w:spacing w:after="0" w:line="23" w:lineRule="exact"/>
        <w:rPr>
          <w:sz w:val="20"/>
          <w:szCs w:val="20"/>
          <w:color w:val="auto"/>
        </w:rPr>
      </w:pPr>
    </w:p>
    <w:p>
      <w:pPr>
        <w:jc w:val="center"/>
        <w:ind w:left="1740"/>
        <w:spacing w:after="0"/>
        <w:rPr>
          <w:sz w:val="20"/>
          <w:szCs w:val="20"/>
          <w:color w:val="auto"/>
        </w:rPr>
      </w:pPr>
      <w:r>
        <w:rPr>
          <w:rFonts w:ascii="Arial" w:cs="Arial" w:eastAsia="Arial" w:hAnsi="Arial"/>
          <w:sz w:val="18"/>
          <w:szCs w:val="18"/>
          <w:color w:val="auto"/>
        </w:rPr>
        <w:t>EIN: 04-2623104/Plan Number: 004</w:t>
      </w:r>
    </w:p>
    <w:p>
      <w:pPr>
        <w:spacing w:after="0" w:line="9" w:lineRule="exact"/>
        <w:rPr>
          <w:sz w:val="20"/>
          <w:szCs w:val="20"/>
          <w:color w:val="auto"/>
        </w:rPr>
      </w:pPr>
    </w:p>
    <w:p>
      <w:pPr>
        <w:jc w:val="center"/>
        <w:ind w:left="1740"/>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Identity of Issue, Borrower,</w:t>
            </w:r>
          </w:p>
        </w:tc>
        <w:tc>
          <w:tcPr>
            <w:tcW w:w="520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Description of investment including maturity date, rate of interest, collateral, par,</w:t>
            </w:r>
          </w:p>
        </w:tc>
        <w:tc>
          <w:tcPr>
            <w:tcW w:w="5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Shares/Units</w:t>
            </w:r>
          </w:p>
        </w:tc>
        <w:tc>
          <w:tcPr>
            <w:tcW w:w="0" w:type="dxa"/>
            <w:vAlign w:val="bottom"/>
          </w:tcPr>
          <w:p>
            <w:pPr>
              <w:spacing w:after="0"/>
              <w:rPr>
                <w:sz w:val="1"/>
                <w:szCs w:val="1"/>
                <w:color w:val="auto"/>
              </w:rPr>
            </w:pPr>
          </w:p>
        </w:tc>
      </w:tr>
      <w:tr>
        <w:trPr>
          <w:trHeight w:val="171"/>
        </w:trPr>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Lessor, or Similar Party</w:t>
            </w:r>
          </w:p>
        </w:tc>
        <w:tc>
          <w:tcPr>
            <w:tcW w:w="510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or maturity value</w:t>
            </w:r>
          </w:p>
        </w:tc>
        <w:tc>
          <w:tcPr>
            <w:tcW w:w="10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80" w:type="dxa"/>
            <w:vAlign w:val="bottom"/>
            <w:gridSpan w:val="3"/>
            <w:vMerge w:val="restart"/>
          </w:tcPr>
          <w:p>
            <w:pPr>
              <w:spacing w:after="0"/>
              <w:rPr>
                <w:sz w:val="20"/>
                <w:szCs w:val="20"/>
                <w:color w:val="auto"/>
              </w:rPr>
            </w:pPr>
            <w:r>
              <w:rPr>
                <w:rFonts w:ascii="Arial" w:cs="Arial" w:eastAsia="Arial" w:hAnsi="Arial"/>
                <w:sz w:val="18"/>
                <w:szCs w:val="18"/>
                <w:color w:val="auto"/>
              </w:rPr>
              <w:t>Commingled funds held through Fidelity Investments:</w:t>
            </w:r>
          </w:p>
        </w:tc>
        <w:tc>
          <w:tcPr>
            <w:tcW w:w="58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80" w:type="dxa"/>
            <w:vAlign w:val="bottom"/>
            <w:gridSpan w:val="3"/>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*Fidelity Advisor Stable Value Fund (2)</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4,514,488</w:t>
            </w:r>
          </w:p>
        </w:tc>
        <w:tc>
          <w:tcPr>
            <w:tcW w:w="0" w:type="dxa"/>
            <w:vAlign w:val="bottom"/>
          </w:tcPr>
          <w:p>
            <w:pPr>
              <w:spacing w:after="0"/>
              <w:rPr>
                <w:sz w:val="1"/>
                <w:szCs w:val="1"/>
                <w:color w:val="auto"/>
              </w:rPr>
            </w:pPr>
          </w:p>
        </w:tc>
      </w:tr>
      <w:tr>
        <w:trPr>
          <w:trHeight w:val="230"/>
        </w:trPr>
        <w:tc>
          <w:tcPr>
            <w:tcW w:w="7080" w:type="dxa"/>
            <w:vAlign w:val="bottom"/>
            <w:gridSpan w:val="3"/>
          </w:tcPr>
          <w:p>
            <w:pPr>
              <w:spacing w:after="0"/>
              <w:rPr>
                <w:sz w:val="20"/>
                <w:szCs w:val="20"/>
                <w:color w:val="auto"/>
              </w:rPr>
            </w:pPr>
            <w:r>
              <w:rPr>
                <w:rFonts w:ascii="Arial" w:cs="Arial" w:eastAsia="Arial" w:hAnsi="Arial"/>
                <w:sz w:val="18"/>
                <w:szCs w:val="18"/>
                <w:color w:val="auto"/>
              </w:rPr>
              <w:t>Mutual Funds held through Fidelity Investments:</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Cash—interest bearing</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*Fidelity Advisor Freedom 2010 I</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25,515</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*Fidelity Advisor Freedom 2020 I</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146,272</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*Fidelity Advisor Freedom 2030 I</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95,726</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*Fidelity Advisor Freedom 2040 I</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121,291</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*Fidelity Advisor Freedom Income I</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*Fidelity Advisor New Insights I</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123,070</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*Fidelity Advisor Freedom 2005 I</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172,927</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*Fidelity Advisor Freedom 2015 I</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53,525</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*Fidelity Advisor Freedom 2025 I</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134,353</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*Fidelity Advisor Freedom 2035 I</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194,673</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*Fidelity Advisor Freedom 2045 I</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97,155</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*Fidelity Advisor Freedom 2050 I</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50,092</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*Fidelity Advisor Freedom 2055 I</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13,283</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Prudential Jennison Mid Cap Growth Fund</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48,947</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MFS International Value Fund</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15,091</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Invesco International Growth Fund</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44,360</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Metropolitan West Total Return Bond Fund</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189,463</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American Century Mid Cap Value Fund</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153,354</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JP Morgan Equity Index Select</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101,496</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Templeton Global Bond Fund</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25,681</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Goldman Sachs Small Cap Value Fund</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25,434</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American Beacon Bridgeway Large Cap Value Fund</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61,999</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Blackrock Inflation Protected Bond Fund</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24,561</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Pimco Income Fund</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29,166</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Calamos Evolving World Growth Fund</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30"/>
        </w:trPr>
        <w:tc>
          <w:tcPr>
            <w:tcW w:w="7080" w:type="dxa"/>
            <w:vAlign w:val="bottom"/>
            <w:gridSpan w:val="3"/>
          </w:tcPr>
          <w:p>
            <w:pPr>
              <w:spacing w:after="0"/>
              <w:rPr>
                <w:sz w:val="20"/>
                <w:szCs w:val="20"/>
                <w:color w:val="auto"/>
              </w:rPr>
            </w:pPr>
            <w:r>
              <w:rPr>
                <w:rFonts w:ascii="Arial" w:cs="Arial" w:eastAsia="Arial" w:hAnsi="Arial"/>
                <w:sz w:val="18"/>
                <w:szCs w:val="18"/>
                <w:color w:val="auto"/>
              </w:rPr>
              <w:t>Common Stock held through Fidelity Investments:</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 Destination XL Group, Inc.</w:t>
            </w:r>
          </w:p>
        </w:tc>
        <w:tc>
          <w:tcPr>
            <w:tcW w:w="58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136,790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-4518660</wp:posOffset>
            </wp:positionV>
            <wp:extent cx="717804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460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-4227195</wp:posOffset>
            </wp:positionV>
            <wp:extent cx="717804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460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-3935730</wp:posOffset>
            </wp:positionV>
            <wp:extent cx="717804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460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-3644265</wp:posOffset>
            </wp:positionV>
            <wp:extent cx="717804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460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-3352800</wp:posOffset>
            </wp:positionV>
            <wp:extent cx="717804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460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-3060700</wp:posOffset>
            </wp:positionV>
            <wp:extent cx="717804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460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-2769235</wp:posOffset>
            </wp:positionV>
            <wp:extent cx="717804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460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-2477770</wp:posOffset>
            </wp:positionV>
            <wp:extent cx="717804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460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-2186305</wp:posOffset>
            </wp:positionV>
            <wp:extent cx="717804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460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-1894840</wp:posOffset>
            </wp:positionV>
            <wp:extent cx="717804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460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-1602740</wp:posOffset>
            </wp:positionV>
            <wp:extent cx="717804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460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-1311275</wp:posOffset>
            </wp:positionV>
            <wp:extent cx="717804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460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-1019810</wp:posOffset>
            </wp:positionV>
            <wp:extent cx="717804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460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-728345</wp:posOffset>
            </wp:positionV>
            <wp:extent cx="717804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460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-436880</wp:posOffset>
            </wp:positionV>
            <wp:extent cx="717804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460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-145415</wp:posOffset>
            </wp:positionV>
            <wp:extent cx="717804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4605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Notes receivable from participants: 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717804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4605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*Indicates party-in-interest to the Plan.</w:t>
      </w:r>
    </w:p>
    <w:p>
      <w:pPr>
        <w:spacing w:after="0" w:line="23" w:lineRule="exact"/>
        <w:rPr>
          <w:sz w:val="20"/>
          <w:szCs w:val="20"/>
          <w:color w:val="auto"/>
        </w:rPr>
      </w:pPr>
    </w:p>
    <w:p>
      <w:pPr>
        <w:ind w:left="260" w:hanging="258"/>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information may be omitted for plan assets which are participant-directed.</w:t>
      </w:r>
    </w:p>
    <w:p>
      <w:pPr>
        <w:spacing w:after="0" w:line="22" w:lineRule="exact"/>
        <w:rPr>
          <w:rFonts w:ascii="Arial" w:cs="Arial" w:eastAsia="Arial" w:hAnsi="Arial"/>
          <w:sz w:val="18"/>
          <w:szCs w:val="18"/>
          <w:color w:val="auto"/>
        </w:rPr>
      </w:pPr>
    </w:p>
    <w:p>
      <w:pPr>
        <w:ind w:left="260" w:hanging="258"/>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$75,625 of non participant-directed, unallocated forfeitures for which historical cost approximates current value.</w:t>
      </w:r>
    </w:p>
    <w:p>
      <w:pPr>
        <w:spacing w:after="0" w:line="200" w:lineRule="exact"/>
        <w:rPr>
          <w:sz w:val="20"/>
          <w:szCs w:val="20"/>
          <w:color w:val="auto"/>
        </w:rPr>
      </w:pPr>
    </w:p>
    <w:p>
      <w:pPr>
        <w:spacing w:after="0" w:line="2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Current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9347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740" w:hanging="734"/>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4,594,620</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319,446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1,935,176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1,325,806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1,721,126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82,137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3,341,354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2,068,211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670,135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1,751,960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2,575,525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1,060,927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542,495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154,615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1,959,336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500,101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1,431,925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2,067,044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2,522,673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4,166,416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318,700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1,415,430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1,473,704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264,276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359,615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15,289</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746,875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9347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39,386,168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955,723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9347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5" w:lineRule="exact"/>
        <w:rPr>
          <w:sz w:val="20"/>
          <w:szCs w:val="20"/>
          <w:color w:val="auto"/>
        </w:rPr>
      </w:pPr>
    </w:p>
    <w:p>
      <w:pPr>
        <w:ind w:left="660" w:hanging="654"/>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40,341,891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36830</wp:posOffset>
            </wp:positionV>
            <wp:extent cx="9347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53975</wp:posOffset>
            </wp:positionV>
            <wp:extent cx="9347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ectPr>
          <w:pgSz w:w="11900" w:h="16838" w:orient="portrait"/>
          <w:cols w:equalWidth="0" w:num="2">
            <w:col w:w="9560" w:space="200"/>
            <w:col w:w="1460"/>
          </w:cols>
          <w:pgMar w:left="300" w:top="139" w:right="379" w:bottom="1440" w:gutter="0" w:footer="0" w:header="0"/>
        </w:sectPr>
      </w:pPr>
    </w:p>
    <w:bookmarkStart w:id="20" w:name="page21"/>
    <w:bookmarkEnd w:id="20"/>
    <w:p>
      <w:pPr>
        <w:ind w:left="5060"/>
        <w:spacing w:after="0"/>
        <w:rPr>
          <w:sz w:val="20"/>
          <w:szCs w:val="20"/>
          <w:color w:val="auto"/>
        </w:rPr>
      </w:pPr>
      <w:r>
        <w:rPr>
          <w:rFonts w:ascii="Arial" w:cs="Arial" w:eastAsia="Arial" w:hAnsi="Arial"/>
          <w:sz w:val="16"/>
          <w:szCs w:val="16"/>
          <w:b w:val="1"/>
          <w:bCs w:val="1"/>
          <w:color w:val="auto"/>
        </w:rPr>
        <w:t>Index to Exhibits</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19"/>
          </w:cols>
          <w:pgMar w:left="240" w:top="135"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1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Destination XL Group, Inc. 401(k) Salaried Savings plan</w:t>
      </w:r>
    </w:p>
    <w:p>
      <w:pPr>
        <w:spacing w:after="0" w:line="15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Peter H. Stratton, Jr.</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Peter H. Stratton, Jr., Senior Vice President and Chief</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Financial Officer of Destination XL Group, Inc., the Plan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Administrator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June 25,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9"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0"/>
          <w:szCs w:val="20"/>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consent to the incorporation by reference in the Registration Statement (No. 333-112218) on Form S-8 of our report dated June 25, 2015, relating to the statements of net assets available for benefits of Destination XL Group, Inc. 401(k) Salaried Savings Plan as of December 31, 2014, and 2013, the related statement of changes in net assets available for benefits for the year ended December 31, 2014, and the related supplemental schedule as of December 31, 2014, which report appears in the December 31, 2014 annual report on Form 11-K of Destination XL Group, Inc. 401(k) Salaried Savings Plan.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CPAs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(The New York Practice of Mayer Hoffman McCann P.C.)</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June 25, 2015</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2019-12-06T01:07:30Z</dcterms:created>
  <dcterms:modified xsi:type="dcterms:W3CDTF">2019-12-06T01:07:30Z</dcterms:modified>
</cp:coreProperties>
</file>