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UNITED STATES</w:t>
      </w:r>
    </w:p>
    <w:p>
      <w:pPr>
        <w:ind w:left="24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3060"/>
        <w:spacing w:after="0"/>
        <w:tabs>
          <w:tab w:leader="none" w:pos="49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ind w:left="2640"/>
        <w:spacing w:after="0" w:line="237" w:lineRule="auto"/>
        <w:rPr>
          <w:sz w:val="20"/>
          <w:szCs w:val="20"/>
          <w:color w:val="auto"/>
        </w:rPr>
      </w:pPr>
      <w:r>
        <w:rPr>
          <w:rFonts w:ascii="Courier New" w:cs="Courier New" w:eastAsia="Courier New" w:hAnsi="Courier New"/>
          <w:sz w:val="18"/>
          <w:szCs w:val="18"/>
          <w:color w:val="auto"/>
        </w:rPr>
        <w:t>______________________________</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8-K</w:t>
      </w:r>
    </w:p>
    <w:p>
      <w:pPr>
        <w:ind w:left="3280"/>
        <w:spacing w:after="0" w:line="238" w:lineRule="auto"/>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4"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PURSUANT TO SECTION 13 OR 15(d) OF THE</w:t>
      </w:r>
    </w:p>
    <w:p>
      <w:pPr>
        <w:ind w:left="25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4" w:lineRule="exact"/>
        <w:rPr>
          <w:sz w:val="24"/>
          <w:szCs w:val="24"/>
          <w:color w:val="auto"/>
        </w:rPr>
      </w:pPr>
    </w:p>
    <w:p>
      <w:pPr>
        <w:ind w:left="960"/>
        <w:spacing w:after="0"/>
        <w:tabs>
          <w:tab w:leader="none" w:pos="630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July 31, 2006</w:t>
      </w:r>
    </w:p>
    <w:p>
      <w:pPr>
        <w:spacing w:after="0" w:line="200" w:lineRule="exact"/>
        <w:rPr>
          <w:sz w:val="24"/>
          <w:szCs w:val="24"/>
          <w:color w:val="auto"/>
        </w:rPr>
      </w:pPr>
    </w:p>
    <w:p>
      <w:pPr>
        <w:spacing w:after="0" w:line="204"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0-15898</w:t>
      </w:r>
    </w:p>
    <w:p>
      <w:pPr>
        <w:ind w:left="3060"/>
        <w:spacing w:after="0" w:line="238" w:lineRule="auto"/>
        <w:rPr>
          <w:sz w:val="20"/>
          <w:szCs w:val="20"/>
          <w:color w:val="auto"/>
        </w:rPr>
      </w:pPr>
      <w:r>
        <w:rPr>
          <w:rFonts w:ascii="Courier New" w:cs="Courier New" w:eastAsia="Courier New" w:hAnsi="Courier New"/>
          <w:sz w:val="18"/>
          <w:szCs w:val="18"/>
          <w:color w:val="auto"/>
        </w:rPr>
        <w:t>(Commission File Number)</w:t>
      </w:r>
    </w:p>
    <w:p>
      <w:pPr>
        <w:spacing w:after="0" w:line="202"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______________________________</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CASUAL MALE RETAIL GROUP, INC.</w:t>
      </w:r>
    </w:p>
    <w:p>
      <w:pPr>
        <w:ind w:left="1580"/>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55" w:orient="portrait"/>
          <w:cols w:equalWidth="0" w:num="1">
            <w:col w:w="10219"/>
          </w:cols>
          <w:pgMar w:left="240" w:top="447" w:right="1440" w:bottom="0" w:gutter="0" w:footer="0" w:header="0"/>
        </w:sectPr>
      </w:pP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100"/>
        <w:spacing w:after="0"/>
        <w:rPr>
          <w:sz w:val="20"/>
          <w:szCs w:val="20"/>
          <w:color w:val="auto"/>
        </w:rPr>
      </w:pPr>
      <w:r>
        <w:rPr>
          <w:rFonts w:ascii="Courier New" w:cs="Courier New" w:eastAsia="Courier New" w:hAnsi="Courier New"/>
          <w:sz w:val="18"/>
          <w:szCs w:val="18"/>
          <w:color w:val="auto"/>
        </w:rPr>
        <w:t>04-2623104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w:t>
      </w:r>
    </w:p>
    <w:p>
      <w:pPr>
        <w:spacing w:after="0" w:line="16" w:lineRule="exact"/>
        <w:rPr>
          <w:sz w:val="24"/>
          <w:szCs w:val="24"/>
          <w:color w:val="auto"/>
        </w:rPr>
      </w:pPr>
    </w:p>
    <w:p>
      <w:pPr>
        <w:sectPr>
          <w:pgSz w:w="11900" w:h="16855" w:orient="portrait"/>
          <w:cols w:equalWidth="0" w:num="2">
            <w:col w:w="5400" w:space="720"/>
            <w:col w:w="4099"/>
          </w:cols>
          <w:pgMar w:left="240" w:top="447" w:right="1440" w:bottom="0" w:gutter="0" w:footer="0" w:header="0"/>
          <w:type w:val="continuous"/>
        </w:sectPr>
      </w:pPr>
    </w:p>
    <w:p>
      <w:pPr>
        <w:ind w:left="5480"/>
        <w:spacing w:after="0"/>
        <w:rPr>
          <w:sz w:val="20"/>
          <w:szCs w:val="20"/>
          <w:color w:val="auto"/>
        </w:rPr>
      </w:pPr>
      <w:r>
        <w:rPr>
          <w:rFonts w:ascii="Courier New" w:cs="Courier New" w:eastAsia="Courier New" w:hAnsi="Courier New"/>
          <w:sz w:val="18"/>
          <w:szCs w:val="18"/>
          <w:color w:val="auto"/>
        </w:rPr>
        <w:t>Identification Number)</w:t>
      </w:r>
    </w:p>
    <w:p>
      <w:pPr>
        <w:spacing w:after="0" w:line="200" w:lineRule="exact"/>
        <w:rPr>
          <w:sz w:val="24"/>
          <w:szCs w:val="24"/>
          <w:color w:val="auto"/>
        </w:rPr>
      </w:pPr>
    </w:p>
    <w:p>
      <w:pPr>
        <w:spacing w:after="0" w:line="204" w:lineRule="exact"/>
        <w:rPr>
          <w:sz w:val="24"/>
          <w:szCs w:val="24"/>
          <w:color w:val="auto"/>
        </w:rPr>
      </w:pPr>
    </w:p>
    <w:p>
      <w:pPr>
        <w:jc w:val="center"/>
        <w:ind w:right="1139"/>
        <w:spacing w:after="0"/>
        <w:rPr>
          <w:sz w:val="20"/>
          <w:szCs w:val="20"/>
          <w:color w:val="auto"/>
        </w:rPr>
      </w:pPr>
      <w:r>
        <w:rPr>
          <w:rFonts w:ascii="Courier New" w:cs="Courier New" w:eastAsia="Courier New" w:hAnsi="Courier New"/>
          <w:sz w:val="18"/>
          <w:szCs w:val="18"/>
          <w:color w:val="auto"/>
        </w:rPr>
        <w:t>555 Turnpike Street, Canton, Massachusetts 02021</w:t>
      </w:r>
    </w:p>
    <w:p>
      <w:pPr>
        <w:jc w:val="center"/>
        <w:ind w:right="1139"/>
        <w:spacing w:after="0" w:line="238" w:lineRule="auto"/>
        <w:rPr>
          <w:sz w:val="20"/>
          <w:szCs w:val="20"/>
          <w:color w:val="auto"/>
        </w:rPr>
      </w:pPr>
      <w:r>
        <w:rPr>
          <w:rFonts w:ascii="Courier New" w:cs="Courier New" w:eastAsia="Courier New" w:hAnsi="Courier New"/>
          <w:sz w:val="18"/>
          <w:szCs w:val="18"/>
          <w:color w:val="auto"/>
        </w:rPr>
        <w:t>(Address of registrant's principal executive office)</w:t>
      </w:r>
    </w:p>
    <w:p>
      <w:pPr>
        <w:spacing w:after="0" w:line="200" w:lineRule="exact"/>
        <w:rPr>
          <w:sz w:val="24"/>
          <w:szCs w:val="24"/>
          <w:color w:val="auto"/>
        </w:rPr>
      </w:pPr>
    </w:p>
    <w:p>
      <w:pPr>
        <w:spacing w:after="0" w:line="204" w:lineRule="exact"/>
        <w:rPr>
          <w:sz w:val="24"/>
          <w:szCs w:val="24"/>
          <w:color w:val="auto"/>
        </w:rPr>
      </w:pPr>
    </w:p>
    <w:p>
      <w:pPr>
        <w:ind w:left="4120" w:hanging="636"/>
        <w:spacing w:after="0"/>
        <w:tabs>
          <w:tab w:leader="none" w:pos="4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828-9300</w:t>
      </w:r>
    </w:p>
    <w:p>
      <w:pPr>
        <w:ind w:left="2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(Registrant's telephone number)</w:t>
      </w:r>
    </w:p>
    <w:p>
      <w:pPr>
        <w:ind w:left="2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w:t>
      </w:r>
    </w:p>
    <w:p>
      <w:pPr>
        <w:spacing w:after="0" w:line="200" w:lineRule="exact"/>
        <w:rPr>
          <w:sz w:val="24"/>
          <w:szCs w:val="24"/>
          <w:color w:val="auto"/>
        </w:rPr>
      </w:pPr>
    </w:p>
    <w:p>
      <w:pPr>
        <w:spacing w:after="0" w:line="210" w:lineRule="exact"/>
        <w:rPr>
          <w:sz w:val="24"/>
          <w:szCs w:val="24"/>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09" w:lineRule="exact"/>
        <w:rPr>
          <w:sz w:val="24"/>
          <w:szCs w:val="24"/>
          <w:color w:val="auto"/>
        </w:rPr>
      </w:pPr>
    </w:p>
    <w:p>
      <w:pPr>
        <w:ind w:left="420" w:right="2619" w:hanging="412"/>
        <w:spacing w:after="0" w:line="235" w:lineRule="auto"/>
        <w:tabs>
          <w:tab w:leader="none" w:pos="20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Written communications pursuant to Rule 425 under the Securities Act (17 CFR 230.425)</w:t>
      </w:r>
    </w:p>
    <w:p>
      <w:pPr>
        <w:spacing w:after="0" w:line="208" w:lineRule="exact"/>
        <w:rPr>
          <w:sz w:val="24"/>
          <w:szCs w:val="24"/>
          <w:color w:val="auto"/>
        </w:rPr>
      </w:pPr>
    </w:p>
    <w:p>
      <w:pPr>
        <w:ind w:left="420" w:right="2839" w:hanging="412"/>
        <w:spacing w:after="0" w:line="235" w:lineRule="auto"/>
        <w:tabs>
          <w:tab w:leader="none" w:pos="20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Soliciting material pursuant to Rule 14a-12 under the Exchange Act (17 CFR 240.14a-12)</w:t>
      </w:r>
    </w:p>
    <w:p>
      <w:pPr>
        <w:spacing w:after="0" w:line="208" w:lineRule="exact"/>
        <w:rPr>
          <w:sz w:val="24"/>
          <w:szCs w:val="24"/>
          <w:color w:val="auto"/>
        </w:rPr>
      </w:pPr>
    </w:p>
    <w:p>
      <w:pPr>
        <w:ind w:left="420" w:right="2739" w:hanging="412"/>
        <w:spacing w:after="0" w:line="235" w:lineRule="auto"/>
        <w:tabs>
          <w:tab w:leader="none" w:pos="20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14d-2(b) under the Exchange Act(17 CFR 240.14d-2(b))</w:t>
      </w:r>
    </w:p>
    <w:p>
      <w:pPr>
        <w:spacing w:after="0" w:line="208" w:lineRule="exact"/>
        <w:rPr>
          <w:sz w:val="24"/>
          <w:szCs w:val="24"/>
          <w:color w:val="auto"/>
        </w:rPr>
      </w:pPr>
    </w:p>
    <w:p>
      <w:pPr>
        <w:ind w:left="420" w:right="2739" w:hanging="412"/>
        <w:spacing w:after="0" w:line="235" w:lineRule="auto"/>
        <w:tabs>
          <w:tab w:leader="none" w:pos="20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13e-4(c) under the Exchange Act(17 CFR 240.13e-4(c))</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1.01</w:t>
      </w:r>
      <w:r>
        <w:rPr>
          <w:sz w:val="20"/>
          <w:szCs w:val="20"/>
          <w:color w:val="auto"/>
        </w:rPr>
        <w:tab/>
      </w:r>
      <w:r>
        <w:rPr>
          <w:rFonts w:ascii="Courier New" w:cs="Courier New" w:eastAsia="Courier New" w:hAnsi="Courier New"/>
          <w:sz w:val="16"/>
          <w:szCs w:val="16"/>
          <w:color w:val="auto"/>
        </w:rPr>
        <w:t>Entry into a Material Definitive Agreement.</w:t>
      </w:r>
    </w:p>
    <w:p>
      <w:pPr>
        <w:spacing w:after="0" w:line="201" w:lineRule="exact"/>
        <w:rPr>
          <w:sz w:val="24"/>
          <w:szCs w:val="24"/>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Approval of 2006 Incentive Compensation Plan</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At the 2006 Annual Meeting of Stockholders of Casual Male Retail Group, Inc. (the "Company"), the Company's stockholders approved the adoption of the 2006 Incentive Compensation Plan (the "2006 Plan"). As a result of such approval, no further grants will be made under the Company's 1992 Stock Incentive Plan.</w:t>
      </w:r>
    </w:p>
    <w:p>
      <w:pPr>
        <w:spacing w:after="0" w:line="209"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terms of the 2006 Plan provide for grants of stock options, stock appreciation rights, or SARs, restricted stock, deferred stock, other stock-related awards and performance awards that may be settled in cash, stock or other property.</w:t>
      </w:r>
    </w:p>
    <w:p>
      <w:pPr>
        <w:spacing w:after="0" w:line="207" w:lineRule="exact"/>
        <w:rPr>
          <w:sz w:val="24"/>
          <w:szCs w:val="24"/>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The following is a summary of certain principal features of the 2006 Plan. This summary is qualified in its entirety by reference to the complete text of the 2006 Plan, which is included as an appendix to the Company's definitive proxy statement filed with the SEC on June 26, 2006.</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Shares Available for Awards; Annual Per-Person Limitations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2006 Plan, the total number of shares of Common Stock that may be</w:t>
      </w:r>
    </w:p>
    <w:p>
      <w:pPr>
        <w:sectPr>
          <w:pgSz w:w="11900" w:h="16855" w:orient="portrait"/>
          <w:cols w:equalWidth="0" w:num="1">
            <w:col w:w="10219"/>
          </w:cols>
          <w:pgMar w:left="240" w:top="447" w:right="1440" w:bottom="0" w:gutter="0" w:footer="0" w:header="0"/>
          <w:type w:val="continuous"/>
        </w:sectPr>
      </w:pPr>
    </w:p>
    <w:bookmarkStart w:id="1" w:name="page2"/>
    <w:bookmarkEnd w:id="1"/>
    <w:p>
      <w:pPr>
        <w:ind w:right="2319"/>
        <w:spacing w:after="0" w:line="237" w:lineRule="auto"/>
        <w:rPr>
          <w:sz w:val="20"/>
          <w:szCs w:val="20"/>
          <w:color w:val="auto"/>
        </w:rPr>
      </w:pPr>
      <w:r>
        <w:rPr>
          <w:rFonts w:ascii="Courier New" w:cs="Courier New" w:eastAsia="Courier New" w:hAnsi="Courier New"/>
          <w:sz w:val="18"/>
          <w:szCs w:val="18"/>
          <w:color w:val="auto"/>
        </w:rPr>
        <w:t>subject to the granting of awards under the 2006 Plan shall be equal to 2,500,000 shares, plus the number of shares with respect to which awards previously granted thereunder that terminate without being exercised; provided, however, that the maximum number of shares that may be subject to the granting of awards other than stock options and SARs shall not exceed 1,250,000.</w:t>
      </w:r>
    </w:p>
    <w:p>
      <w:pPr>
        <w:spacing w:after="0" w:line="210"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Awards that are settled or exercised through the payment of shares will be counted in full against the number of shares available for award under the 2006 Plan, regardless of the number of shares actually issued upon settlement or exercise of any such award.</w:t>
      </w:r>
    </w:p>
    <w:p>
      <w:pPr>
        <w:spacing w:after="0" w:line="207" w:lineRule="exact"/>
        <w:rPr>
          <w:sz w:val="20"/>
          <w:szCs w:val="20"/>
          <w:color w:val="auto"/>
        </w:rPr>
      </w:pPr>
    </w:p>
    <w:p>
      <w:pPr>
        <w:jc w:val="both"/>
        <w:ind w:right="2099"/>
        <w:spacing w:after="0" w:line="237" w:lineRule="auto"/>
        <w:rPr>
          <w:sz w:val="20"/>
          <w:szCs w:val="20"/>
          <w:color w:val="auto"/>
        </w:rPr>
      </w:pPr>
      <w:r>
        <w:rPr>
          <w:rFonts w:ascii="Courier New" w:cs="Courier New" w:eastAsia="Courier New" w:hAnsi="Courier New"/>
          <w:sz w:val="18"/>
          <w:szCs w:val="18"/>
          <w:color w:val="auto"/>
        </w:rPr>
        <w:t>Awards with respect to shares that are granted to replace outstanding awards or other similar rights that are assumed or replaced by awards under the 2006 Plan pursuant to the acquisition of a business are not subject to, and do not count against, the foregoing limit.</w:t>
      </w:r>
    </w:p>
    <w:p>
      <w:pPr>
        <w:spacing w:after="0" w:line="207" w:lineRule="exact"/>
        <w:rPr>
          <w:sz w:val="20"/>
          <w:szCs w:val="20"/>
          <w:color w:val="auto"/>
        </w:rPr>
      </w:pPr>
    </w:p>
    <w:p>
      <w:pPr>
        <w:ind w:right="2099"/>
        <w:spacing w:after="0" w:line="238" w:lineRule="auto"/>
        <w:rPr>
          <w:sz w:val="20"/>
          <w:szCs w:val="20"/>
          <w:color w:val="auto"/>
        </w:rPr>
      </w:pPr>
      <w:r>
        <w:rPr>
          <w:rFonts w:ascii="Courier New" w:cs="Courier New" w:eastAsia="Courier New" w:hAnsi="Courier New"/>
          <w:sz w:val="18"/>
          <w:szCs w:val="18"/>
          <w:color w:val="auto"/>
        </w:rPr>
        <w:t>In addition, the 2006 Plan imposes individual limitations on the amount of certain awards in part to comply with Section 162(m) of the Internal Revenue Code of 1986, as amended (the "Code"). Under these limitations, during any fiscal year the number of options, SARs, restricted shares of Common Stock, deferred shares of Common Stock, shares as a bonus or in lieu of other Company obligations, and other stock-based awards granted to any one participant may not exceed 500,000 for each type of such award, subject to adjustment in certain circumstances. The maximum amount that may be earned by any one participant as a performance award in respect of a performance period of one year is $1,000,000, and in addition the maximum amount that may be earned by one participant in respect of a performance period greater than one year is $2,000,000.</w:t>
      </w:r>
    </w:p>
    <w:p>
      <w:pPr>
        <w:spacing w:after="0" w:line="207" w:lineRule="exact"/>
        <w:rPr>
          <w:sz w:val="20"/>
          <w:szCs w:val="20"/>
          <w:color w:val="auto"/>
        </w:rPr>
      </w:pPr>
    </w:p>
    <w:p>
      <w:pPr>
        <w:ind w:right="2099"/>
        <w:spacing w:after="0" w:line="270" w:lineRule="auto"/>
        <w:rPr>
          <w:sz w:val="20"/>
          <w:szCs w:val="20"/>
          <w:color w:val="auto"/>
        </w:rPr>
      </w:pPr>
      <w:r>
        <w:rPr>
          <w:rFonts w:ascii="Courier New" w:cs="Courier New" w:eastAsia="Courier New" w:hAnsi="Courier New"/>
          <w:sz w:val="16"/>
          <w:szCs w:val="16"/>
          <w:color w:val="auto"/>
        </w:rPr>
        <w:t>A committee of our Board of Directors, which we refer to as the Committee, is to administer the Plan. See "Administration." The Committee is authorized to adjust the limitations described in the two preceding paragraphs and is authorized to adjust outstanding awards (including adjustments to exercise prices of options and other affected terms of awards) in the event that a dividend or other distribution (whether in cash, shares of Common Stock or other property), recapitalization, forward or reverse split, reorganization, merger, consolidation, spin-off, combination, repurchase, share exchange or other similar corporate transaction or event affects the Common Stock so that an adjustment is appropriate in order to prevent dilution or enlargement of the rights of participants. The Committee is also authorized to adjust performance conditions and other terms of awards in response to these kinds of events or in response to changes in applicable laws, regulations or accounting principles.</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Eligibility</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2199"/>
        <w:spacing w:after="0" w:line="275" w:lineRule="auto"/>
        <w:rPr>
          <w:sz w:val="20"/>
          <w:szCs w:val="20"/>
          <w:color w:val="auto"/>
        </w:rPr>
      </w:pPr>
      <w:r>
        <w:rPr>
          <w:rFonts w:ascii="Courier New" w:cs="Courier New" w:eastAsia="Courier New" w:hAnsi="Courier New"/>
          <w:sz w:val="16"/>
          <w:szCs w:val="16"/>
          <w:color w:val="auto"/>
        </w:rPr>
        <w:t>The persons eligible to receive awards under the 2006 Plan are the officers, directors, employees and independent contractors of the Company. An employee on leave of absence may be considered as still in the employ of the Company for purposes of eligibility for participation in the 2006 Plan.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Administration</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2099"/>
        <w:spacing w:after="0" w:line="269" w:lineRule="auto"/>
        <w:rPr>
          <w:sz w:val="20"/>
          <w:szCs w:val="20"/>
          <w:color w:val="auto"/>
        </w:rPr>
      </w:pPr>
      <w:r>
        <w:rPr>
          <w:rFonts w:ascii="Courier New" w:cs="Courier New" w:eastAsia="Courier New" w:hAnsi="Courier New"/>
          <w:sz w:val="16"/>
          <w:szCs w:val="16"/>
          <w:color w:val="auto"/>
        </w:rPr>
        <w:t>The Company's Board of Directors shall select the Committee that will administer the 2006 Plan. All Committee members must be "non-employee directors" as defined by Rule 16b-3 of the Exchange Act, "outside directors" for purposes of Section 162(m) of the Code, and independent as defined by the Nasdaq Stock Market or any other national securities exchange on which any securities of the Company may be listed for trading in the future. However, except as otherwise required to comply with Rule 16b-3 of the Exchange Act or Section 162(m) of the Code, the Board of Directors may exercise any power or authority granted to the Committee. Subject to the terms of the 2006 Plan, the Committee is authorized to select eligible persons to receive awards, determine the type and number of awards to be granted and the number of shares of Common Stock to which awards will relate, specify times at which awards will be exercisable or settled (including performance conditions that may be required as a condition thereof), set other terms and conditions of awards, prescribe forms of award agreements, interpret and specify rules and regulations relating to the 2006 Plan and make all other determinations that may be necessary or advisable for the administration of the 2006 Plan.</w:t>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Options and SARs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2199"/>
        <w:spacing w:after="0" w:line="275" w:lineRule="auto"/>
        <w:rPr>
          <w:sz w:val="20"/>
          <w:szCs w:val="20"/>
          <w:color w:val="auto"/>
        </w:rPr>
      </w:pPr>
      <w:r>
        <w:rPr>
          <w:rFonts w:ascii="Courier New" w:cs="Courier New" w:eastAsia="Courier New" w:hAnsi="Courier New"/>
          <w:sz w:val="16"/>
          <w:szCs w:val="16"/>
          <w:color w:val="auto"/>
        </w:rPr>
        <w:t>The Committee is authorized to grant stock options, including both incentive stock options, or ISOs, which can result in potentially favorable tax treatment to the participant, and non-qualified stock options and SARs, entitling the participant to receive the amount by which the fair market</w:t>
      </w:r>
    </w:p>
    <w:p>
      <w:pPr>
        <w:sectPr>
          <w:pgSz w:w="11900" w:h="16838" w:orient="portrait"/>
          <w:cols w:equalWidth="0" w:num="1">
            <w:col w:w="10219"/>
          </w:cols>
          <w:pgMar w:left="240" w:top="142" w:right="1440" w:bottom="0" w:gutter="0" w:footer="0" w:header="0"/>
        </w:sectPr>
      </w:pPr>
    </w:p>
    <w:bookmarkStart w:id="2" w:name="page3"/>
    <w:bookmarkEnd w:id="2"/>
    <w:p>
      <w:pPr>
        <w:ind w:right="2099"/>
        <w:spacing w:after="0" w:line="238" w:lineRule="auto"/>
        <w:rPr>
          <w:sz w:val="20"/>
          <w:szCs w:val="20"/>
          <w:color w:val="auto"/>
        </w:rPr>
      </w:pPr>
      <w:r>
        <w:rPr>
          <w:rFonts w:ascii="Courier New" w:cs="Courier New" w:eastAsia="Courier New" w:hAnsi="Courier New"/>
          <w:sz w:val="18"/>
          <w:szCs w:val="18"/>
          <w:color w:val="auto"/>
        </w:rPr>
        <w:t>value of a share of Common Stock on the date of exercise exceeds the grant price of the SAR. The exercise price per share subject to an option and the grant price of an SAR are determined by the Committee, but must not be less than the fair market value of a share of Common Stock on the date of grant. For purposes of the 2006 Plan, the term "fair market value" means the fair market value of the Common Stock, awards or other property as determined by the Committee or under procedures established by the Committee. Unless otherwise determined by the Committee or the Company's Board of Directors, the fair market value of the Common Stock as of any given date shall be the closing sales price per share of Common Stock as reported on the principal stock exchange or market on which the Common Stock is traded on the date immediately preceding the date as of which such value is being determined or, if there is no sale on that date, the last previous day on which a sale was reported. The maximum term of each option or SAR, the times at which each option or SAR will be exercisable, and provisions requiring forfeiture of unexercised options or SARs at or following termination of employment or service generally are fixed by the Committee except that no option or SAR may have a term exceeding 10 years. Options may be exercised by payment of the exercise price in cash, shares, outstanding awards or other property (including notes or other contractual obligations of participants to make deferred payments, so long as such notes or other contractual obligations are not in violation of applicable law), as the Committee may determine from time to time. Methods of exercise and settlement and other terms of the SARs are determined by the Committee.</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Restricted and Deferred Stock</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2099"/>
        <w:spacing w:after="0" w:line="238" w:lineRule="auto"/>
        <w:rPr>
          <w:sz w:val="20"/>
          <w:szCs w:val="20"/>
          <w:color w:val="auto"/>
        </w:rPr>
      </w:pPr>
      <w:r>
        <w:rPr>
          <w:rFonts w:ascii="Courier New" w:cs="Courier New" w:eastAsia="Courier New" w:hAnsi="Courier New"/>
          <w:sz w:val="18"/>
          <w:szCs w:val="18"/>
          <w:color w:val="auto"/>
        </w:rPr>
        <w:t>The Committee is authorized to grant restricted stock and deferred stock. Restricted stock is a grant of shares of Common Stock which may not be sold or disposed of, and which may be forfeited in the event of certain terminations of employment or service, prior to the end of a restricted period specified by the Committee. A participant granted restricted stock generally has all of the rights of a stockholder of the Company, unless otherwise determined by the Committee. An award of deferred stock confers upon a participant the right to receive shares of Common Stock at the end of a specified deferral period, and may be subject to possible forfeiture of the award in the event of certain terminations of employment prior to the end of a specified restricted period. Prior to settlement, an award of deferred stock carries no voting or dividend rights or other rights associated with share ownership, although dividend equivalents may be granted, as discussed below.</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Dividend Equivalents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Committee is authorized to grant dividend equivalents conferring on participants the right to receive, currently or on a deferred basis, cash, shares of Common Stock, other awards or other property equal in value to dividends paid on a specific number of shares of Common Stock or other periodic payments. Dividend equivalents may be granted alone or in connection with another award, may be paid currently or on a deferred basis and, if deferred, may be deemed to have been reinvested in additional shares of Common Stock, awards or otherwise as specified by the Committee.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Bonus Stock and Awards in Lieu of Cash Obligations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Committee is authorized to grant shares of Common Stock as a bonus free of restrictions, or to grant shares of Common Stock or other awards in lieu of the Company obligations to pay cash under the 2006 Plan or other plans or compensatory arrangements, subject to such terms as the Committee may specify.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Stock-Based Awards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Committee is authorized to grant awards under the 2006 Plan that are denominated or payable in, valued by reference to, or otherwise based on or related to shares of Common Stock. Such awards might include convertible or exchangeable debt securities, other rights convertible or exchangeable into shares of Common Stock, purchase rights for shares of Common Stock, awards with value and payment contingent upon performance of the Company or any other factors designated by the Committee, and awards valued by reference to the book value of shares of Common Stock or the value of securities of or the performance of specified subsidiaries or business units. The Committee determines the terms and conditions of such awards.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Performance Awards</w:t>
      </w:r>
    </w:p>
    <w:p>
      <w:pPr>
        <w:spacing w:after="0" w:line="238" w:lineRule="auto"/>
        <w:rPr>
          <w:sz w:val="20"/>
          <w:szCs w:val="20"/>
          <w:color w:val="auto"/>
        </w:rPr>
      </w:pPr>
      <w:r>
        <w:rPr>
          <w:rFonts w:ascii="Courier New" w:cs="Courier New" w:eastAsia="Courier New" w:hAnsi="Courier New"/>
          <w:sz w:val="18"/>
          <w:szCs w:val="18"/>
          <w:color w:val="auto"/>
        </w:rPr>
        <w:t>- ------------------</w:t>
      </w:r>
    </w:p>
    <w:p>
      <w:pPr>
        <w:sectPr>
          <w:pgSz w:w="11900" w:h="16838" w:orient="portrait"/>
          <w:cols w:equalWidth="0" w:num="1">
            <w:col w:w="10219"/>
          </w:cols>
          <w:pgMar w:left="240" w:top="142"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The right of a participant to exercise or receive a grant or settlement of an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award, and the timing thereof, may be subject to such performance conditions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(including subjective individual goals) as may be specified by the Committee.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addition, the 2006 Plan authorizes specific performance awards, which</w:t>
      </w:r>
    </w:p>
    <w:p>
      <w:pPr>
        <w:spacing w:after="0" w:line="238" w:lineRule="auto"/>
        <w:rPr>
          <w:sz w:val="20"/>
          <w:szCs w:val="20"/>
          <w:color w:val="auto"/>
        </w:rPr>
      </w:pPr>
      <w:r>
        <w:rPr>
          <w:rFonts w:ascii="Courier New" w:cs="Courier New" w:eastAsia="Courier New" w:hAnsi="Courier New"/>
          <w:sz w:val="18"/>
          <w:szCs w:val="18"/>
          <w:color w:val="auto"/>
        </w:rPr>
        <w:t>represent a conditional right to receive cash, shares of Common Stock or</w:t>
      </w:r>
    </w:p>
    <w:p>
      <w:pPr>
        <w:spacing w:after="0"/>
        <w:rPr>
          <w:sz w:val="20"/>
          <w:szCs w:val="20"/>
          <w:color w:val="auto"/>
        </w:rPr>
      </w:pPr>
      <w:r>
        <w:rPr>
          <w:rFonts w:ascii="Courier New" w:cs="Courier New" w:eastAsia="Courier New" w:hAnsi="Courier New"/>
          <w:sz w:val="18"/>
          <w:szCs w:val="18"/>
          <w:color w:val="auto"/>
        </w:rPr>
        <w:t>other awards upon achievement of certain pre-established performance goals</w:t>
      </w:r>
    </w:p>
    <w:p>
      <w:pPr>
        <w:spacing w:after="0" w:line="237" w:lineRule="auto"/>
        <w:rPr>
          <w:sz w:val="20"/>
          <w:szCs w:val="20"/>
          <w:color w:val="auto"/>
        </w:rPr>
      </w:pPr>
      <w:r>
        <w:rPr>
          <w:rFonts w:ascii="Courier New" w:cs="Courier New" w:eastAsia="Courier New" w:hAnsi="Courier New"/>
          <w:sz w:val="18"/>
          <w:szCs w:val="18"/>
          <w:color w:val="auto"/>
        </w:rPr>
        <w:t>and subjective individual goals during a specified fiscal year. Performance</w:t>
      </w:r>
    </w:p>
    <w:p>
      <w:pPr>
        <w:spacing w:after="0" w:line="238" w:lineRule="auto"/>
        <w:rPr>
          <w:sz w:val="20"/>
          <w:szCs w:val="20"/>
          <w:color w:val="auto"/>
        </w:rPr>
      </w:pPr>
      <w:r>
        <w:rPr>
          <w:rFonts w:ascii="Courier New" w:cs="Courier New" w:eastAsia="Courier New" w:hAnsi="Courier New"/>
          <w:sz w:val="18"/>
          <w:szCs w:val="18"/>
          <w:color w:val="auto"/>
        </w:rPr>
        <w:t>awards granted to persons whom the Committee expects will, for the year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which a deduction arises, be "covered employees" (as defined below) will, if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to the extent intended by the Committee, be subject to provisions that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should qualify such awards as "performance-based compensation" not subject to</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limitation on tax deductibility by the Company under Code Section 162(m).</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purposes of Section 162(m), the term "covered employee" means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Company's chief executive officer and each other person whose compensation is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required to be disclosed in the Company's filings with the SEC by reason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that person being among the four highest compensated officers of the Company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of the end of a taxable year. If and to the extent required under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162(m) of the Code, any power or authority relating to a performance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award intended to qualify under Section 162(m) of the Code is to be exercised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the Committee, not the Company's Board of Directors.</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Subject to the requirements of the 2006 Plan, the Committee will determine performance award terms, including the required levels of performance with respect to specified business criteria, the corresponding amounts payable upon achievement of such levels of performance, termination and forfeiture provisions and the form of settlement. One or more of the following business criteria for the Company, on a consolidated basis, or for business or geographical units of the Company (except with respect to the total stockholder return and earnings per share criteria), shall be used by the Committee in establishing performance goals for performance awards to "covered employees" that are intended to qualify under Section 162(m):</w:t>
      </w:r>
    </w:p>
    <w:p>
      <w:pPr>
        <w:spacing w:after="0" w:line="12" w:lineRule="exact"/>
        <w:rPr>
          <w:sz w:val="20"/>
          <w:szCs w:val="20"/>
          <w:color w:val="auto"/>
        </w:rPr>
      </w:pPr>
    </w:p>
    <w:p>
      <w:pPr>
        <w:ind w:right="2199" w:firstLine="8"/>
        <w:spacing w:after="0" w:line="268" w:lineRule="auto"/>
        <w:tabs>
          <w:tab w:leader="none" w:pos="42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earnings per share; (2) revenues or margin; (3) cash flow; (4) operating margin; (5) return on net assets; (6) return on investment; (7) return on capital; (8) return on equity; (9) economic value added; (10) direct contribution; (11) net income, (12) pretax earnings; (13) earnings before interest, taxes, depreciation and amortization; (14) earnings after interest expense and before extraordinary or special items; (15) operating income;</w:t>
      </w:r>
    </w:p>
    <w:p>
      <w:pPr>
        <w:spacing w:after="0" w:line="1" w:lineRule="exact"/>
        <w:rPr>
          <w:rFonts w:ascii="Courier New" w:cs="Courier New" w:eastAsia="Courier New" w:hAnsi="Courier New"/>
          <w:sz w:val="16"/>
          <w:szCs w:val="16"/>
          <w:color w:val="auto"/>
        </w:rPr>
      </w:pPr>
    </w:p>
    <w:p>
      <w:pPr>
        <w:ind w:right="2619" w:firstLine="8"/>
        <w:spacing w:after="0" w:line="268" w:lineRule="auto"/>
        <w:tabs>
          <w:tab w:leader="none" w:pos="527"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income before interest income or expense, unusual items and income taxes, local, state or federal and excluding budgeted and actual bonuses which might be paid under any ongoing bonus plans of the Company;</w:t>
      </w:r>
    </w:p>
    <w:p>
      <w:pPr>
        <w:ind w:left="540" w:hanging="532"/>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working capital; (18) management of fixed costs or variable costs;</w:t>
      </w:r>
    </w:p>
    <w:p>
      <w:pPr>
        <w:spacing w:after="0" w:line="4" w:lineRule="exact"/>
        <w:rPr>
          <w:rFonts w:ascii="Courier New" w:cs="Courier New" w:eastAsia="Courier New" w:hAnsi="Courier New"/>
          <w:sz w:val="18"/>
          <w:szCs w:val="18"/>
          <w:color w:val="auto"/>
        </w:rPr>
      </w:pPr>
    </w:p>
    <w:p>
      <w:pPr>
        <w:ind w:right="2099" w:firstLine="8"/>
        <w:spacing w:after="0" w:line="270" w:lineRule="auto"/>
        <w:tabs>
          <w:tab w:leader="none" w:pos="5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identification or consummation of investment opportunities or completion of specified projects in accordance with corporate business plans, including strategic mergers, acquisitions or divestitures; (20) total stockholder return; (21) debt reduction; and (22) any of the above goals determined on an absolute or relative basis or as compared to the performance of a published or special index deemed applicable by the Committee including, but not limited to, the Standard &amp; Poor's 500 Stock Index or a group of comparable companies. The Committee may exclude the impact of an event or occurrence which the Committee determines should appropriately be excluded, including without limitation (i) restructurings, discontinued operations, extraordinary items, and other unusual or non-recurring charges, (ii) an event either not directly related to the operations of the Company or not within the reasonable control of the Company's management, or (iii) a change in accounting standards required by generally accepted accounting principles.</w:t>
      </w:r>
    </w:p>
    <w:p>
      <w:pPr>
        <w:spacing w:after="0" w:line="388"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In granting performance awards, the Committee may establish unfunded award "pools," the amounts of which will be based upon the achievement of a performance goal or goals based on one or more of certain business criteria described in the 2006 Plan (including, for example, total stockholder return, net income, pretax earnings, EBITDA, earnings per share, and return on investment). During the first 90 days of a performance period, the Committee will determine who will potentially receive performance awards for that performance period, either out of the pool or otherwise.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After the end of each performance period, the Committee will determine</w:t>
      </w:r>
    </w:p>
    <w:p>
      <w:pPr>
        <w:spacing w:after="0" w:line="4" w:lineRule="exact"/>
        <w:rPr>
          <w:sz w:val="20"/>
          <w:szCs w:val="20"/>
          <w:color w:val="auto"/>
        </w:rPr>
      </w:pPr>
    </w:p>
    <w:p>
      <w:pPr>
        <w:ind w:right="2199" w:firstLine="8"/>
        <w:spacing w:after="0" w:line="273" w:lineRule="auto"/>
        <w:tabs>
          <w:tab w:leader="none" w:pos="42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of any pools and the maximum amount of potential performance awards payable to each participant in the pools and (ii) the amount of any other potential performance awards payable to participants in the 2006 Plan. The Committee may, in its discretion, determine that the amount payable as a performance award will be reduced from the amount of any potential award.</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Terms of Awards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2099"/>
        <w:spacing w:after="0" w:line="272" w:lineRule="auto"/>
        <w:rPr>
          <w:sz w:val="20"/>
          <w:szCs w:val="20"/>
          <w:color w:val="auto"/>
        </w:rPr>
      </w:pPr>
      <w:r>
        <w:rPr>
          <w:rFonts w:ascii="Courier New" w:cs="Courier New" w:eastAsia="Courier New" w:hAnsi="Courier New"/>
          <w:sz w:val="16"/>
          <w:szCs w:val="16"/>
          <w:color w:val="auto"/>
        </w:rPr>
        <w:t>Awards may be settled in the form of cash, shares of Common Stock, other awards or other property, in the discretion of the Committee. The Committee may require or permit participants to defer the settlement of all or part of an award in accordance with such terms and conditions as the Committee may establish, including payment or crediting of interest or dividend equivalents on deferred amounts, and the crediting of earnings, gains and losses based on</w:t>
      </w:r>
    </w:p>
    <w:p>
      <w:pPr>
        <w:sectPr>
          <w:pgSz w:w="11900" w:h="16838" w:orient="portrait"/>
          <w:cols w:equalWidth="0" w:num="1">
            <w:col w:w="10219"/>
          </w:cols>
          <w:pgMar w:left="240" w:top="142" w:right="1440" w:bottom="0" w:gutter="0" w:footer="0" w:header="0"/>
        </w:sectPr>
      </w:pPr>
    </w:p>
    <w:bookmarkStart w:id="4" w:name="page5"/>
    <w:bookmarkEnd w:id="4"/>
    <w:p>
      <w:pPr>
        <w:ind w:right="2099"/>
        <w:spacing w:after="0" w:line="270" w:lineRule="auto"/>
        <w:rPr>
          <w:sz w:val="20"/>
          <w:szCs w:val="20"/>
          <w:color w:val="auto"/>
        </w:rPr>
      </w:pPr>
      <w:r>
        <w:rPr>
          <w:rFonts w:ascii="Courier New" w:cs="Courier New" w:eastAsia="Courier New" w:hAnsi="Courier New"/>
          <w:sz w:val="16"/>
          <w:szCs w:val="16"/>
          <w:color w:val="auto"/>
        </w:rPr>
        <w:t>deemed investment of deferred amounts in specified investment vehicles. The Committee is authorized to place cash, shares of Common Stock or other property in trusts or make other arrangements to provide for payment of the Company's obligations under the 2006 Plan. The Committee may condition any payment relating to an award on the withholding of taxes and may provide that a portion of any shares of Common Stock or other property to be distributed will be withheld (or previously acquired shares of Common Stock or other property be surrendered by the participant) to satisfy withholding and other tax obligations. Awards granted under the 2006 Plan generally may not be pledged or otherwise encumbered and are not transferable except by will or by the laws of descent and distribution, or to a designated beneficiary upon the participant's death, except that the Committee may, in its discretion, permit transfers for estate planning or other purposes subject to any applicable restrictions under Rule 16b-3 of the Exchange Act.</w:t>
      </w:r>
    </w:p>
    <w:p>
      <w:pPr>
        <w:spacing w:after="0" w:line="388"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Awards under the 2006 Plan are generally granted without a requirement that the participant pay consideration in the form of cash or property for the grant (as distinguished from the exercise), except to the extent required by law. The Committee may, however, grant awards in exchange for other awards under the 2006 Plan awards or under other Company plans, or other rights to payment from the Company, and may grant awards in addition to and in tandem with such other awards, rights or other awards.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Acceleration of Vesting; Change in Control</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Committee may, in its discretion, accelerate the exercisability, the lapsing of restrictions or the expiration of deferral or vesting periods of any award, and, if so provided in the award agreement, such accelerated exercisability, lapse, expiration and vesting shall occur automatically in the case of a "change in control" of the Company, as defined in the 2006 Plan (including the cash settlement of SARs and "limited SARs" which may be exercisable in the event of a change in control). In addition, the Committee may provide in an award agreement that the performance goals relating to any performance based award will be deemed to have been met upon the occurrence of any "change in control."</w:t>
      </w:r>
    </w:p>
    <w:p>
      <w:pPr>
        <w:spacing w:after="0" w:line="215"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For purposes of the 2006 Plan, a "change in control" will be deemed to occur upon the earliest of the follow:</w:t>
      </w:r>
    </w:p>
    <w:p>
      <w:pPr>
        <w:spacing w:after="0" w:line="208" w:lineRule="exact"/>
        <w:rPr>
          <w:sz w:val="20"/>
          <w:szCs w:val="20"/>
          <w:color w:val="auto"/>
        </w:rPr>
      </w:pPr>
    </w:p>
    <w:p>
      <w:pPr>
        <w:ind w:right="2099" w:firstLine="219"/>
        <w:spacing w:after="0" w:line="238" w:lineRule="auto"/>
        <w:tabs>
          <w:tab w:leader="none" w:pos="632"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acquisition by any Person of Beneficial Ownership (within the meaning of Rule 13d-3 promulgated under the Exchange Act) of fifty percent (50%) or more of either (1) the then outstanding shares of Common Stock of the Corporation (the "Outstanding Common Stock") or (2) the combined voting power of the then outstanding voting securities of the Company entitled to vote generally in the election of directors (the "Outstanding Company Voting Securities") (such Beneficial Ownership, a "Controlling Interest"); provided, however, that for this purpose, the following acquisitions shall not constitute a Change of Control: (v) any acquisition directly from the Company; (w) any acquisition by the Company; (x) any acquisition by any person that as of the effective date of the 2006 Plan owns Beneficial Ownership of a Controlling Interest; (y) any acquisition by any employee benefit plan (or related trust) sponsored or maintained by the Company or any Related Entities; or (z) any acquisition by any company pursuant to a transaction which complies with clauses (1), (2) and (3) of (c) below; or</w:t>
      </w:r>
    </w:p>
    <w:p>
      <w:pPr>
        <w:spacing w:after="0" w:line="208" w:lineRule="exact"/>
        <w:rPr>
          <w:rFonts w:ascii="Courier New" w:cs="Courier New" w:eastAsia="Courier New" w:hAnsi="Courier New"/>
          <w:sz w:val="18"/>
          <w:szCs w:val="18"/>
          <w:color w:val="auto"/>
        </w:rPr>
      </w:pPr>
    </w:p>
    <w:p>
      <w:pPr>
        <w:ind w:right="2099" w:firstLine="8"/>
        <w:spacing w:after="0" w:line="270" w:lineRule="auto"/>
        <w:tabs>
          <w:tab w:leader="none" w:pos="42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any period of two (2) consecutive years (not including any period prior to the effective date of the 2006 Plan) individuals who constitute the Board on the effective date of the 2006 Plan (the "Incumbent Board") cease for any reason to constitute at least a majority of the Board; provided, however, that any individual becoming a director subsequent to the effective date of the 2006 Plan whose election, or nomination for election by the Company's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389" w:lineRule="exact"/>
        <w:rPr>
          <w:rFonts w:ascii="Courier New" w:cs="Courier New" w:eastAsia="Courier New" w:hAnsi="Courier New"/>
          <w:sz w:val="16"/>
          <w:szCs w:val="16"/>
          <w:color w:val="auto"/>
        </w:rPr>
      </w:pPr>
    </w:p>
    <w:p>
      <w:pPr>
        <w:ind w:right="1999" w:firstLine="535"/>
        <w:spacing w:after="0" w:line="237" w:lineRule="auto"/>
        <w:tabs>
          <w:tab w:leader="none" w:pos="948" w:val="left"/>
        </w:tabs>
        <w:numPr>
          <w:ilvl w:val="2"/>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consummation of a reorganization, merger, statutory share exchange or consolidation or similar corporate transaction involving the Company or any of its subsidiaries, a sale or other disposition of all or substantially all of the assets of the Company, or the acquisition of assets or stock of another entity by the Company or any of its subsidiaries (each a "Business Combination"), in each case, unless, following such Business Combination,</w:t>
      </w:r>
    </w:p>
    <w:p>
      <w:pPr>
        <w:spacing w:after="0" w:line="7" w:lineRule="exact"/>
        <w:rPr>
          <w:rFonts w:ascii="Courier New" w:cs="Courier New" w:eastAsia="Courier New" w:hAnsi="Courier New"/>
          <w:sz w:val="18"/>
          <w:szCs w:val="18"/>
          <w:color w:val="auto"/>
        </w:rPr>
      </w:pPr>
    </w:p>
    <w:p>
      <w:pPr>
        <w:ind w:right="2099"/>
        <w:spacing w:after="0" w:line="273"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 all or substantially all of the individuals and entities who were the Beneficial Owners, respectively, of the Outstanding Common Stock and Outstanding Company Voting Securities immediately prior to such Business Combination beneficially own, directly or indirectly, more than fifty percent (50%) of, respectively, the then outstanding shares of common stock and the</w:t>
      </w:r>
    </w:p>
    <w:p>
      <w:pPr>
        <w:sectPr>
          <w:pgSz w:w="11900" w:h="16838" w:orient="portrait"/>
          <w:cols w:equalWidth="0" w:num="1">
            <w:col w:w="10219"/>
          </w:cols>
          <w:pgMar w:left="240" w:top="142" w:right="1440" w:bottom="0" w:gutter="0" w:footer="0" w:header="0"/>
        </w:sectPr>
      </w:pPr>
    </w:p>
    <w:bookmarkStart w:id="5" w:name="page6"/>
    <w:bookmarkEnd w:id="5"/>
    <w:p>
      <w:pPr>
        <w:ind w:right="2099"/>
        <w:spacing w:after="0" w:line="269" w:lineRule="auto"/>
        <w:rPr>
          <w:sz w:val="20"/>
          <w:szCs w:val="20"/>
          <w:color w:val="auto"/>
        </w:rPr>
      </w:pPr>
      <w:r>
        <w:rPr>
          <w:rFonts w:ascii="Courier New" w:cs="Courier New" w:eastAsia="Courier New" w:hAnsi="Courier New"/>
          <w:sz w:val="16"/>
          <w:szCs w:val="16"/>
          <w:color w:val="auto"/>
        </w:rPr>
        <w:t>combined voting power of the then outstanding voting securities entitled to vote generally in the election of directors, as the case may be, of the company resulting from such Business Combination (including, without limitation, a company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Common Stock and Outstanding Company Voting Securities, as the case may be, (2) no person (excluding any employee benefit plan (or related trust) of the Company or such company resulting from such Business Combination or any person that owns a Controlling Interest as of the effective date of the 2006 Plan) beneficially owns, directly or indirectly, fifty percent (50%) or more of the then outstanding shares of common stock of the company resulting from such Business Combination or the combined voting power of the then outstanding voting securities of such company except to the extent that such ownership existed prior to the Business Combination and</w:t>
      </w:r>
    </w:p>
    <w:p>
      <w:pPr>
        <w:spacing w:after="0" w:line="194" w:lineRule="exact"/>
        <w:rPr>
          <w:sz w:val="20"/>
          <w:szCs w:val="20"/>
          <w:color w:val="auto"/>
        </w:rPr>
      </w:pPr>
    </w:p>
    <w:p>
      <w:pPr>
        <w:ind w:right="2199" w:firstLine="8"/>
        <w:spacing w:after="0" w:line="237" w:lineRule="auto"/>
        <w:tabs>
          <w:tab w:leader="none" w:pos="421"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least a majority of the members of the Board of Directors of the company resulting from such Business Combination were members of the Incumbent Board at the time of the execution of the initial agreement, or of the action of the Board, providing for such Business Combination; or</w:t>
      </w:r>
    </w:p>
    <w:p>
      <w:pPr>
        <w:spacing w:after="0" w:line="207" w:lineRule="exact"/>
        <w:rPr>
          <w:rFonts w:ascii="Courier New" w:cs="Courier New" w:eastAsia="Courier New" w:hAnsi="Courier New"/>
          <w:sz w:val="18"/>
          <w:szCs w:val="18"/>
          <w:color w:val="auto"/>
        </w:rPr>
      </w:pPr>
    </w:p>
    <w:p>
      <w:pPr>
        <w:ind w:right="1999" w:firstLine="535"/>
        <w:spacing w:after="0" w:line="235" w:lineRule="auto"/>
        <w:tabs>
          <w:tab w:leader="none" w:pos="948"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approval by the stockholders of the Company of a complete liquidation or dissolution of the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and Termination</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2099"/>
        <w:spacing w:after="0" w:line="269" w:lineRule="auto"/>
        <w:rPr>
          <w:sz w:val="20"/>
          <w:szCs w:val="20"/>
          <w:color w:val="auto"/>
        </w:rPr>
      </w:pPr>
      <w:r>
        <w:rPr>
          <w:rFonts w:ascii="Courier New" w:cs="Courier New" w:eastAsia="Courier New" w:hAnsi="Courier New"/>
          <w:sz w:val="16"/>
          <w:szCs w:val="16"/>
          <w:color w:val="auto"/>
        </w:rPr>
        <w:t>The Company's Board of Directors may amend, alter, suspend, discontinue or terminate the 2006 Plan or the Committee's authority to grant awards without further stockholder approval, except stockholder approval must be obtained for any amendment or alteration if such approval is required by law or regulation or under the rules of any stock exchange or quotation system on which shares of Common Stock are then listed or quoted. Thus, stockholder approval may not necessarily be required for every amendment to the 2006 Plan which might increase the cost of the 2006 Plan or alter the eligibility of persons to receive awards. Stockholder approval will not be deemed to be required under laws or regulations, such as those relating to ISOs, that condition favorable treatment of participants on such approval, although the Company's Board of Directors may, in its discretion, seek stockholder approval in any circumstance in which it deems such approval advisable. Unless earlier terminated by the Company's Board of Directors, the 2006 Plan will terminate at such time as no shares of Common Stock remain available for issuance under the 2006 Plan and the Company has no further rights or obligations with respect to outstanding awards under the 2006 Plan.</w:t>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than in connection with standard adjustments (as set forth in</w:t>
      </w:r>
    </w:p>
    <w:p>
      <w:pPr>
        <w:spacing w:after="0" w:line="4" w:lineRule="exact"/>
        <w:rPr>
          <w:sz w:val="20"/>
          <w:szCs w:val="20"/>
          <w:color w:val="auto"/>
        </w:rPr>
      </w:pPr>
    </w:p>
    <w:p>
      <w:pPr>
        <w:ind w:right="2199"/>
        <w:spacing w:after="0" w:line="268" w:lineRule="auto"/>
        <w:rPr>
          <w:sz w:val="20"/>
          <w:szCs w:val="20"/>
          <w:color w:val="auto"/>
        </w:rPr>
      </w:pPr>
      <w:r>
        <w:rPr>
          <w:rFonts w:ascii="Courier New" w:cs="Courier New" w:eastAsia="Courier New" w:hAnsi="Courier New"/>
          <w:sz w:val="16"/>
          <w:szCs w:val="16"/>
          <w:color w:val="auto"/>
        </w:rPr>
        <w:t>Section 10(c) of the 2006 Plan), the Committee is not permitted to (i) lower the exercise price per share of an option or SAR after it is granted,</w:t>
      </w:r>
    </w:p>
    <w:p>
      <w:pPr>
        <w:ind w:right="2319" w:firstLine="8"/>
        <w:spacing w:after="0" w:line="237" w:lineRule="auto"/>
        <w:tabs>
          <w:tab w:leader="none" w:pos="527"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cancel an option or SAR when the exercise price per share exceeds the fair market value of the underlying shares in exchange for another award (other than in connection with substitute awards granted in connection with business combinations) or (iii) take any other action with respect to an option or SAR that may be treated as a repricing, without approval of the Company's stockholders.</w:t>
      </w:r>
    </w:p>
    <w:p>
      <w:pPr>
        <w:spacing w:after="0" w:line="200" w:lineRule="exact"/>
        <w:rPr>
          <w:sz w:val="20"/>
          <w:szCs w:val="20"/>
          <w:color w:val="auto"/>
        </w:rPr>
      </w:pPr>
    </w:p>
    <w:p>
      <w:pPr>
        <w:spacing w:after="0" w:line="207" w:lineRule="exact"/>
        <w:rPr>
          <w:sz w:val="20"/>
          <w:szCs w:val="20"/>
          <w:color w:val="auto"/>
        </w:rPr>
      </w:pPr>
    </w:p>
    <w:p>
      <w:pPr>
        <w:ind w:left="860" w:hanging="852"/>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Non-Employee Director Compensation</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On July 31, 2006, the Company's Board of Directors approved an increase in compensation payable to non-employee directors for each meeting of the Board of Directors. Effective July 31, 2006, each non-employee director will receive $4,000 for each meeting of the Board of Director (up from $3,000 per meeting). Each non-employee director will continue to receive $3,000 for each committee meeting and $500 for certain telephonic board or committee meetings.</w:t>
      </w:r>
    </w:p>
    <w:p>
      <w:pPr>
        <w:spacing w:after="0" w:line="211"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Further, the Board of Directors also approved an annual grant of stock options to each non-employee director to purchase 25,000 shares of the Company's Common Stock upon such director's annual election to the Board (up from 15,000 shares previously). Upon the initial election of a non-employee director, such director will continue to receive a stock option to purchase 15,000 shares of Common Stock. Such stock options will vest in three equal installments, with one-third vesting on the date of grant and on the first and second anniversaries of the date of grant. All options are granted with a term of ten years and have an exercise price equal to the closing price of the Common Stock on the date of grant.</w:t>
      </w:r>
    </w:p>
    <w:p>
      <w:pPr>
        <w:spacing w:after="0" w:line="215" w:lineRule="exact"/>
        <w:rPr>
          <w:sz w:val="20"/>
          <w:szCs w:val="20"/>
          <w:color w:val="auto"/>
        </w:rPr>
      </w:pPr>
    </w:p>
    <w:p>
      <w:pPr>
        <w:ind w:left="640" w:right="2199" w:hanging="632"/>
        <w:spacing w:after="0" w:line="235" w:lineRule="auto"/>
        <w:tabs>
          <w:tab w:leader="none" w:pos="851"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Second Amendment to the Employment Agreement between the Company and Ms. Carlo</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 August 2, 2006, the Company entered into the Second Amendment to the</w:t>
      </w:r>
    </w:p>
    <w:p>
      <w:pPr>
        <w:sectPr>
          <w:pgSz w:w="11900" w:h="16838" w:orient="portrait"/>
          <w:cols w:equalWidth="0" w:num="1">
            <w:col w:w="10219"/>
          </w:cols>
          <w:pgMar w:left="240" w:top="142" w:right="1440" w:bottom="0" w:gutter="0" w:footer="0" w:header="0"/>
        </w:sectPr>
      </w:pPr>
    </w:p>
    <w:bookmarkStart w:id="6" w:name="page7"/>
    <w:bookmarkEnd w:id="6"/>
    <w:p>
      <w:pPr>
        <w:ind w:right="2199"/>
        <w:spacing w:after="0" w:line="237" w:lineRule="auto"/>
        <w:rPr>
          <w:sz w:val="20"/>
          <w:szCs w:val="20"/>
          <w:color w:val="auto"/>
        </w:rPr>
      </w:pPr>
      <w:r>
        <w:rPr>
          <w:rFonts w:ascii="Courier New" w:cs="Courier New" w:eastAsia="Courier New" w:hAnsi="Courier New"/>
          <w:sz w:val="18"/>
          <w:szCs w:val="18"/>
          <w:color w:val="auto"/>
        </w:rPr>
        <w:t>Employment Agreement originally dated July 9, 2003 ("Second Amendment") with Linda B. Carlo, the Company's Executive Vice President of Business Development &amp; Direct-to-Consumer. Under the terms of the Second Amendment, Ms. Carlo's employment with the Company was extended to March 31, 2008 and her annual salary was increased to $313,676.75 effective May 7, 2006.</w:t>
      </w:r>
    </w:p>
    <w:p>
      <w:pPr>
        <w:spacing w:after="0" w:line="209"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A copy of the Second Amendment to Ms. Carlo's Employment Agreement is attached hereto as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9.01</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0"/>
          <w:szCs w:val="20"/>
          <w:color w:val="auto"/>
        </w:rPr>
      </w:pPr>
    </w:p>
    <w:p>
      <w:pPr>
        <w:ind w:left="1700" w:hanging="849"/>
        <w:spacing w:after="0"/>
        <w:tabs>
          <w:tab w:leader="none" w:pos="170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10.1</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jc w:val="center"/>
        <w:ind w:right="320"/>
        <w:spacing w:after="0"/>
        <w:rPr>
          <w:sz w:val="20"/>
          <w:szCs w:val="20"/>
          <w:color w:val="auto"/>
        </w:rPr>
      </w:pPr>
      <w:r>
        <w:rPr>
          <w:rFonts w:ascii="Courier New" w:cs="Courier New" w:eastAsia="Courier New" w:hAnsi="Courier New"/>
          <w:sz w:val="18"/>
          <w:szCs w:val="18"/>
          <w:color w:val="auto"/>
        </w:rPr>
        <w:t>Exhibit No.</w:t>
      </w:r>
    </w:p>
    <w:p>
      <w:pPr>
        <w:spacing w:after="0" w:line="4" w:lineRule="exact"/>
        <w:rPr>
          <w:sz w:val="20"/>
          <w:szCs w:val="20"/>
          <w:color w:val="auto"/>
        </w:rPr>
      </w:pPr>
    </w:p>
    <w:p>
      <w:pPr>
        <w:jc w:val="center"/>
        <w:ind w:right="3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Description</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Second Amendment to Employment Agreement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as of August 2, 2006 between the</w:t>
      </w:r>
    </w:p>
    <w:p>
      <w:pPr>
        <w:spacing w:after="0" w:line="238" w:lineRule="auto"/>
        <w:rPr>
          <w:sz w:val="20"/>
          <w:szCs w:val="20"/>
          <w:color w:val="auto"/>
        </w:rPr>
      </w:pPr>
      <w:r>
        <w:rPr>
          <w:rFonts w:ascii="Courier New" w:cs="Courier New" w:eastAsia="Courier New" w:hAnsi="Courier New"/>
          <w:sz w:val="18"/>
          <w:szCs w:val="18"/>
          <w:color w:val="auto"/>
        </w:rPr>
        <w:t>Company and Linda B. Carlo</w:t>
      </w:r>
    </w:p>
    <w:p>
      <w:pPr>
        <w:spacing w:after="0" w:line="200" w:lineRule="exact"/>
        <w:rPr>
          <w:sz w:val="20"/>
          <w:szCs w:val="20"/>
          <w:color w:val="auto"/>
        </w:rPr>
      </w:pPr>
    </w:p>
    <w:p>
      <w:pPr>
        <w:sectPr>
          <w:pgSz w:w="11900" w:h="16838" w:orient="portrait"/>
          <w:cols w:equalWidth="0" w:num="3">
            <w:col w:w="420" w:space="320"/>
            <w:col w:w="1700" w:space="720"/>
            <w:col w:w="7059"/>
          </w:cols>
          <w:pgMar w:left="240" w:top="14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CASUAL MALE RETAIL GROUP, INC.</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 /s/ Dennis R. Hernreich</w:t>
      </w:r>
    </w:p>
    <w:p>
      <w:pPr>
        <w:ind w:left="5060"/>
        <w:spacing w:after="0" w:line="238" w:lineRule="auto"/>
        <w:rPr>
          <w:sz w:val="20"/>
          <w:szCs w:val="20"/>
          <w:color w:val="auto"/>
        </w:rPr>
      </w:pPr>
      <w:r>
        <w:rPr>
          <w:rFonts w:ascii="Courier New" w:cs="Courier New" w:eastAsia="Courier New" w:hAnsi="Courier New"/>
          <w:sz w:val="18"/>
          <w:szCs w:val="18"/>
          <w:color w:val="auto"/>
        </w:rPr>
        <w:t>-----------------------</w:t>
      </w:r>
    </w:p>
    <w:p>
      <w:pPr>
        <w:ind w:left="4640"/>
        <w:spacing w:after="0"/>
        <w:tabs>
          <w:tab w:leader="none" w:pos="53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Dennis R. Hernreich</w:t>
      </w:r>
    </w:p>
    <w:p>
      <w:pPr>
        <w:spacing w:after="0" w:line="3"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Title: Executive Vice President</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and Chief Financial Officer</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August 4, 2006</w:t>
      </w:r>
    </w:p>
    <w:p>
      <w:pPr>
        <w:sectPr>
          <w:pgSz w:w="11900" w:h="16838" w:orient="portrait"/>
          <w:cols w:equalWidth="0" w:num="1">
            <w:col w:w="10219"/>
          </w:cols>
          <w:pgMar w:left="240" w:top="142" w:right="1440" w:bottom="1440" w:gutter="0" w:footer="0" w:header="0"/>
          <w:type w:val="continuous"/>
        </w:sectPr>
      </w:pPr>
    </w:p>
    <w:bookmarkStart w:id="7" w:name="page8"/>
    <w:bookmarkEnd w:id="7"/>
    <w:p>
      <w:pPr>
        <w:ind w:left="3060"/>
        <w:spacing w:after="0"/>
        <w:rPr>
          <w:sz w:val="20"/>
          <w:szCs w:val="20"/>
          <w:color w:val="auto"/>
        </w:rPr>
      </w:pPr>
      <w:r>
        <w:rPr>
          <w:rFonts w:ascii="Courier New" w:cs="Courier New" w:eastAsia="Courier New" w:hAnsi="Courier New"/>
          <w:sz w:val="18"/>
          <w:szCs w:val="18"/>
          <w:color w:val="auto"/>
        </w:rPr>
        <w:t>SECOND AMENDMENT TO</w:t>
      </w:r>
    </w:p>
    <w:p>
      <w:pPr>
        <w:ind w:left="2960"/>
        <w:spacing w:after="0" w:line="238" w:lineRule="auto"/>
        <w:rPr>
          <w:sz w:val="20"/>
          <w:szCs w:val="20"/>
          <w:color w:val="auto"/>
        </w:rPr>
      </w:pPr>
      <w:r>
        <w:rPr>
          <w:rFonts w:ascii="Courier New" w:cs="Courier New" w:eastAsia="Courier New" w:hAnsi="Courier New"/>
          <w:sz w:val="18"/>
          <w:szCs w:val="18"/>
          <w:color w:val="auto"/>
        </w:rPr>
        <w:t>EMPLOYMENT AGREEMENT</w:t>
      </w:r>
    </w:p>
    <w:p>
      <w:pPr>
        <w:spacing w:after="0" w:line="207" w:lineRule="exact"/>
        <w:rPr>
          <w:sz w:val="20"/>
          <w:szCs w:val="20"/>
          <w:color w:val="auto"/>
        </w:rPr>
      </w:pPr>
    </w:p>
    <w:p>
      <w:pPr>
        <w:ind w:right="2519"/>
        <w:spacing w:after="0" w:line="236" w:lineRule="auto"/>
        <w:rPr>
          <w:sz w:val="20"/>
          <w:szCs w:val="20"/>
          <w:color w:val="auto"/>
        </w:rPr>
      </w:pPr>
      <w:r>
        <w:rPr>
          <w:rFonts w:ascii="Courier New" w:cs="Courier New" w:eastAsia="Courier New" w:hAnsi="Courier New"/>
          <w:sz w:val="18"/>
          <w:szCs w:val="18"/>
          <w:color w:val="auto"/>
        </w:rPr>
        <w:t>WHEREAS, Casual Male Retail Group, Inc., and Linda B. Carlo ("Executive") entered into a certain Employment Agreement dated as of July 9, 2003, (hereinafter referred to as the "Agreement"); and</w:t>
      </w: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WHEREAS, Company and Executive wish to amend, modify and/or restate certain terms, provisions, conditions, and covenants of the Agreement.</w:t>
      </w:r>
    </w:p>
    <w:p>
      <w:pPr>
        <w:spacing w:after="0" w:line="208"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NOW, THEREFORE, in consideration of the foregoing, and of the promises, covenants, conditions and agreements contained herein, and for One Dollar ($1.00) and for other good and valuable consideration, the receipt and sufficiency of which is hereby expressly acknowledged, the Company and Executive hereby agree to amend the Agreement as follows:</w:t>
      </w:r>
    </w:p>
    <w:p>
      <w:pPr>
        <w:spacing w:after="0" w:line="209" w:lineRule="exact"/>
        <w:rPr>
          <w:sz w:val="20"/>
          <w:szCs w:val="20"/>
          <w:color w:val="auto"/>
        </w:rPr>
      </w:pPr>
    </w:p>
    <w:p>
      <w:pPr>
        <w:ind w:left="740" w:right="2419" w:hanging="732"/>
        <w:spacing w:after="0" w:line="235" w:lineRule="auto"/>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2 of the Agreement is herby deleted in its entirety and the following is hereby substituted in lieu thereof:</w:t>
      </w:r>
    </w:p>
    <w:p>
      <w:pPr>
        <w:spacing w:after="0" w:line="203" w:lineRule="exact"/>
        <w:rPr>
          <w:sz w:val="20"/>
          <w:szCs w:val="20"/>
          <w:color w:val="auto"/>
        </w:rPr>
      </w:pPr>
    </w:p>
    <w:p>
      <w:pPr>
        <w:ind w:left="1280"/>
        <w:spacing w:after="0"/>
        <w:tabs>
          <w:tab w:leader="none" w:pos="2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TERM</w:t>
      </w:r>
    </w:p>
    <w:p>
      <w:pPr>
        <w:spacing w:after="0" w:line="207" w:lineRule="exact"/>
        <w:rPr>
          <w:sz w:val="20"/>
          <w:szCs w:val="20"/>
          <w:color w:val="auto"/>
        </w:rPr>
      </w:pPr>
    </w:p>
    <w:p>
      <w:pPr>
        <w:ind w:left="1280" w:right="2319"/>
        <w:spacing w:after="0" w:line="237" w:lineRule="auto"/>
        <w:rPr>
          <w:sz w:val="20"/>
          <w:szCs w:val="20"/>
          <w:color w:val="auto"/>
        </w:rPr>
      </w:pPr>
      <w:r>
        <w:rPr>
          <w:rFonts w:ascii="Courier New" w:cs="Courier New" w:eastAsia="Courier New" w:hAnsi="Courier New"/>
          <w:sz w:val="18"/>
          <w:szCs w:val="18"/>
          <w:color w:val="auto"/>
        </w:rPr>
        <w:t>The term of employment under this agreement shall begin on August 4, 2006 ("Employment Date") and shall continue through March 31, 2008, subject to prior termination in accordance with the terms hereof"</w:t>
      </w:r>
    </w:p>
    <w:p>
      <w:pPr>
        <w:spacing w:after="0" w:line="207" w:lineRule="exact"/>
        <w:rPr>
          <w:sz w:val="20"/>
          <w:szCs w:val="20"/>
          <w:color w:val="auto"/>
        </w:rPr>
      </w:pPr>
    </w:p>
    <w:p>
      <w:pPr>
        <w:ind w:left="640" w:right="2739" w:hanging="632"/>
        <w:spacing w:after="0" w:line="290" w:lineRule="auto"/>
        <w:tabs>
          <w:tab w:leader="none" w:pos="64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3 (a) of the Agreement is hereby deleted in it's entirety and the following is hereby substituted in lieu thereof:</w:t>
      </w:r>
    </w:p>
    <w:p>
      <w:pPr>
        <w:spacing w:after="0" w:line="164" w:lineRule="exact"/>
        <w:rPr>
          <w:sz w:val="20"/>
          <w:szCs w:val="20"/>
          <w:color w:val="auto"/>
        </w:rPr>
      </w:pPr>
    </w:p>
    <w:p>
      <w:pPr>
        <w:ind w:left="1280"/>
        <w:spacing w:after="0"/>
        <w:tabs>
          <w:tab w:leader="none" w:pos="252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COMPENSATION</w:t>
      </w:r>
    </w:p>
    <w:p>
      <w:pPr>
        <w:spacing w:after="0" w:line="207" w:lineRule="exact"/>
        <w:rPr>
          <w:sz w:val="20"/>
          <w:szCs w:val="20"/>
          <w:color w:val="auto"/>
        </w:rPr>
      </w:pPr>
    </w:p>
    <w:p>
      <w:pPr>
        <w:ind w:left="420" w:right="3259" w:hanging="412"/>
        <w:spacing w:after="0" w:line="237" w:lineRule="auto"/>
        <w:tabs>
          <w:tab w:leader="none" w:pos="842"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compensation for the employment services to be rendered by the Executive hereunder, the Company agrees to pay to executive, and Executive agrees to accept, payable in equal installments in accordance with Company practice, an annual base salary of $313,656.75 effective May 7, 2006.</w:t>
      </w:r>
    </w:p>
    <w:p>
      <w:pPr>
        <w:spacing w:after="0" w:line="209" w:lineRule="exact"/>
        <w:rPr>
          <w:sz w:val="20"/>
          <w:szCs w:val="20"/>
          <w:color w:val="auto"/>
        </w:rPr>
      </w:pPr>
    </w:p>
    <w:p>
      <w:pPr>
        <w:ind w:right="2099" w:firstLine="8"/>
        <w:spacing w:after="0" w:line="237" w:lineRule="auto"/>
        <w:tabs>
          <w:tab w:leader="none" w:pos="632"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herein specifically modified and amended, all of the terms, provisions, conditions, and covenants of the Agreement shall continue in full force and effect and shall be deemed unchanged except to the extent modified and amended herein.</w:t>
      </w:r>
    </w:p>
    <w:p>
      <w:pPr>
        <w:spacing w:after="0" w:line="207" w:lineRule="exact"/>
        <w:rPr>
          <w:sz w:val="20"/>
          <w:szCs w:val="20"/>
          <w:color w:val="auto"/>
        </w:rPr>
      </w:pPr>
    </w:p>
    <w:p>
      <w:pPr>
        <w:ind w:right="1879" w:firstLine="737"/>
        <w:spacing w:after="0" w:line="237" w:lineRule="auto"/>
        <w:rPr>
          <w:sz w:val="20"/>
          <w:szCs w:val="20"/>
          <w:color w:val="auto"/>
        </w:rPr>
      </w:pPr>
      <w:r>
        <w:rPr>
          <w:rFonts w:ascii="Courier New" w:cs="Courier New" w:eastAsia="Courier New" w:hAnsi="Courier New"/>
          <w:sz w:val="18"/>
          <w:szCs w:val="18"/>
          <w:color w:val="auto"/>
        </w:rPr>
        <w:t>IN WITNESS WHEREOF, the parties hereto have executed this Second Amendment to Employment Agreement as a sealed instrument, in any number of counterpart copies, each of which shall be deemed an original for all purposes, as of the day and year first written below.</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CASUAL MALE RETAIL GROUP, INC. (Company)</w:t>
      </w:r>
    </w:p>
    <w:p>
      <w:pPr>
        <w:sectPr>
          <w:pgSz w:w="11900" w:h="16838" w:orient="portrait"/>
          <w:cols w:equalWidth="0" w:num="1">
            <w:col w:w="10219"/>
          </w:cols>
          <w:pgMar w:left="240" w:top="136"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/s/DAVID A. LEVIN</w:t>
      </w:r>
    </w:p>
    <w:p>
      <w:pPr>
        <w:spacing w:after="0" w:line="238" w:lineRule="auto"/>
        <w:rPr>
          <w:sz w:val="20"/>
          <w:szCs w:val="20"/>
          <w:color w:val="auto"/>
        </w:rPr>
      </w:pPr>
      <w:r>
        <w:rPr>
          <w:rFonts w:ascii="Courier New" w:cs="Courier New" w:eastAsia="Courier New" w:hAnsi="Courier New"/>
          <w:sz w:val="18"/>
          <w:szCs w:val="18"/>
          <w:color w:val="auto"/>
        </w:rPr>
        <w:t>-------------------</w:t>
      </w:r>
    </w:p>
    <w:p>
      <w:pPr>
        <w:ind w:left="440"/>
        <w:spacing w:after="0"/>
        <w:rPr>
          <w:sz w:val="20"/>
          <w:szCs w:val="20"/>
          <w:color w:val="auto"/>
        </w:rPr>
      </w:pPr>
      <w:r>
        <w:rPr>
          <w:rFonts w:ascii="Courier New" w:cs="Courier New" w:eastAsia="Courier New" w:hAnsi="Courier New"/>
          <w:sz w:val="18"/>
          <w:szCs w:val="18"/>
          <w:color w:val="auto"/>
        </w:rPr>
        <w:t>David A. Levin</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6"/>
          <w:szCs w:val="16"/>
          <w:color w:val="auto"/>
        </w:rPr>
        <w:t>President and Chief Executive Officer</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August 2, 2006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385" w:lineRule="exact"/>
        <w:rPr>
          <w:sz w:val="20"/>
          <w:szCs w:val="20"/>
          <w:color w:val="auto"/>
        </w:rPr>
      </w:pPr>
    </w:p>
    <w:p>
      <w:pPr>
        <w:sectPr>
          <w:pgSz w:w="11900" w:h="16838" w:orient="portrait"/>
          <w:cols w:equalWidth="0" w:num="3">
            <w:col w:w="320" w:space="100"/>
            <w:col w:w="5400" w:space="720"/>
            <w:col w:w="3679"/>
          </w:cols>
          <w:pgMar w:left="240" w:top="136" w:right="1440"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/s/DENNIS R. HERNREICH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Dennis R. Hernreich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August 2, 2006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4" w:lineRule="exact"/>
        <w:rPr>
          <w:sz w:val="20"/>
          <w:szCs w:val="20"/>
          <w:color w:val="auto"/>
        </w:rPr>
      </w:pPr>
    </w:p>
    <w:p>
      <w:pPr>
        <w:sectPr>
          <w:pgSz w:w="11900" w:h="16838" w:orient="portrait"/>
          <w:cols w:equalWidth="0" w:num="3">
            <w:col w:w="320" w:space="220"/>
            <w:col w:w="5280" w:space="720"/>
            <w:col w:w="3679"/>
          </w:cols>
          <w:pgMar w:left="240" w:top="136" w:right="1440" w:bottom="144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Secretary</w:t>
      </w:r>
    </w:p>
    <w:p>
      <w:pPr>
        <w:sectPr>
          <w:pgSz w:w="11900" w:h="16838" w:orient="portrait"/>
          <w:cols w:equalWidth="0" w:num="1">
            <w:col w:w="10219"/>
          </w:cols>
          <w:pgMar w:left="240" w:top="136" w:right="1440" w:bottom="144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EXECUTIVE</w:t>
      </w:r>
    </w:p>
    <w:p>
      <w:pPr>
        <w:ind w:left="420"/>
        <w:spacing w:after="0" w:line="238" w:lineRule="auto"/>
        <w:rPr>
          <w:sz w:val="20"/>
          <w:szCs w:val="20"/>
          <w:color w:val="auto"/>
        </w:rPr>
      </w:pPr>
      <w:r>
        <w:rPr>
          <w:rFonts w:ascii="Courier New" w:cs="Courier New" w:eastAsia="Courier New" w:hAnsi="Courier New"/>
          <w:sz w:val="18"/>
          <w:szCs w:val="18"/>
          <w:color w:val="auto"/>
        </w:rPr>
        <w:t>/s/ LINDA B. CARLO</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Linda B. Carlo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August 2, 2006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sectPr>
      <w:pgSz w:w="11900" w:h="16838" w:orient="portrait"/>
      <w:cols w:equalWidth="0" w:num="2">
        <w:col w:w="5400" w:space="720"/>
        <w:col w:w="409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decimal"/>
      <w:start w:val="78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16"/>
    </w:lvl>
  </w:abstractNum>
  <w:abstractNum w:abstractNumId="8">
    <w:nsid w:val="1BEFD79F"/>
    <w:multiLevelType w:val="hybridMultilevel"/>
    <w:lvl w:ilvl="0">
      <w:lvlJc w:val="left"/>
      <w:lvlText w:val="(%1)"/>
      <w:numFmt w:val="decimal"/>
      <w:start w:val="19"/>
    </w:lvl>
  </w:abstractNum>
  <w:abstractNum w:abstractNumId="9">
    <w:nsid w:val="41A7C4C9"/>
    <w:multiLevelType w:val="hybridMultilevel"/>
    <w:lvl w:ilvl="0">
      <w:lvlJc w:val="left"/>
      <w:lvlText w:val="(%1)"/>
      <w:numFmt w:val="lowerRoman"/>
      <w:start w:val="1"/>
    </w:lvl>
  </w:abstractNum>
  <w:abstractNum w:abstractNumId="10">
    <w:nsid w:val="6B68079A"/>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11">
    <w:nsid w:val="4E6AFB66"/>
    <w:multiLevelType w:val="hybridMultilevel"/>
    <w:lvl w:ilvl="0">
      <w:lvlJc w:val="left"/>
      <w:lvlText w:val="(%1)"/>
      <w:numFmt w:val="lowerLetter"/>
      <w:start w:val="2"/>
    </w:lvl>
    <w:lvl w:ilvl="1">
      <w:lvlJc w:val="left"/>
      <w:lvlText w:val="%2"/>
      <w:numFmt w:val="lowerLetter"/>
      <w:start w:val="1"/>
    </w:lvl>
    <w:lvl w:ilvl="2">
      <w:lvlJc w:val="left"/>
      <w:lvlText w:val="(%3)"/>
      <w:numFmt w:val="lowerLetter"/>
      <w:start w:val="3"/>
    </w:lvl>
  </w:abstractNum>
  <w:abstractNum w:abstractNumId="12">
    <w:nsid w:val="25E45D32"/>
    <w:multiLevelType w:val="hybridMultilevel"/>
    <w:lvl w:ilvl="0">
      <w:lvlJc w:val="left"/>
      <w:lvlText w:val="(%1)"/>
      <w:numFmt w:val="decimal"/>
      <w:start w:val="3"/>
    </w:lvl>
    <w:lvl w:ilvl="1">
      <w:lvlJc w:val="left"/>
      <w:lvlText w:val="(%2)"/>
      <w:numFmt w:val="lowerLetter"/>
      <w:start w:val="4"/>
    </w:lvl>
  </w:abstractNum>
  <w:abstractNum w:abstractNumId="13">
    <w:nsid w:val="519B500D"/>
    <w:multiLevelType w:val="hybridMultilevel"/>
    <w:lvl w:ilvl="0">
      <w:lvlJc w:val="left"/>
      <w:lvlText w:val="(%1)"/>
      <w:numFmt w:val="lowerRoman"/>
      <w:start w:val="2"/>
    </w:lvl>
  </w:abstractNum>
  <w:abstractNum w:abstractNumId="14">
    <w:nsid w:val="431BD7B7"/>
    <w:multiLevelType w:val="hybridMultilevel"/>
    <w:lvl w:ilvl="0">
      <w:lvlJc w:val="left"/>
      <w:lvlText w:val="%1."/>
      <w:numFmt w:val="decimal"/>
      <w:start w:val="2"/>
    </w:lvl>
  </w:abstractNum>
  <w:abstractNum w:abstractNumId="15">
    <w:nsid w:val="3F2DBA31"/>
    <w:multiLevelType w:val="hybridMultilevel"/>
    <w:lvl w:ilvl="0">
      <w:lvlJc w:val="left"/>
      <w:lvlText w:val="%1."/>
      <w:numFmt w:val="decimal"/>
      <w:start w:val="3"/>
    </w:lvl>
  </w:abstractNum>
  <w:abstractNum w:abstractNumId="16">
    <w:nsid w:val="7C83E458"/>
    <w:multiLevelType w:val="hybridMultilevel"/>
    <w:lvl w:ilvl="0">
      <w:lvlJc w:val="left"/>
      <w:lvlText w:val="(%1)"/>
      <w:numFmt w:val="lowerLetter"/>
      <w:start w:val="4"/>
    </w:lvl>
  </w:abstractNum>
  <w:abstractNum w:abstractNumId="17">
    <w:nsid w:val="257130A3"/>
    <w:multiLevelType w:val="hybridMultilevel"/>
    <w:lvl w:ilvl="0">
      <w:lvlJc w:val="left"/>
      <w:lvlText w:val="%1."/>
      <w:numFmt w:val="decimal"/>
      <w:start w:val="1"/>
    </w:lvl>
  </w:abstractNum>
  <w:abstractNum w:abstractNumId="18">
    <w:nsid w:val="62BBD95A"/>
    <w:multiLevelType w:val="hybridMultilevel"/>
    <w:lvl w:ilvl="0">
      <w:lvlJc w:val="left"/>
      <w:lvlText w:val="%1."/>
      <w:numFmt w:val="decimal"/>
      <w:start w:val="2"/>
    </w:lvl>
  </w:abstractNum>
  <w:abstractNum w:abstractNumId="19">
    <w:nsid w:val="436C6125"/>
    <w:multiLevelType w:val="hybridMultilevel"/>
    <w:lvl w:ilvl="0">
      <w:lvlJc w:val="left"/>
      <w:lvlText w:val="(%1)"/>
      <w:numFmt w:val="lowerLetter"/>
      <w:start w:val="1"/>
    </w:lvl>
  </w:abstractNum>
  <w:abstractNum w:abstractNumId="20">
    <w:nsid w:val="628C895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2019-12-19T22:00:29Z</dcterms:created>
  <dcterms:modified xsi:type="dcterms:W3CDTF">2019-12-19T22:00:29Z</dcterms:modified>
</cp:coreProperties>
</file>