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-234950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7047865" cy="509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09651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Gaeta Anthony</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DESTINATION XL GROUP,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555 TURNPIKE STREET</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CANTON</w:t>
            </w:r>
          </w:p>
        </w:tc>
        <w:tc>
          <w:tcPr>
            <w:tcW w:w="10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02021</w:t>
            </w:r>
          </w:p>
        </w:tc>
      </w:tr>
      <w:tr>
        <w:trPr>
          <w:trHeight w:val="145"/>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DESTINATION XL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DXLG</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76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1"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continue"/>
          </w:tcPr>
          <w:p>
            <w:pPr>
              <w:spacing w:after="0"/>
              <w:rPr>
                <w:sz w:val="4"/>
                <w:szCs w:val="4"/>
                <w:color w:val="auto"/>
              </w:rPr>
            </w:pPr>
          </w:p>
        </w:tc>
        <w:tc>
          <w:tcPr>
            <w:tcW w:w="36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0" w:type="dxa"/>
            <w:vAlign w:val="bottom"/>
            <w:gridSpan w:val="2"/>
            <w:vMerge w:val="continue"/>
          </w:tcPr>
          <w:p>
            <w:pPr>
              <w:spacing w:after="0"/>
              <w:rPr>
                <w:sz w:val="4"/>
                <w:szCs w:val="4"/>
                <w:color w:val="auto"/>
              </w:rPr>
            </w:pPr>
          </w:p>
        </w:tc>
        <w:tc>
          <w:tcPr>
            <w:tcW w:w="36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rPr>
              <w:t>Chief Stores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01/11/2023</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8"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1"/>
                <w:szCs w:val="11"/>
                <w:color w:val="auto"/>
              </w:rPr>
            </w:pP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6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0000FF"/>
              </w:rPr>
              <w:t>01/11/2023</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18,719</w:t>
            </w:r>
          </w:p>
        </w:tc>
        <w:tc>
          <w:tcPr>
            <w:tcW w:w="54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tcPr>
          <w:p>
            <w:pPr>
              <w:jc w:val="center"/>
              <w:ind w:right="1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5.04</w:t>
            </w:r>
          </w:p>
        </w:tc>
        <w:tc>
          <w:tcPr>
            <w:tcW w:w="60" w:type="dxa"/>
            <w:vAlign w:val="bottom"/>
          </w:tcPr>
          <w:p>
            <w:pPr>
              <w:spacing w:after="0"/>
              <w:rPr>
                <w:sz w:val="22"/>
                <w:szCs w:val="22"/>
                <w:color w:val="auto"/>
              </w:rPr>
            </w:pP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0000FF"/>
              </w:rPr>
              <w:t>172,430</w:t>
            </w:r>
          </w:p>
        </w:tc>
        <w:tc>
          <w:tcPr>
            <w:tcW w:w="3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68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6"/>
                <w:szCs w:val="16"/>
                <w:color w:val="0000FF"/>
              </w:rPr>
              <w:t>01/11/2023</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18,719</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7.0401</w:t>
            </w:r>
            <w:r>
              <w:rPr>
                <w:rFonts w:ascii="Times New Roman" w:cs="Times New Roman" w:eastAsia="Times New Roman" w:hAnsi="Times New Roman"/>
                <w:sz w:val="21"/>
                <w:szCs w:val="21"/>
                <w:color w:val="008000"/>
                <w:w w:val="95"/>
                <w:vertAlign w:val="superscript"/>
              </w:rPr>
              <w:t>(1)</w:t>
            </w:r>
          </w:p>
        </w:tc>
        <w:tc>
          <w:tcPr>
            <w:tcW w:w="124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6"/>
                <w:szCs w:val="16"/>
                <w:color w:val="0000FF"/>
              </w:rPr>
              <w:t>153,711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0"/>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5.04</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01/11/2023</w:t>
            </w:r>
          </w:p>
        </w:tc>
        <w:tc>
          <w:tcPr>
            <w:tcW w:w="106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7"/>
                <w:szCs w:val="17"/>
                <w:color w:val="auto"/>
              </w:rPr>
            </w:pPr>
          </w:p>
        </w:tc>
        <w:tc>
          <w:tcPr>
            <w:tcW w:w="640" w:type="dxa"/>
            <w:vAlign w:val="bottom"/>
          </w:tcPr>
          <w:p>
            <w:pPr>
              <w:ind w:left="80"/>
              <w:spacing w:after="0" w:line="203" w:lineRule="exact"/>
              <w:rPr>
                <w:sz w:val="20"/>
                <w:szCs w:val="20"/>
                <w:color w:val="auto"/>
              </w:rPr>
            </w:pPr>
            <w:r>
              <w:rPr>
                <w:rFonts w:ascii="Times New Roman" w:cs="Times New Roman" w:eastAsia="Times New Roman" w:hAnsi="Times New Roman"/>
                <w:sz w:val="13"/>
                <w:szCs w:val="13"/>
                <w:color w:val="0000FF"/>
              </w:rPr>
              <w:t>18,719</w:t>
            </w:r>
            <w:r>
              <w:rPr>
                <w:rFonts w:ascii="Times New Roman" w:cs="Times New Roman" w:eastAsia="Times New Roman" w:hAnsi="Times New Roman"/>
                <w:sz w:val="21"/>
                <w:szCs w:val="21"/>
                <w:color w:val="008000"/>
                <w:vertAlign w:val="superscript"/>
              </w:rPr>
              <w:t>(2)</w:t>
            </w:r>
          </w:p>
        </w:tc>
        <w:tc>
          <w:tcPr>
            <w:tcW w:w="260" w:type="dxa"/>
            <w:vAlign w:val="bottom"/>
          </w:tcPr>
          <w:p>
            <w:pPr>
              <w:spacing w:after="0"/>
              <w:rPr>
                <w:sz w:val="17"/>
                <w:szCs w:val="17"/>
                <w:color w:val="auto"/>
              </w:rPr>
            </w:pPr>
          </w:p>
        </w:tc>
        <w:tc>
          <w:tcPr>
            <w:tcW w:w="800" w:type="dxa"/>
            <w:vAlign w:val="bottom"/>
          </w:tcPr>
          <w:p>
            <w:pPr>
              <w:ind w:left="80"/>
              <w:spacing w:after="0" w:line="203" w:lineRule="exact"/>
              <w:rPr>
                <w:sz w:val="20"/>
                <w:szCs w:val="20"/>
                <w:color w:val="auto"/>
              </w:rPr>
            </w:pPr>
            <w:r>
              <w:rPr>
                <w:rFonts w:ascii="Times New Roman" w:cs="Times New Roman" w:eastAsia="Times New Roman" w:hAnsi="Times New Roman"/>
                <w:sz w:val="13"/>
                <w:szCs w:val="13"/>
                <w:color w:val="0000FF"/>
                <w:w w:val="92"/>
              </w:rPr>
              <w:t>01/31/2015</w:t>
            </w:r>
            <w:r>
              <w:rPr>
                <w:rFonts w:ascii="Times New Roman" w:cs="Times New Roman" w:eastAsia="Times New Roman" w:hAnsi="Times New Roman"/>
                <w:sz w:val="21"/>
                <w:szCs w:val="21"/>
                <w:color w:val="008000"/>
                <w:w w:val="92"/>
                <w:vertAlign w:val="superscript"/>
              </w:rPr>
              <w:t>(1)</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05/28/2023</w:t>
            </w:r>
          </w:p>
        </w:tc>
        <w:tc>
          <w:tcPr>
            <w:tcW w:w="54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4"/>
              </w:rPr>
              <w:t>Common</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18,719</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Option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3"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$7.03 to $7.12,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p>
      <w:pPr>
        <w:spacing w:after="0" w:line="26" w:lineRule="exact"/>
        <w:rPr>
          <w:rFonts w:ascii="Times New Roman" w:cs="Times New Roman" w:eastAsia="Times New Roman" w:hAnsi="Times New Roman"/>
          <w:sz w:val="13"/>
          <w:szCs w:val="13"/>
          <w:color w:val="008000"/>
        </w:rPr>
      </w:pPr>
    </w:p>
    <w:p>
      <w:pPr>
        <w:ind w:left="40" w:right="24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non-qualified stock options to the Reporting Person on May 28, 2013 under the 2013-2016 Long-Term Incentive Plan. The shares subject to time-based vesting became fully vested January 28, 2017.</w:t>
      </w:r>
    </w:p>
    <w:p>
      <w:pPr>
        <w:spacing w:after="0" w:line="4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Anthony Gaeta</w:t>
            </w:r>
          </w:p>
        </w:tc>
        <w:tc>
          <w:tcPr>
            <w:tcW w:w="12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01/12/2023</w:t>
            </w: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386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2023-01-12T15:05:03Z</dcterms:created>
  <dcterms:modified xsi:type="dcterms:W3CDTF">2023-01-12T15:05:03Z</dcterms:modified>
</cp:coreProperties>
</file>