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10/31/2019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10/31/2019</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3,155</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35,017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10/31/2019</w:t>
            </w:r>
          </w:p>
        </w:tc>
        <w:tc>
          <w:tcPr>
            <w:tcW w:w="11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920" w:type="dxa"/>
            <w:vAlign w:val="bottom"/>
          </w:tcPr>
          <w:p>
            <w:pPr>
              <w:ind w:left="480"/>
              <w:spacing w:after="0"/>
              <w:rPr>
                <w:sz w:val="20"/>
                <w:szCs w:val="20"/>
                <w:color w:val="auto"/>
              </w:rPr>
            </w:pPr>
            <w:r>
              <w:rPr>
                <w:rFonts w:ascii="Arial" w:cs="Arial" w:eastAsia="Arial" w:hAnsi="Arial"/>
                <w:sz w:val="14"/>
                <w:szCs w:val="14"/>
                <w:color w:val="0000FF"/>
              </w:rPr>
              <w:t>3,155</w:t>
            </w:r>
          </w:p>
        </w:tc>
        <w:tc>
          <w:tcPr>
            <w:tcW w:w="800" w:type="dxa"/>
            <w:vAlign w:val="bottom"/>
            <w:gridSpan w:val="2"/>
          </w:tcPr>
          <w:p>
            <w:pPr>
              <w:ind w:left="40"/>
              <w:spacing w:after="0"/>
              <w:rPr>
                <w:sz w:val="20"/>
                <w:szCs w:val="20"/>
                <w:color w:val="auto"/>
              </w:rPr>
            </w:pPr>
            <w:r>
              <w:rPr>
                <w:rFonts w:ascii="Arial" w:cs="Arial" w:eastAsia="Arial" w:hAnsi="Arial"/>
                <w:sz w:val="14"/>
                <w:szCs w:val="14"/>
                <w:color w:val="0000FF"/>
              </w:rPr>
              <w:t>10/31/2019</w:t>
            </w: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10/31/2019</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rPr>
                <w:sz w:val="20"/>
                <w:szCs w:val="20"/>
                <w:color w:val="auto"/>
              </w:rPr>
            </w:pPr>
            <w:r>
              <w:rPr>
                <w:rFonts w:ascii="Arial" w:cs="Arial" w:eastAsia="Arial" w:hAnsi="Arial"/>
                <w:sz w:val="18"/>
                <w:szCs w:val="18"/>
                <w:color w:val="0000FF"/>
              </w:rPr>
              <w:t>3,155</w:t>
            </w:r>
          </w:p>
        </w:tc>
        <w:tc>
          <w:tcPr>
            <w:tcW w:w="4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converted into one share of common stock on October 31, 2019, when the deferred stock vested. Upon vesting, the corresponding shares of common stock were distributed under the terms of the Fourth Amended and Restated Non-Employee Director Compensation Plan and is reflected in Table 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10/31/2019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2019-12-23T15:08:37Z</dcterms:created>
  <dcterms:modified xsi:type="dcterms:W3CDTF">2019-12-23T15:08:37Z</dcterms:modified>
</cp:coreProperties>
</file>