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124460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144145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DESTINATION XL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47625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6"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On August 9, 2018, Destination XL Group, Inc. (the “Company”) held its Annual Meeting of Stockholders (the “Annual Meeting”). Set forth below are the matters submitted at the Annual Meeting by the Board of Directors of the Company to a vote of stockholders and the final results of the voting for each proposal.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1: Election of Directors.</w:t>
      </w:r>
    </w:p>
    <w:p>
      <w:pPr>
        <w:spacing w:after="0" w:line="8" w:lineRule="exact"/>
        <w:rPr>
          <w:sz w:val="20"/>
          <w:szCs w:val="20"/>
          <w:color w:val="auto"/>
        </w:rPr>
      </w:pPr>
    </w:p>
    <w:p>
      <w:pPr>
        <w:ind w:right="260"/>
        <w:spacing w:after="0" w:line="237" w:lineRule="auto"/>
        <w:rPr>
          <w:sz w:val="20"/>
          <w:szCs w:val="20"/>
          <w:color w:val="auto"/>
        </w:rPr>
      </w:pPr>
      <w:r>
        <w:rPr>
          <w:rFonts w:ascii="Arial" w:cs="Arial" w:eastAsia="Arial" w:hAnsi="Arial"/>
          <w:sz w:val="22"/>
          <w:szCs w:val="22"/>
          <w:color w:val="auto"/>
        </w:rPr>
        <w:t>The Company’s stockholders elected nine directors to hold office until the 2019 Annual Meeting of Stockholders and until their respective successors are duly elected and qualified. The results of the voting were as follows</w:t>
      </w:r>
      <w:r>
        <w:rPr>
          <w:rFonts w:ascii="Arial" w:cs="Arial" w:eastAsia="Arial" w:hAnsi="Arial"/>
          <w:sz w:val="18"/>
          <w:szCs w:val="18"/>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980" w:type="dxa"/>
            <w:vAlign w:val="bottom"/>
            <w:gridSpan w:val="2"/>
          </w:tcPr>
          <w:p>
            <w:pPr>
              <w:ind w:left="740"/>
              <w:spacing w:after="0"/>
              <w:rPr>
                <w:sz w:val="20"/>
                <w:szCs w:val="20"/>
                <w:color w:val="auto"/>
              </w:rPr>
            </w:pPr>
            <w:r>
              <w:rPr>
                <w:rFonts w:ascii="Arial" w:cs="Arial" w:eastAsia="Arial" w:hAnsi="Arial"/>
                <w:sz w:val="18"/>
                <w:szCs w:val="18"/>
                <w:color w:val="auto"/>
              </w:rPr>
              <w:t>FOR</w:t>
            </w:r>
          </w:p>
        </w:tc>
        <w:tc>
          <w:tcPr>
            <w:tcW w:w="1980" w:type="dxa"/>
            <w:vAlign w:val="bottom"/>
            <w:gridSpan w:val="2"/>
          </w:tcPr>
          <w:p>
            <w:pPr>
              <w:ind w:left="540"/>
              <w:spacing w:after="0"/>
              <w:rPr>
                <w:sz w:val="20"/>
                <w:szCs w:val="20"/>
                <w:color w:val="auto"/>
              </w:rPr>
            </w:pPr>
            <w:r>
              <w:rPr>
                <w:rFonts w:ascii="Arial" w:cs="Arial" w:eastAsia="Arial" w:hAnsi="Arial"/>
                <w:sz w:val="18"/>
                <w:szCs w:val="18"/>
                <w:color w:val="auto"/>
              </w:rPr>
              <w:t>AGAINST</w:t>
            </w:r>
          </w:p>
        </w:tc>
        <w:tc>
          <w:tcPr>
            <w:tcW w:w="1980" w:type="dxa"/>
            <w:vAlign w:val="bottom"/>
            <w:gridSpan w:val="2"/>
          </w:tcPr>
          <w:p>
            <w:pPr>
              <w:ind w:left="560"/>
              <w:spacing w:after="0"/>
              <w:rPr>
                <w:sz w:val="20"/>
                <w:szCs w:val="20"/>
                <w:color w:val="auto"/>
              </w:rPr>
            </w:pPr>
            <w:r>
              <w:rPr>
                <w:rFonts w:ascii="Arial" w:cs="Arial" w:eastAsia="Arial" w:hAnsi="Arial"/>
                <w:sz w:val="18"/>
                <w:szCs w:val="18"/>
                <w:color w:val="auto"/>
              </w:rPr>
              <w:t>ABSTAIN</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Broker Non-Votes</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Seymour Holtzman</w:t>
            </w:r>
          </w:p>
        </w:tc>
        <w:tc>
          <w:tcPr>
            <w:tcW w:w="18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37,624,137</w:t>
            </w:r>
          </w:p>
        </w:tc>
        <w:tc>
          <w:tcPr>
            <w:tcW w:w="12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1,578,066</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59,596</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David A. Levin</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38,314,634</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934,968</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Jack Boyle</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38,709,719</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492,334</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59,746</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Lionel F. Conacher</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35,156,667</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4,092,785</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John E. Kyees</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38,826,987</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422,465</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Willem Mesdag</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38,323,371</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926,131</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Ward K. Mooney</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37,734,173</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1,467,930</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59,696</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Mitchell S. Presser</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37,661,988</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1,540,115</w:t>
            </w:r>
          </w:p>
        </w:tc>
        <w:tc>
          <w:tcPr>
            <w:tcW w:w="100" w:type="dxa"/>
            <w:vAlign w:val="bottom"/>
          </w:tcPr>
          <w:p>
            <w:pPr>
              <w:spacing w:after="0"/>
              <w:rPr>
                <w:sz w:val="19"/>
                <w:szCs w:val="19"/>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59,696</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Ivy Ross</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38,628,953</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573,100</w:t>
            </w:r>
          </w:p>
        </w:tc>
        <w:tc>
          <w:tcPr>
            <w:tcW w:w="100" w:type="dxa"/>
            <w:vAlign w:val="bottom"/>
          </w:tcPr>
          <w:p>
            <w:pPr>
              <w:spacing w:after="0"/>
              <w:rPr>
                <w:sz w:val="20"/>
                <w:szCs w:val="20"/>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59,746</w:t>
            </w:r>
          </w:p>
        </w:tc>
        <w:tc>
          <w:tcPr>
            <w:tcW w:w="10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7,652,186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2: Advisory Vote on Compensation of Named Executive Officers.</w:t>
      </w:r>
    </w:p>
    <w:p>
      <w:pPr>
        <w:spacing w:after="0" w:line="206" w:lineRule="exact"/>
        <w:rPr>
          <w:sz w:val="20"/>
          <w:szCs w:val="20"/>
          <w:color w:val="auto"/>
        </w:rPr>
      </w:pPr>
    </w:p>
    <w:p>
      <w:pPr>
        <w:jc w:val="both"/>
        <w:ind w:right="560"/>
        <w:spacing w:after="0" w:line="251" w:lineRule="auto"/>
        <w:rPr>
          <w:sz w:val="20"/>
          <w:szCs w:val="20"/>
          <w:color w:val="auto"/>
        </w:rPr>
      </w:pPr>
      <w:r>
        <w:rPr>
          <w:rFonts w:ascii="Arial" w:cs="Arial" w:eastAsia="Arial" w:hAnsi="Arial"/>
          <w:sz w:val="22"/>
          <w:szCs w:val="22"/>
          <w:color w:val="auto"/>
        </w:rPr>
        <w:t>The compensation of the Company's named executive officers was approved by a non-binding advisory vote based upon the following votes: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920"/>
              <w:spacing w:after="0"/>
              <w:rPr>
                <w:sz w:val="20"/>
                <w:szCs w:val="20"/>
                <w:color w:val="auto"/>
              </w:rPr>
            </w:pPr>
            <w:r>
              <w:rPr>
                <w:rFonts w:ascii="Arial" w:cs="Arial" w:eastAsia="Arial" w:hAnsi="Arial"/>
                <w:sz w:val="18"/>
                <w:szCs w:val="18"/>
                <w:color w:val="auto"/>
              </w:rPr>
              <w:t>FOR</w:t>
            </w:r>
          </w:p>
        </w:tc>
        <w:tc>
          <w:tcPr>
            <w:tcW w:w="2280" w:type="dxa"/>
            <w:vAlign w:val="bottom"/>
            <w:gridSpan w:val="2"/>
          </w:tcPr>
          <w:p>
            <w:pPr>
              <w:ind w:left="680"/>
              <w:spacing w:after="0"/>
              <w:rPr>
                <w:sz w:val="20"/>
                <w:szCs w:val="20"/>
                <w:color w:val="auto"/>
              </w:rPr>
            </w:pPr>
            <w:r>
              <w:rPr>
                <w:rFonts w:ascii="Arial" w:cs="Arial" w:eastAsia="Arial" w:hAnsi="Arial"/>
                <w:sz w:val="18"/>
                <w:szCs w:val="18"/>
                <w:color w:val="auto"/>
              </w:rPr>
              <w:t>AGAINST</w:t>
            </w:r>
          </w:p>
        </w:tc>
        <w:tc>
          <w:tcPr>
            <w:tcW w:w="2260" w:type="dxa"/>
            <w:vAlign w:val="bottom"/>
            <w:gridSpan w:val="2"/>
          </w:tcPr>
          <w:p>
            <w:pPr>
              <w:ind w:left="700"/>
              <w:spacing w:after="0"/>
              <w:rPr>
                <w:sz w:val="20"/>
                <w:szCs w:val="20"/>
                <w:color w:val="auto"/>
              </w:rPr>
            </w:pPr>
            <w:r>
              <w:rPr>
                <w:rFonts w:ascii="Arial" w:cs="Arial" w:eastAsia="Arial" w:hAnsi="Arial"/>
                <w:sz w:val="18"/>
                <w:szCs w:val="18"/>
                <w:color w:val="auto"/>
              </w:rPr>
              <w:t>ABSTAIN</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Broker Non-Votes</w:t>
            </w:r>
          </w:p>
        </w:tc>
      </w:tr>
      <w:tr>
        <w:trPr>
          <w:trHeight w:val="224"/>
        </w:trPr>
        <w:tc>
          <w:tcPr>
            <w:tcW w:w="22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34,279,177</w:t>
            </w:r>
          </w:p>
        </w:tc>
        <w:tc>
          <w:tcPr>
            <w:tcW w:w="120" w:type="dxa"/>
            <w:vAlign w:val="bottom"/>
          </w:tcPr>
          <w:p>
            <w:pPr>
              <w:spacing w:after="0"/>
              <w:rPr>
                <w:sz w:val="19"/>
                <w:szCs w:val="19"/>
                <w:color w:val="auto"/>
              </w:rPr>
            </w:pPr>
          </w:p>
        </w:tc>
        <w:tc>
          <w:tcPr>
            <w:tcW w:w="21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4,888,555</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94,067</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7,652,186</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22"/>
          <w:szCs w:val="22"/>
          <w:u w:val="single" w:color="auto"/>
          <w:color w:val="auto"/>
        </w:rPr>
        <w:t>Proposal 3: Approval of Amendment to the Restated Certificate of Incorporation to modify certain protective transfer restrictions designed to preserve the Company’s ability to utilize its net operating loss carryforwards.</w:t>
      </w:r>
    </w:p>
    <w:p>
      <w:pPr>
        <w:spacing w:after="0" w:line="174"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Amendment to the Company’s Restated Certificate of Incorporation was approved by a majority of the outstanding shares entitled to vote based upon the following votes: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ind w:left="1200"/>
              <w:spacing w:after="0"/>
              <w:rPr>
                <w:sz w:val="20"/>
                <w:szCs w:val="20"/>
                <w:color w:val="auto"/>
              </w:rPr>
            </w:pPr>
            <w:r>
              <w:rPr>
                <w:rFonts w:ascii="Arial" w:cs="Arial" w:eastAsia="Arial" w:hAnsi="Arial"/>
                <w:sz w:val="18"/>
                <w:szCs w:val="18"/>
                <w:color w:val="auto"/>
              </w:rPr>
              <w:t>FOR</w:t>
            </w:r>
          </w:p>
        </w:tc>
        <w:tc>
          <w:tcPr>
            <w:tcW w:w="2860" w:type="dxa"/>
            <w:vAlign w:val="bottom"/>
            <w:gridSpan w:val="2"/>
          </w:tcPr>
          <w:p>
            <w:pPr>
              <w:ind w:left="980"/>
              <w:spacing w:after="0"/>
              <w:rPr>
                <w:sz w:val="20"/>
                <w:szCs w:val="20"/>
                <w:color w:val="auto"/>
              </w:rPr>
            </w:pPr>
            <w:r>
              <w:rPr>
                <w:rFonts w:ascii="Arial" w:cs="Arial" w:eastAsia="Arial" w:hAnsi="Arial"/>
                <w:sz w:val="18"/>
                <w:szCs w:val="18"/>
                <w:color w:val="auto"/>
              </w:rPr>
              <w:t>AGAINST</w:t>
            </w:r>
          </w:p>
        </w:tc>
        <w:tc>
          <w:tcPr>
            <w:tcW w:w="2840" w:type="dxa"/>
            <w:vAlign w:val="bottom"/>
            <w:gridSpan w:val="2"/>
          </w:tcPr>
          <w:p>
            <w:pPr>
              <w:ind w:left="980"/>
              <w:spacing w:after="0"/>
              <w:rPr>
                <w:sz w:val="20"/>
                <w:szCs w:val="20"/>
                <w:color w:val="auto"/>
              </w:rPr>
            </w:pPr>
            <w:r>
              <w:rPr>
                <w:rFonts w:ascii="Arial" w:cs="Arial" w:eastAsia="Arial" w:hAnsi="Arial"/>
                <w:sz w:val="18"/>
                <w:szCs w:val="18"/>
                <w:color w:val="auto"/>
              </w:rPr>
              <w:t>ABSTAIN</w:t>
            </w:r>
          </w:p>
        </w:tc>
        <w:tc>
          <w:tcPr>
            <w:tcW w:w="2740" w:type="dxa"/>
            <w:vAlign w:val="bottom"/>
          </w:tcPr>
          <w:p>
            <w:pPr>
              <w:jc w:val="right"/>
              <w:ind w:right="630"/>
              <w:spacing w:after="0"/>
              <w:rPr>
                <w:sz w:val="20"/>
                <w:szCs w:val="20"/>
                <w:color w:val="auto"/>
              </w:rPr>
            </w:pPr>
            <w:r>
              <w:rPr>
                <w:rFonts w:ascii="Arial" w:cs="Arial" w:eastAsia="Arial" w:hAnsi="Arial"/>
                <w:sz w:val="18"/>
                <w:szCs w:val="18"/>
                <w:color w:val="auto"/>
              </w:rPr>
              <w:t>Broker Non-Votes</w:t>
            </w:r>
          </w:p>
        </w:tc>
      </w:tr>
      <w:tr>
        <w:trPr>
          <w:trHeight w:val="224"/>
        </w:trPr>
        <w:tc>
          <w:tcPr>
            <w:tcW w:w="276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38,920,621</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323,936</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7,652,186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4: Ratification of Appointment of Independent Registered Public Accountants.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appointment of KPMG LLP as the Company’s independent registered public accounting firm for fiscal year ending February 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2019 was ratified based upon the following votes: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ind w:left="1660"/>
              <w:spacing w:after="0"/>
              <w:rPr>
                <w:sz w:val="20"/>
                <w:szCs w:val="20"/>
                <w:color w:val="auto"/>
              </w:rPr>
            </w:pPr>
            <w:r>
              <w:rPr>
                <w:rFonts w:ascii="Arial" w:cs="Arial" w:eastAsia="Arial" w:hAnsi="Arial"/>
                <w:sz w:val="18"/>
                <w:szCs w:val="18"/>
                <w:color w:val="auto"/>
              </w:rPr>
              <w:t>FOR</w:t>
            </w:r>
          </w:p>
        </w:tc>
        <w:tc>
          <w:tcPr>
            <w:tcW w:w="3800" w:type="dxa"/>
            <w:vAlign w:val="bottom"/>
            <w:gridSpan w:val="2"/>
          </w:tcPr>
          <w:p>
            <w:pPr>
              <w:ind w:left="1440"/>
              <w:spacing w:after="0"/>
              <w:rPr>
                <w:sz w:val="20"/>
                <w:szCs w:val="20"/>
                <w:color w:val="auto"/>
              </w:rPr>
            </w:pPr>
            <w:r>
              <w:rPr>
                <w:rFonts w:ascii="Arial" w:cs="Arial" w:eastAsia="Arial" w:hAnsi="Arial"/>
                <w:sz w:val="18"/>
                <w:szCs w:val="18"/>
                <w:color w:val="auto"/>
              </w:rPr>
              <w:t>AGAINST</w:t>
            </w:r>
          </w:p>
        </w:tc>
        <w:tc>
          <w:tcPr>
            <w:tcW w:w="3700" w:type="dxa"/>
            <w:vAlign w:val="bottom"/>
          </w:tcPr>
          <w:p>
            <w:pPr>
              <w:jc w:val="right"/>
              <w:ind w:right="1390"/>
              <w:spacing w:after="0"/>
              <w:rPr>
                <w:sz w:val="20"/>
                <w:szCs w:val="20"/>
                <w:color w:val="auto"/>
              </w:rPr>
            </w:pPr>
            <w:r>
              <w:rPr>
                <w:rFonts w:ascii="Arial" w:cs="Arial" w:eastAsia="Arial" w:hAnsi="Arial"/>
                <w:sz w:val="18"/>
                <w:szCs w:val="18"/>
                <w:color w:val="auto"/>
              </w:rPr>
              <w:t>ABSTAIN</w:t>
            </w:r>
          </w:p>
        </w:tc>
      </w:tr>
      <w:tr>
        <w:trPr>
          <w:trHeight w:val="224"/>
        </w:trPr>
        <w:tc>
          <w:tcPr>
            <w:tcW w:w="370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46,888,918</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right"/>
              <w:ind w:right="1450"/>
              <w:spacing w:after="0"/>
              <w:rPr>
                <w:sz w:val="20"/>
                <w:szCs w:val="20"/>
                <w:color w:val="auto"/>
              </w:rPr>
            </w:pPr>
            <w:r>
              <w:rPr>
                <w:rFonts w:ascii="Arial" w:cs="Arial" w:eastAsia="Arial" w:hAnsi="Arial"/>
                <w:sz w:val="18"/>
                <w:szCs w:val="18"/>
                <w:color w:val="auto"/>
              </w:rPr>
              <w:t>11,705</w:t>
            </w:r>
          </w:p>
        </w:tc>
        <w:tc>
          <w:tcPr>
            <w:tcW w:w="120" w:type="dxa"/>
            <w:vAlign w:val="bottom"/>
          </w:tcPr>
          <w:p>
            <w:pPr>
              <w:spacing w:after="0"/>
              <w:rPr>
                <w:sz w:val="19"/>
                <w:szCs w:val="19"/>
                <w:color w:val="auto"/>
              </w:rPr>
            </w:pPr>
          </w:p>
        </w:tc>
        <w:tc>
          <w:tcPr>
            <w:tcW w:w="370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rPr>
              <w:t>13,362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10,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6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sectPr>
      <w:pgSz w:w="11900" w:h="16838" w:orient="portrait"/>
      <w:cols w:equalWidth="0" w:num="1">
        <w:col w:w="11300"/>
      </w:cols>
      <w:pgMar w:left="24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2019-12-05T17:21:54Z</dcterms:created>
  <dcterms:modified xsi:type="dcterms:W3CDTF">2019-12-05T17:21:54Z</dcterms:modified>
</cp:coreProperties>
</file>