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SCHEDULE 13D/A</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(Amendment No. 60)</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Casual Male Retail Group, Inc.</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25057L102</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Seymour Holtzman</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 Jewelcor Companies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100 N. Wilkes Barre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Wilkes-Barre, Pennsylvania 18702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(570) 822-6277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and Communications)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April 28, 2011</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76"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75"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w:t>
            </w:r>
          </w:p>
        </w:tc>
        <w:tc>
          <w:tcPr>
            <w:tcW w:w="82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SOLE VOTING POWER</w:t>
            </w:r>
          </w:p>
        </w:tc>
      </w:tr>
      <w:tr>
        <w:trPr>
          <w:trHeight w:val="421"/>
        </w:trPr>
        <w:tc>
          <w:tcPr>
            <w:tcW w:w="2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5,653,769(1)</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NUMBER OF</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8)</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SHARED VOTING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OWNED BY</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9)</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SOLE DISPOSITIVE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EACH REPORTING</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5,653,769(1)</w:t>
            </w:r>
          </w:p>
        </w:tc>
      </w:tr>
      <w:tr>
        <w:trPr>
          <w:trHeight w:val="234"/>
        </w:trPr>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r>
    </w:tbl>
    <w:p>
      <w:pPr>
        <w:spacing w:after="0" w:line="18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5,653,769(1)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740" w:right="8160" w:hanging="732"/>
        <w:spacing w:after="0" w:line="519" w:lineRule="auto"/>
        <w:tabs>
          <w:tab w:leader="none" w:pos="57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firstLine="8"/>
        <w:spacing w:after="0" w:line="264"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options to purchase an aggregate of 1,610,000 shares of Common Stock, all of which are immediately exercisable and are directly beneficially owned by Mr. Holtzman. Also includes 77,800 shares of Common Stock owned by Jewelcor Management, Inc. Mr. Holtzman is an indirect controlling shareholder of Jewelcor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7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w:t>
            </w:r>
          </w:p>
        </w:tc>
        <w:tc>
          <w:tcPr>
            <w:tcW w:w="82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SOLE VOTING POWER</w:t>
            </w:r>
          </w:p>
        </w:tc>
      </w:tr>
      <w:tr>
        <w:trPr>
          <w:trHeight w:val="421"/>
        </w:trPr>
        <w:tc>
          <w:tcPr>
            <w:tcW w:w="2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NUMBER OF</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8)</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SHARED VOTING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OWNED BY</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9)</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SOLE DISPOSITIVE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EACH REPORTING</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r>
      <w:tr>
        <w:trPr>
          <w:trHeight w:val="234"/>
        </w:trPr>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r>
    </w:tbl>
    <w:p>
      <w:pPr>
        <w:spacing w:after="0" w:line="18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740" w:right="8160" w:hanging="732"/>
        <w:spacing w:after="0" w:line="532" w:lineRule="auto"/>
        <w:tabs>
          <w:tab w:leader="none" w:pos="57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7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Jewelcor Management, Inc. 23-2331228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w:t>
            </w:r>
          </w:p>
        </w:tc>
        <w:tc>
          <w:tcPr>
            <w:tcW w:w="82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SOLE VOTING POWER</w:t>
            </w:r>
          </w:p>
        </w:tc>
      </w:tr>
      <w:tr>
        <w:trPr>
          <w:trHeight w:val="421"/>
        </w:trPr>
        <w:tc>
          <w:tcPr>
            <w:tcW w:w="2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77,800</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NUMBER OF</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8)</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SHARED VOTING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r>
      <w:tr>
        <w:trPr>
          <w:trHeight w:val="198"/>
        </w:trPr>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OWNED BY</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9)</w:t>
            </w:r>
          </w:p>
        </w:tc>
        <w:tc>
          <w:tcPr>
            <w:tcW w:w="82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SOLE DISPOSITIVE POWER</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EACH REPORTING</w:t>
            </w:r>
          </w:p>
        </w:tc>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77,800</w:t>
            </w:r>
          </w:p>
        </w:tc>
      </w:tr>
      <w:tr>
        <w:trPr>
          <w:trHeight w:val="234"/>
        </w:trPr>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SHARED DISPOSITIVE POWER</w:t>
            </w:r>
          </w:p>
        </w:tc>
      </w:tr>
    </w:tbl>
    <w:p>
      <w:pPr>
        <w:spacing w:after="0" w:line="18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77,800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740" w:right="8160" w:hanging="732"/>
        <w:spacing w:after="0" w:line="532" w:lineRule="auto"/>
        <w:tabs>
          <w:tab w:leader="none" w:pos="57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This Amendment No. 60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hereby amended and supplemented as follows: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2011, JMI executed an Amended and Restated Consulting Agreement with Casual Male Retail Group, Inc., dated as of April 28, 2011, which amends and restates certain portions of the Consulting Agreement as previously amended. On May 2, 2011, Seymour Holtzman executed an Employment Agreement with Casual Male Retail Group, Inc., dated as of April 28,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5(a) of the Schedule 13D is hereby amended and supplemented as follows: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May 5, 2011, the Reporting Persons, except for JMI, included in this filing may be deemed to be the beneficial owners of 5,653,769 shares of Common Stock, representing an aggregate of approximately 11.45% of the outstanding shares of Common Stock based upon the 47,786,281 shares of Common Stock outstanding as of March 10, 2011 as reported by the Company in its Form 10-K filed on March 18, 2011. Such amount includes options to purchase an aggregate of 1,610,000 shares of Common Stock, all of which are immediately exercisable and are directly beneficially owned by Mr. Holtzman. Such amount also includes 77,800 shares of Common Stock owned by JMI. Mr. Holtzman is an indirect controlling shareholder of JMI.</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May 5, 2011, JMI beneficially owns 77,800 shares of Common Stock, representing an aggregate of approximately 0.16% of the outstanding shares of Common Stock. Mr. Holtzman is an indirect controlling shareholder of JMI.</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May 5, 2011, the Reporting Persons beneficially own an aggregate of 5,653,769 shares of Common Stock, representing an aggregate of approximately 11.45% of the outstanding shares of Common Stock based upon the 47,786,281 shares of Common Stock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hereby amended and supplemented as follows: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2011, JMI executed an Amended and Restated Consulting Agreement with Casual Male Retail Group, Inc., dated as of April 28, 2011, which amends and restates certain portions of the Consulting Agreement as previously amended. On May 2, 2011, Seymour Holtzman executed an Employment Agreement with Casual Male Retail Group, Inc., dated as of April 28, 2011.</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Exhibit 1. Amended and Restated Consulting Agreement between Jewelcor Management, Inc. and Casual Male Retail Group, Inc. dated as of April 28, 2011.</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Exhibit 2. Employment Agreement between Seymour Holtzman and Casual Male Retail Group, Inc. dated as of April 28, 2011 but signed by Seymour Holtzman on May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6, 2011</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26244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Seymour Holtzman</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14605</wp:posOffset>
            </wp:positionV>
            <wp:extent cx="26244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Evelyn Holtzman</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JEWELCOR MANAGEMENT, INC.</w:t>
      </w:r>
    </w:p>
    <w:p>
      <w:pPr>
        <w:spacing w:after="0" w:line="23"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5715</wp:posOffset>
            </wp:positionV>
            <wp:extent cx="2504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Seymour Holtzman</w:t>
      </w:r>
    </w:p>
    <w:p>
      <w:pPr>
        <w:spacing w:after="0" w:line="23"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ind w:left="4580"/>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CONSULTING AGREEMENT</w:t>
      </w:r>
    </w:p>
    <w:p>
      <w:pPr>
        <w:spacing w:after="0" w:line="238" w:lineRule="exact"/>
        <w:rPr>
          <w:sz w:val="20"/>
          <w:szCs w:val="20"/>
          <w:color w:val="auto"/>
        </w:rPr>
      </w:pPr>
    </w:p>
    <w:p>
      <w:pPr>
        <w:ind w:firstLine="87"/>
        <w:spacing w:after="0" w:line="259" w:lineRule="auto"/>
        <w:rPr>
          <w:sz w:val="20"/>
          <w:szCs w:val="20"/>
          <w:color w:val="auto"/>
        </w:rPr>
      </w:pPr>
      <w:r>
        <w:rPr>
          <w:rFonts w:ascii="Arial" w:cs="Arial" w:eastAsia="Arial" w:hAnsi="Arial"/>
          <w:sz w:val="18"/>
          <w:szCs w:val="18"/>
          <w:color w:val="auto"/>
        </w:rPr>
        <w:t>This Amended and Restated Consulting Agreement (the "Amended and Restated Agreement") is effective as of April __, 2011 (the "Effective Date"), by and between Casual Male Retail Group, Inc., a Delaware corporation (the "Corporation"), with its principal executive offices located at 555 Turnpike Street, Canton, Massachusetts 02021, and Jewelcor Management, Inc., a Nevada corporation (the "Independent Contractor"), having its principal executive offices located at 100 North Wilkes-Barre Boulevard, Wilkes-Barre, Pennsylvania 18702.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WHEREAS, the stated term of the Consulting Agreement dated October 28, 1999 between the Corporation and the Independent Contractor (the "Original Consulting Agreement") ended on April 28, 2000; and</w:t>
      </w:r>
    </w:p>
    <w:p>
      <w:pPr>
        <w:spacing w:after="0" w:line="197"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WHEREAS, the Corporation confirmed the retention of the Independent Contractor, effective as of April 29, 2000 (the “Agreement”) to continue as a consultant to the Corporation to assist the Corporation in developing and implementing a strategic plan for the Corporation and for other related consulting services to which the parties may agree, as described in Section 3 (the “Services”); and</w:t>
      </w:r>
    </w:p>
    <w:p>
      <w:pPr>
        <w:spacing w:after="0" w:line="20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WHEREAS the Independent Contractor agrees to perform the Services for the Corporation under the terms and conditions set forth in this Amended and Restated Agreement, it being expressly understood that the Independent Contractor shall perform Services as an independent contractor and nothing contained herein shall be construed to be inconsistent with this relationship or status; and</w:t>
      </w:r>
    </w:p>
    <w:p>
      <w:pPr>
        <w:spacing w:after="0" w:line="20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WHEREAS, given the passage of time and the numerous amendments to the Agreement, the parties desire to enter into this Amended and Restated Agreement;</w:t>
      </w:r>
    </w:p>
    <w:p>
      <w:pPr>
        <w:spacing w:after="0" w:line="19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NOW, THEREFORE, for and in consideration of the mutual promises and covenants set forth in this Amended and Restated Agreement, and for other good and valuable consideration, the receipt and sufficiency of which are hereby acknowledged, the Corporation and the Independent Contractor hereby agree as follows: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ONE</w:t>
      </w:r>
    </w:p>
    <w:p>
      <w:pPr>
        <w:spacing w:after="0" w:line="252" w:lineRule="exact"/>
        <w:rPr>
          <w:sz w:val="20"/>
          <w:szCs w:val="20"/>
          <w:color w:val="auto"/>
        </w:rPr>
      </w:pPr>
    </w:p>
    <w:p>
      <w:pPr>
        <w:ind w:left="3480"/>
        <w:spacing w:after="0"/>
        <w:rPr>
          <w:sz w:val="20"/>
          <w:szCs w:val="20"/>
          <w:color w:val="auto"/>
        </w:rPr>
      </w:pPr>
      <w:r>
        <w:rPr>
          <w:rFonts w:ascii="Arial" w:cs="Arial" w:eastAsia="Arial" w:hAnsi="Arial"/>
          <w:sz w:val="18"/>
          <w:szCs w:val="18"/>
          <w:u w:val="single" w:color="auto"/>
          <w:color w:val="auto"/>
        </w:rPr>
        <w:t>Representations and Warranties of the Independent Contractor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Independent Contractor represents, warrants, covenants and agrees that:</w:t>
      </w:r>
    </w:p>
    <w:p>
      <w:pPr>
        <w:spacing w:after="0" w:line="252" w:lineRule="exact"/>
        <w:rPr>
          <w:sz w:val="20"/>
          <w:szCs w:val="20"/>
          <w:color w:val="auto"/>
        </w:rPr>
      </w:pPr>
    </w:p>
    <w:p>
      <w:pPr>
        <w:ind w:right="160" w:firstLine="332"/>
        <w:spacing w:after="0" w:line="308" w:lineRule="auto"/>
        <w:tabs>
          <w:tab w:leader="none" w:pos="101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173" w:lineRule="exact"/>
        <w:rPr>
          <w:rFonts w:ascii="Arial" w:cs="Arial" w:eastAsia="Arial" w:hAnsi="Arial"/>
          <w:sz w:val="17"/>
          <w:szCs w:val="17"/>
          <w:color w:val="auto"/>
        </w:rPr>
      </w:pPr>
    </w:p>
    <w:p>
      <w:pPr>
        <w:ind w:right="60" w:firstLine="332"/>
        <w:spacing w:after="0" w:line="277" w:lineRule="auto"/>
        <w:tabs>
          <w:tab w:leader="none" w:pos="10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Independent Contractor has all necessary power and authority to execute and deliver this Amended and Restated Agreement and to perform all of its obligations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20" w:firstLine="332"/>
        <w:spacing w:after="0" w:line="264" w:lineRule="auto"/>
        <w:tabs>
          <w:tab w:leader="none" w:pos="9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Amended and Restated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181" w:lineRule="exact"/>
        <w:rPr>
          <w:rFonts w:ascii="Arial" w:cs="Arial" w:eastAsia="Arial" w:hAnsi="Arial"/>
          <w:sz w:val="18"/>
          <w:szCs w:val="18"/>
          <w:color w:val="auto"/>
        </w:rPr>
      </w:pPr>
    </w:p>
    <w:p>
      <w:pPr>
        <w:ind w:left="-20" w:right="60" w:firstLine="332"/>
        <w:spacing w:after="0" w:line="257" w:lineRule="auto"/>
        <w:tabs>
          <w:tab w:leader="none" w:pos="9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delivery and performance by the Independent Contractor of this Amended and Restated Agreement does not (I) violate or conflict with any provision of the Independent Contractor's charter or By-Laws; (2) violate, conflict with, or result in a breach or termination of (or require any consent or approval under) any agreement, license, arrangement or understanding, whether written or oral, to which the Independent Contractor, its agents or employees (or anyone of them) is a party; or (3) violate any law, judgment, decree, order, rule or regulation applicable to the Independent Contractor, its agents or employees (or anyone of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TWO</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Representations and Warranties of the Corporation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Corporation represents, warrants, covenants and agrees that:</w:t>
      </w:r>
    </w:p>
    <w:p>
      <w:pPr>
        <w:spacing w:after="0" w:line="252" w:lineRule="exact"/>
        <w:rPr>
          <w:sz w:val="20"/>
          <w:szCs w:val="20"/>
          <w:color w:val="auto"/>
        </w:rPr>
      </w:pPr>
    </w:p>
    <w:p>
      <w:pPr>
        <w:ind w:left="920" w:hanging="60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is a corporation duly organized, validly existing and in good standing under the laws of the State of Delaware;</w:t>
      </w:r>
    </w:p>
    <w:p>
      <w:pPr>
        <w:spacing w:after="0" w:line="252" w:lineRule="exact"/>
        <w:rPr>
          <w:rFonts w:ascii="Arial" w:cs="Arial" w:eastAsia="Arial" w:hAnsi="Arial"/>
          <w:sz w:val="18"/>
          <w:szCs w:val="18"/>
          <w:color w:val="auto"/>
        </w:rPr>
      </w:pPr>
    </w:p>
    <w:p>
      <w:pPr>
        <w:ind w:left="-20" w:right="320" w:firstLine="332"/>
        <w:spacing w:after="0" w:line="277" w:lineRule="auto"/>
        <w:tabs>
          <w:tab w:leader="none" w:pos="9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has all necessary power and authority to execute and deliver this Amended and Restated Agreement and to perform all of its obligations under this Amended and Restated Agreement;</w:t>
      </w:r>
    </w:p>
    <w:p>
      <w:pPr>
        <w:spacing w:after="0" w:line="197" w:lineRule="exact"/>
        <w:rPr>
          <w:rFonts w:ascii="Arial" w:cs="Arial" w:eastAsia="Arial" w:hAnsi="Arial"/>
          <w:sz w:val="18"/>
          <w:szCs w:val="18"/>
          <w:color w:val="auto"/>
        </w:rPr>
      </w:pPr>
    </w:p>
    <w:p>
      <w:pPr>
        <w:ind w:left="-20" w:right="380" w:firstLine="332"/>
        <w:spacing w:after="0" w:line="308" w:lineRule="auto"/>
        <w:tabs>
          <w:tab w:leader="none" w:pos="9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Amended and Restated Agreement has been duly and validly authorized, executed and delivered by the Corporation, and constitutes the valid and binding obligation of the Corporation, and is enforceable against the Corporation in accordance with its terms; and</w:t>
      </w:r>
    </w:p>
    <w:p>
      <w:pPr>
        <w:spacing w:after="0" w:line="173" w:lineRule="exact"/>
        <w:rPr>
          <w:rFonts w:ascii="Arial" w:cs="Arial" w:eastAsia="Arial" w:hAnsi="Arial"/>
          <w:sz w:val="17"/>
          <w:szCs w:val="17"/>
          <w:color w:val="auto"/>
        </w:rPr>
      </w:pPr>
    </w:p>
    <w:p>
      <w:pPr>
        <w:ind w:left="-20" w:right="140" w:firstLine="332"/>
        <w:spacing w:after="0" w:line="259" w:lineRule="auto"/>
        <w:tabs>
          <w:tab w:leader="none" w:pos="9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execution, delivery and performance by the Corporation of this Amended and Restated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SECTION THREE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Nature of the Services</w:t>
      </w:r>
    </w:p>
    <w:p>
      <w:pPr>
        <w:spacing w:after="0" w:line="25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From time to time, at the request of the Board of Directors of the Corporation (the “Board”) or a Committee of the Board, the Independent Contractor will be responsible, on the Board’’s behalf, for overseeing the direction and execution of transactions concerning the strategic direction of the Corporation, including:</w:t>
      </w:r>
    </w:p>
    <w:p>
      <w:pPr>
        <w:spacing w:after="0" w:line="181" w:lineRule="exact"/>
        <w:rPr>
          <w:sz w:val="20"/>
          <w:szCs w:val="20"/>
          <w:color w:val="auto"/>
        </w:rPr>
      </w:pPr>
    </w:p>
    <w:p>
      <w:pPr>
        <w:ind w:left="1800" w:hanging="224"/>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significant acquisitions or dispositions;</w:t>
      </w:r>
    </w:p>
    <w:p>
      <w:pPr>
        <w:spacing w:after="0" w:line="23" w:lineRule="exact"/>
        <w:rPr>
          <w:rFonts w:ascii="Arial" w:cs="Arial" w:eastAsia="Arial" w:hAnsi="Arial"/>
          <w:sz w:val="18"/>
          <w:szCs w:val="18"/>
          <w:color w:val="auto"/>
        </w:rPr>
      </w:pPr>
    </w:p>
    <w:p>
      <w:pPr>
        <w:ind w:left="1800" w:hanging="234"/>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business combination or sale of the Corporation or of substantially all of its assets;</w:t>
      </w:r>
    </w:p>
    <w:p>
      <w:pPr>
        <w:spacing w:after="0" w:line="9" w:lineRule="exact"/>
        <w:rPr>
          <w:rFonts w:ascii="Arial" w:cs="Arial" w:eastAsia="Arial" w:hAnsi="Arial"/>
          <w:sz w:val="18"/>
          <w:szCs w:val="18"/>
          <w:color w:val="auto"/>
        </w:rPr>
      </w:pPr>
    </w:p>
    <w:p>
      <w:pPr>
        <w:ind w:left="1800" w:hanging="224"/>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or equity financing and/or refinancing;</w:t>
      </w:r>
    </w:p>
    <w:p>
      <w:pPr>
        <w:spacing w:after="0" w:line="9" w:lineRule="exact"/>
        <w:rPr>
          <w:rFonts w:ascii="Arial" w:cs="Arial" w:eastAsia="Arial" w:hAnsi="Arial"/>
          <w:sz w:val="18"/>
          <w:szCs w:val="18"/>
          <w:color w:val="auto"/>
        </w:rPr>
      </w:pPr>
    </w:p>
    <w:p>
      <w:pPr>
        <w:ind w:left="1800" w:hanging="234"/>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strategic partnering; and</w:t>
      </w:r>
    </w:p>
    <w:p>
      <w:pPr>
        <w:spacing w:after="0" w:line="9" w:lineRule="exact"/>
        <w:rPr>
          <w:rFonts w:ascii="Arial" w:cs="Arial" w:eastAsia="Arial" w:hAnsi="Arial"/>
          <w:sz w:val="18"/>
          <w:szCs w:val="18"/>
          <w:color w:val="auto"/>
        </w:rPr>
      </w:pPr>
    </w:p>
    <w:p>
      <w:pPr>
        <w:ind w:left="1800" w:hanging="224"/>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major contracts or transactions that the Board deems to be “strategic”.</w:t>
      </w:r>
    </w:p>
    <w:p>
      <w:pPr>
        <w:spacing w:after="0" w:line="211"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In addition to the foregoing, at the request of the Board or a Committee of the Board, the Independent Contractor shall provide day-to-day advisory and consulting services to the management and Board or the Committee with respect to the Company’s on-going operations and the achievement of its planned objectives.</w:t>
      </w:r>
    </w:p>
    <w:p>
      <w:pPr>
        <w:spacing w:after="0" w:line="181" w:lineRule="exact"/>
        <w:rPr>
          <w:sz w:val="20"/>
          <w:szCs w:val="20"/>
          <w:color w:val="auto"/>
        </w:rPr>
      </w:pPr>
    </w:p>
    <w:p>
      <w:pPr>
        <w:jc w:val="both"/>
        <w:ind w:right="320" w:firstLine="504"/>
        <w:spacing w:after="0" w:line="264" w:lineRule="auto"/>
        <w:rPr>
          <w:sz w:val="20"/>
          <w:szCs w:val="20"/>
          <w:color w:val="auto"/>
        </w:rPr>
      </w:pPr>
      <w:r>
        <w:rPr>
          <w:rFonts w:ascii="Arial" w:cs="Arial" w:eastAsia="Arial" w:hAnsi="Arial"/>
          <w:sz w:val="18"/>
          <w:szCs w:val="18"/>
          <w:color w:val="auto"/>
        </w:rPr>
        <w:t>In accordance with the terms and conditions of this Agreement, the Independent Contractor shall, to the extent requested from time to time by the Board or a Committee of the Board, perform consulting services for the benefit of the Corporation with respect to all of the above-listed matters and shall perform such additional services as may be agreed to by both parties.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FOUR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Compensation and Benefits</w:t>
      </w:r>
    </w:p>
    <w:p>
      <w:pPr>
        <w:spacing w:after="0" w:line="25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Subject to the provisions of this Section 4, the fixed non-bonus consideration to be furnished to the Independent Contractor (or to Seymour Holtzman if the Independent Contractor so directs) by the Corporation for the Services rendered by the Independent Contractor under this Amended and Restated Agreement shall consist of annual compensation of $551,000, payable in equal monthly installments.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4.1 Subject to Section 16 hereof, the Corporation shall reimburse the Independent Contractor, within thirty (30) days following receipt of documentation that satisfies the Corporation's travel and expense reimbursement policies, but in no event later than the last day of the calendar year following the year in which the expense is incurred and documentation is submitted, an amount in cash equal to the actual and direct cost of all reasonable out-of-pocket expenses incurred by the Independent Contractor in the rendering of Services under this Amended and Restated Agreement. The amount of expenses eligible for reimbursement during one calendar year may not affect the expenses eligible for reimbursement in any other calendar year and the right of the Independent Contractor to reimbursement is not subject to liquidation or exchange for any other benefit. The Independent Contractor hereby acknowledges that it has received in writing, read and understands the Corporation's travel and expense reimbursement policies in effect as of the Effective Date.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 w:name="page10"/>
    <w:bookmarkEnd w:id="9"/>
    <w:p>
      <w:pPr>
        <w:ind w:right="120" w:firstLine="45"/>
        <w:spacing w:after="0" w:line="306" w:lineRule="auto"/>
        <w:rPr>
          <w:sz w:val="20"/>
          <w:szCs w:val="20"/>
          <w:color w:val="auto"/>
        </w:rPr>
      </w:pPr>
      <w:r>
        <w:rPr>
          <w:rFonts w:ascii="Arial" w:cs="Arial" w:eastAsia="Arial" w:hAnsi="Arial"/>
          <w:sz w:val="16"/>
          <w:szCs w:val="16"/>
          <w:color w:val="auto"/>
        </w:rPr>
        <w:t>4.2. The Independent Contractor is not eligible for participation in any current executive incentive or bonus program of the Corporation. However, the Board, at its own discretion, may choose to award a bonus to Independent Contractor if the Board determines that the Independent Contractor’s performance in carrying out its duties (as described in Section 3 of this Amended and Restated Agreement) has been outstanding, substantially exceeding the Board’s expectations. In no event shall any discretionary bonus payable to the Independent Contractor pursuant to this Section be paid later than the fifteenth (15</w:t>
      </w:r>
      <w:r>
        <w:rPr>
          <w:rFonts w:ascii="Arial" w:cs="Arial" w:eastAsia="Arial" w:hAnsi="Arial"/>
          <w:sz w:val="22"/>
          <w:szCs w:val="22"/>
          <w:color w:val="auto"/>
          <w:vertAlign w:val="superscript"/>
        </w:rPr>
        <w:t>th</w:t>
      </w:r>
      <w:r>
        <w:rPr>
          <w:rFonts w:ascii="Arial" w:cs="Arial" w:eastAsia="Arial" w:hAnsi="Arial"/>
          <w:sz w:val="16"/>
          <w:szCs w:val="16"/>
          <w:color w:val="auto"/>
        </w:rPr>
        <w:t>) day of the third (3</w:t>
      </w:r>
      <w:r>
        <w:rPr>
          <w:rFonts w:ascii="Arial" w:cs="Arial" w:eastAsia="Arial" w:hAnsi="Arial"/>
          <w:sz w:val="22"/>
          <w:szCs w:val="22"/>
          <w:color w:val="auto"/>
          <w:vertAlign w:val="superscript"/>
        </w:rPr>
        <w:t>rd</w:t>
      </w:r>
      <w:r>
        <w:rPr>
          <w:rFonts w:ascii="Arial" w:cs="Arial" w:eastAsia="Arial" w:hAnsi="Arial"/>
          <w:sz w:val="16"/>
          <w:szCs w:val="16"/>
          <w:color w:val="auto"/>
        </w:rPr>
        <w:t>) month following the year in which the Services were rendered with respect to which the discretionary bonus was determined.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FIVE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Duration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of this Amended and Restated Agreement shall expire on April 29, 2013 (the “Expiration Date”).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Commencing April 29, 2012, this Agreement shall automatically be extended for an additional one (1) year term on each anniversary date of the Effective Date unless either party shall give the other at least ninety (90) days written notice prior to such anniversary date that it will not extend the Term.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SIX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Complete Performance</w:t>
      </w:r>
    </w:p>
    <w:p>
      <w:pPr>
        <w:spacing w:after="0" w:line="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Independent Contractor agrees to fully perform its Services throughout the term of this Amended and Restated Agreement and further agrees to perform such Services in a manner that fulfills the spirit and purpose of this Amended and Restated Agreement. For the purposes of this Section 6 only, it shall be assumed by the parties that the compensation paid to the Independent Contractor for its Services from the Effective Date through the Expiration Date is earned at the per diem rate of $1,575 (the "Per Diem Rate"). If the Independent Contractor were to fail or refuse to completely perform its Services hereunder as a result of or based upon circumstances that are within the Independent Contractor's control, the Corporation shall be entitled, upon written demand (the "Penalty Notice"), to receive from the Independent Contractor 150% of the Per Diem Rate to have been earned by the Independent Contractor from the date of the Penalty Notice to the Expiration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SECTION SEVEN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Place of Work</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It is understood that the Services shall be rendered primarily from the Independent Contractor's offices in Wilkes-Barre, Pennsylvania and Palm Beach, Florida, but that any approved agent or employee of the Independent Contractor shall, upon request of the Corporation, travel to the Corporation's executive offices located at 555 Turnpike Street, Canton, Massachusetts, or such other places as may be designated by the Corporation.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EIGHT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Devoted To Work</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Amended and Restated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NINE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Status of Independent Contractor</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Except as provided herein, it is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TEN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Materials and Equipment</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Except as provided herein, the Independent Contractor shall furnish, at its own expense, all materials and equipment necessary to carry out the terms of this Amended and Restated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SECTION ELEVEN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Work Standards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Independent Contractor shall adhere to professional standards and shall perform all Services required under this Amended and Restated Agreement in a manner consistent with generally accepted procedural standards.</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SECTION TWELVE</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Copyrights and Patents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Corporation shall own all copyrights and/or patents developed by the Independent Contractor while performing the Services provided under this Amended and Restated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 related to the rendering of Services under this Amended and Restated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SECTION THIRTEEN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Privileged and Confidential Information</w:t>
      </w:r>
    </w:p>
    <w:p>
      <w:pPr>
        <w:spacing w:after="0" w:line="252"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13.1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Amended and Restated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Amended and Restated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Amended and Restated Agreement.</w:t>
      </w:r>
    </w:p>
    <w:p>
      <w:pPr>
        <w:spacing w:after="0" w:line="16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13.2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FOURTEEN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14.1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Amended and Restated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7"/>
          <w:szCs w:val="17"/>
          <w:color w:val="auto"/>
        </w:rPr>
        <w:t>14.2 Notwithstanding anything contained in the preceding paragraph, the Corporation shall defend, indemnify and hold harmless the Independent Contractor (including, without limitation, any officers, directors, employees, agents and other representatives of the Independent Contractor and the Independent Contractor's successors, assigns, subsidiaries, affiliates and contractors and their respective officers, directors, employees, agents and other representatives) to the fullest extent allowed by the law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Amended and Restated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 In the event that the Independent Contractor is made, or threatened to be made, a party to any legal action or proceeding by reason of the fact that the Independent Contractor is or was an independent contractor of the Corporation or serves or served any entities in any capacity at the Corporation’s request, the Independent Contractor shall be indemnified by the Corporation and to the extent permitted by law, such indemnification shall include payment by the Corporation, in advance of the final disposition of a civil or criminal action, suit or proceedings, of expenses incurred by the Independent Contractor (including, but not limited to attorney’s fees) in defending such action, suit or proceeding upon receipt of any undertaking by or on behalf of the Independent Contractor to repay such payment if it shall be ultimately concluded that the Independent Contractor is not entitled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FIFTEEN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 with Laws</w:t>
      </w:r>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parties agree that all obligations to be performed by the parties under this Amended and Restated Agreement shall be performed in compliance with all then applicable federal, state and local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SIXTEEN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16.1 In addition to approvals required by other Sections of this Amended and Restated Agreement, the Independent Contractor shall seek to obtain the Corporation's written approval in advance of all expenditures in excess of four thousand dollars ($4,000.00)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16.2 All approvals by the Corporation must be in writing and shall be sought from the President and Chief Executive Officer of the Corporation, or such other person that the Board may designate in writing from time to time. As of the date of this Amended and Restated Agreement the President and Chief Executive Officer of the Corporation is David Levin. If the Corporation fails to approve in writing any matter submitted for approval within fifteen (15) days from the date of its submission, then the matter submitted for approval shall be deemed to be disapproved.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SEVENTEEN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notices and other communications required or permitted to be given under this Amended and Restated Agreement by one party to another shall be in writing and the same shall be deemed effective when delivered (i) in person, (ii) by United States certified or registered first class or priority mail, return receipt requested, (iii) by nationally-recognized overnight delivery or courier service, or (iv) by facsimile transmission 781-828-3221 for the Corporation, and 570-820-7014 for the Independent Contractor), and addressed to the party's principal offices set forth on page one of this Amended and Restated Agreement, or at such other address or facsimile telephone number as may be designated in writing by such party to the other in accordance with the requirements of this Section 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EIGHTEEN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Governing Law</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place of this Amended and Restated Agreement, its status, or forum is at all times in the County of Norfolk, Commonwealth of Massachusetts, in which County and Commonwealth all matters, whether sounding in contract or in tort relating to the validity, construction, interpretation, and enforcement of this Amended and Restated Agreement, shall be determined. This Amended and Restated Agreement shall be construed and enforced according to the laws of Massachusetts without regard to its principles of conflicts of laws. Any action on the Amended and Restated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Amended and Restated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SECTION NINETEEN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Amended and Restated Agreement may not be modified, amended, or waived, except by a writing executed by both parties hereto. This Amended and Restated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Amended and Restated Agreement and shall have no effect on the interpretation of this Amended and Restated Agreement or the provisions hereof. Neither this Amended and Restated Agreement nor any interest therein, or claim thereunder, shall be assigned or transferred by the Independent Contractor to any party or parties. If any provision of this Amended and Restated Agreement shall to any extent be invalid or unenforceable, such invalid or unenforceable provision shall be reformed to the extent required to make it valid and enforceable to the maximum extent possible under law, and the remainder of this Amended and Restated Agreement shall not be affected thereby, with each provision hereof being valid and enforceable to the fullest extent permitted by law. This Amended and Restated Agreement shall be binding upon, and inure to the benefit of, the parties and their respective successors and permitted assigns. This Amended and Restated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WITNESS WHEREOF, the parties have signed, sealed and delivered this Amended and Restated Consulting Agreement in duplicate, each of which is deemed an original, as of the Effective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JEWELCOR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0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Seymour Holtzman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April ____,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02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David A. Levin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April ___,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102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April ___,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Employment Agreement ("Agreement") is made as of April 28, 2011 between CASUAL MALE RETAIL GROUP, INC., a Delaware corporation with an office at 555 Turnpike Street, Canton, Massachusetts, 02021 (the "Company"), and SEYMOUR HOLTZMAN (the “Executive”) having an address at 306 Chilean, Palm Beach, FL 33480-4632.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WHEREAS, the Executive was made an employee of the Company by resolution of the Board of Directors on May 25, 2001. The Executive has been a director since April 7, 2000 and the Chairman of the Board since April 11, 2000 and has served in that role continuously since that date;</w:t>
      </w:r>
    </w:p>
    <w:p>
      <w:pPr>
        <w:spacing w:after="0" w:line="147" w:lineRule="exact"/>
        <w:rPr>
          <w:sz w:val="20"/>
          <w:szCs w:val="20"/>
          <w:color w:val="auto"/>
        </w:rPr>
      </w:pPr>
    </w:p>
    <w:p>
      <w:pPr>
        <w:ind w:right="120" w:firstLine="90"/>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97" w:lineRule="exact"/>
        <w:rPr>
          <w:sz w:val="20"/>
          <w:szCs w:val="20"/>
          <w:color w:val="auto"/>
        </w:rPr>
      </w:pPr>
    </w:p>
    <w:p>
      <w:pPr>
        <w:ind w:left="1240" w:hanging="584"/>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hereby employs Executive and Executive hereby accepts such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employment, subject to the terms and conditions herein set forth. Executive reports to the Board of Directors of the Company (the “Board of Directors”).</w:t>
      </w:r>
    </w:p>
    <w:p>
      <w:pPr>
        <w:spacing w:after="0" w:line="249" w:lineRule="exact"/>
        <w:rPr>
          <w:sz w:val="20"/>
          <w:szCs w:val="20"/>
          <w:color w:val="auto"/>
        </w:rPr>
      </w:pPr>
    </w:p>
    <w:p>
      <w:pPr>
        <w:ind w:left="1240" w:hanging="584"/>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5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 term of employment under this Agreement (the “Term of Employment”) shall be effective as of the date above written (the "Effective Date") and shall continue until April 29, 2013, subject to prior termination in accordance with the terms hereof. Commencing April 29, 2012, this Agreement shall automatically be extended for an additional one (1) year term on each anniversary date of the Effective Date unless either party shall give the other at least ninety (90) days written notice prior to such anniversary date that it will not extend the Term of Employment.</w:t>
      </w:r>
    </w:p>
    <w:p>
      <w:pPr>
        <w:spacing w:after="0" w:line="198" w:lineRule="exact"/>
        <w:rPr>
          <w:sz w:val="20"/>
          <w:szCs w:val="20"/>
          <w:color w:val="auto"/>
        </w:rPr>
      </w:pPr>
    </w:p>
    <w:p>
      <w:pPr>
        <w:ind w:left="1240" w:hanging="584"/>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25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an annual base salary of Twenty-Four Thousand and 00/100 Cents ($24,000.00), payable in equal bi-weekly installments in accordance with Company’s payroll practice.</w:t>
      </w:r>
    </w:p>
    <w:p>
      <w:pPr>
        <w:spacing w:after="0" w:line="208" w:lineRule="exact"/>
        <w:rPr>
          <w:sz w:val="20"/>
          <w:szCs w:val="20"/>
          <w:color w:val="auto"/>
        </w:rPr>
      </w:pPr>
    </w:p>
    <w:p>
      <w:pPr>
        <w:ind w:left="1240" w:hanging="584"/>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1240" w:hanging="584"/>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252" w:lineRule="exact"/>
        <w:rPr>
          <w:rFonts w:ascii="Arial" w:cs="Arial" w:eastAsia="Arial" w:hAnsi="Arial"/>
          <w:sz w:val="18"/>
          <w:szCs w:val="18"/>
          <w:color w:val="auto"/>
        </w:rPr>
      </w:pPr>
    </w:p>
    <w:p>
      <w:pPr>
        <w:ind w:firstLine="1142"/>
        <w:spacing w:after="0" w:line="279" w:lineRule="auto"/>
        <w:tabs>
          <w:tab w:leader="none" w:pos="1739"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the Term of Employment, Executive shall be entitled to participate in and receive any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71" w:lineRule="exact"/>
        <w:rPr>
          <w:rFonts w:ascii="Arial" w:cs="Arial" w:eastAsia="Arial" w:hAnsi="Arial"/>
          <w:sz w:val="17"/>
          <w:szCs w:val="17"/>
          <w:color w:val="auto"/>
        </w:rPr>
      </w:pPr>
    </w:p>
    <w:p>
      <w:pPr>
        <w:jc w:val="both"/>
        <w:ind w:right="180" w:firstLine="1142"/>
        <w:spacing w:after="0" w:line="264" w:lineRule="auto"/>
        <w:tabs>
          <w:tab w:leader="none" w:pos="183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will maintain directors and officers liability insurance coverage (which shall include employment practices liability coverage) in a commercially reasonable amount, consistent with prior practice, to indemnify Executive from any claims made against him in his capacity as Executive.</w:t>
      </w:r>
    </w:p>
    <w:p>
      <w:pPr>
        <w:spacing w:after="0" w:line="181" w:lineRule="exact"/>
        <w:rPr>
          <w:rFonts w:ascii="Arial" w:cs="Arial" w:eastAsia="Arial" w:hAnsi="Arial"/>
          <w:sz w:val="18"/>
          <w:szCs w:val="18"/>
          <w:color w:val="auto"/>
        </w:rPr>
      </w:pPr>
    </w:p>
    <w:p>
      <w:pPr>
        <w:ind w:right="20" w:firstLine="1142"/>
        <w:spacing w:after="0" w:line="290" w:lineRule="auto"/>
        <w:tabs>
          <w:tab w:leader="none" w:pos="182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It being the intent of the Company to provide maximum protection available under the law to its officers and directors, the Company shall indemnify the Executive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Executive, in his capacity as an officer or director of the Company or any subsidiary or affiliate of the Company, in defending any such action, suit or proceeding upon receipt of an undertaking by or on behalf of Executive to repay such payment if it shall ultimately be determined that he is not entitled to be indemnified by the Company. The Company may accept any such undertaking without reference to the financial ability of the Executive to make such repayment. As used in this paragraph, the term Executive includes his heirs, executors, and administrators.</w:t>
      </w:r>
    </w:p>
    <w:p>
      <w:pPr>
        <w:spacing w:after="0" w:line="166" w:lineRule="exact"/>
        <w:rPr>
          <w:rFonts w:ascii="Arial" w:cs="Arial" w:eastAsia="Arial" w:hAnsi="Arial"/>
          <w:sz w:val="16"/>
          <w:szCs w:val="16"/>
          <w:color w:val="auto"/>
        </w:rPr>
      </w:pPr>
    </w:p>
    <w:p>
      <w:pPr>
        <w:ind w:left="1240" w:hanging="584"/>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252" w:lineRule="exact"/>
        <w:rPr>
          <w:rFonts w:ascii="Arial" w:cs="Arial" w:eastAsia="Arial" w:hAnsi="Arial"/>
          <w:sz w:val="18"/>
          <w:szCs w:val="18"/>
          <w:color w:val="auto"/>
        </w:rPr>
      </w:pPr>
    </w:p>
    <w:p>
      <w:pPr>
        <w:ind w:right="220" w:firstLine="1142"/>
        <w:spacing w:after="0" w:line="277" w:lineRule="auto"/>
        <w:tabs>
          <w:tab w:leader="none" w:pos="182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as the Board of Directors shall from time to time determine and Executive shall comply in the performance of his duties with the policies of, and be subject to the direction of, the Board of Directors.</w:t>
      </w:r>
    </w:p>
    <w:p>
      <w:pPr>
        <w:spacing w:after="0" w:line="170" w:lineRule="exact"/>
        <w:rPr>
          <w:rFonts w:ascii="Arial" w:cs="Arial" w:eastAsia="Arial" w:hAnsi="Arial"/>
          <w:sz w:val="18"/>
          <w:szCs w:val="18"/>
          <w:color w:val="auto"/>
        </w:rPr>
      </w:pPr>
    </w:p>
    <w:p>
      <w:pPr>
        <w:ind w:left="1840" w:hanging="698"/>
        <w:spacing w:after="0"/>
        <w:tabs>
          <w:tab w:leader="none" w:pos="1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Term of Employment, Executive shall perform the duties assigned to him with fidelity and to the best of his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ability. Notwithstanding anything herein to the contrary, and subject to the foregoing, Executive may engage in other activities so long as such activities do not unreasonably interfere with Executive's performance of his duties hereunder.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80" w:firstLine="1305"/>
        <w:spacing w:after="0" w:line="286" w:lineRule="auto"/>
        <w:tabs>
          <w:tab w:leader="none" w:pos="1991"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Executive shall perform his duties primarily in Wilkes-Barre, PA and/or Palm Beach, Florida or at such location as may be designated from time to time by the Board of Directors. Notwithstanding the foregoing, Executive shall perform such services at such other locations as may be required for the proper performance of his duties hereunder, and Executive recognizes that such duties may involve travel.</w:t>
      </w:r>
    </w:p>
    <w:p>
      <w:pPr>
        <w:spacing w:after="0" w:line="165" w:lineRule="exact"/>
        <w:rPr>
          <w:rFonts w:ascii="Arial" w:cs="Arial" w:eastAsia="Arial" w:hAnsi="Arial"/>
          <w:sz w:val="17"/>
          <w:szCs w:val="17"/>
          <w:color w:val="auto"/>
        </w:rPr>
      </w:pPr>
    </w:p>
    <w:p>
      <w:pPr>
        <w:ind w:right="220" w:firstLine="1305"/>
        <w:spacing w:after="0" w:line="264" w:lineRule="auto"/>
        <w:tabs>
          <w:tab w:leader="none" w:pos="2001"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Nothing in this paragraph 6 or elsewhere in this Agreement shall be construed to prevent Executive from investing or trading in nonconflicting investments as he sees fit for his own account, including real estate, stocks, bonds, securities, commodities or other forms of investments, provided such activities do not unreasonably interfere with Executive’s performance of his duties hereunder.</w:t>
      </w:r>
    </w:p>
    <w:p>
      <w:pPr>
        <w:spacing w:after="0" w:line="208" w:lineRule="exact"/>
        <w:rPr>
          <w:rFonts w:ascii="Arial" w:cs="Arial" w:eastAsia="Arial" w:hAnsi="Arial"/>
          <w:sz w:val="18"/>
          <w:szCs w:val="18"/>
          <w:color w:val="auto"/>
        </w:rPr>
      </w:pPr>
    </w:p>
    <w:p>
      <w:pPr>
        <w:ind w:left="1280" w:hanging="624"/>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264"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97" w:lineRule="exact"/>
        <w:rPr>
          <w:sz w:val="20"/>
          <w:szCs w:val="20"/>
          <w:color w:val="auto"/>
        </w:rPr>
      </w:pPr>
    </w:p>
    <w:p>
      <w:pPr>
        <w:ind w:left="1280" w:hanging="624"/>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5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97" w:lineRule="exact"/>
        <w:rPr>
          <w:sz w:val="20"/>
          <w:szCs w:val="20"/>
          <w:color w:val="auto"/>
        </w:rPr>
      </w:pPr>
    </w:p>
    <w:p>
      <w:pPr>
        <w:ind w:left="1380" w:hanging="72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208" w:lineRule="exact"/>
        <w:rPr>
          <w:sz w:val="20"/>
          <w:szCs w:val="20"/>
          <w:color w:val="auto"/>
        </w:rPr>
      </w:pPr>
    </w:p>
    <w:p>
      <w:pPr>
        <w:ind w:left="1360" w:hanging="70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1380" w:hanging="724"/>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Board of Directors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this Agreement, which shall remain in full force and effect except as may be modified by a subsequent written agreement.</w:t>
      </w:r>
    </w:p>
    <w:p>
      <w:pPr>
        <w:spacing w:after="0" w:line="206" w:lineRule="exact"/>
        <w:rPr>
          <w:sz w:val="20"/>
          <w:szCs w:val="20"/>
          <w:color w:val="auto"/>
        </w:rPr>
      </w:pPr>
    </w:p>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97" w:lineRule="exact"/>
        <w:rPr>
          <w:sz w:val="20"/>
          <w:szCs w:val="20"/>
          <w:color w:val="auto"/>
        </w:rPr>
      </w:pPr>
    </w:p>
    <w:p>
      <w:pPr>
        <w:ind w:left="1380" w:hanging="724"/>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George Porter</w:t>
            </w: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rPr>
              <w:t>Date: April 25, 2011</w:t>
            </w:r>
          </w:p>
        </w:tc>
        <w:tc>
          <w:tcPr>
            <w:tcW w:w="1140" w:type="dxa"/>
            <w:vAlign w:val="bottom"/>
          </w:tcPr>
          <w:p>
            <w:pPr>
              <w:spacing w:after="0"/>
              <w:rPr>
                <w:sz w:val="20"/>
                <w:szCs w:val="20"/>
                <w:color w:val="auto"/>
              </w:rPr>
            </w:pP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George T. Porter, Jr.</w:t>
            </w:r>
          </w:p>
        </w:tc>
        <w:tc>
          <w:tcPr>
            <w:tcW w:w="840" w:type="dxa"/>
            <w:vAlign w:val="bottom"/>
          </w:tcPr>
          <w:p>
            <w:pPr>
              <w:spacing w:after="0"/>
              <w:rPr>
                <w:sz w:val="17"/>
                <w:szCs w:val="17"/>
                <w:color w:val="auto"/>
              </w:rPr>
            </w:pPr>
          </w:p>
        </w:tc>
        <w:tc>
          <w:tcPr>
            <w:tcW w:w="44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44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8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/s/ Seymour Holtzman</w:t>
            </w: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rPr>
              <w:t>Date: May 2, 2011</w:t>
            </w:r>
          </w:p>
        </w:tc>
        <w:tc>
          <w:tcPr>
            <w:tcW w:w="1140" w:type="dxa"/>
            <w:vAlign w:val="bottom"/>
          </w:tcPr>
          <w:p>
            <w:pPr>
              <w:spacing w:after="0"/>
              <w:rPr>
                <w:sz w:val="24"/>
                <w:szCs w:val="24"/>
                <w:color w:val="auto"/>
              </w:rPr>
            </w:pPr>
          </w:p>
        </w:tc>
      </w:tr>
      <w:tr>
        <w:trPr>
          <w:trHeight w:val="230"/>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Seymour Holtzman</w:t>
            </w:r>
          </w:p>
        </w:tc>
        <w:tc>
          <w:tcPr>
            <w:tcW w:w="840" w:type="dxa"/>
            <w:vAlign w:val="bottom"/>
          </w:tcPr>
          <w:p>
            <w:pPr>
              <w:spacing w:after="0"/>
              <w:rPr>
                <w:sz w:val="20"/>
                <w:szCs w:val="20"/>
                <w:color w:val="auto"/>
              </w:rPr>
            </w:pPr>
          </w:p>
        </w:tc>
        <w:tc>
          <w:tcPr>
            <w:tcW w:w="446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593"/>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54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decimal"/>
      <w:start w:val="5"/>
    </w:lvl>
  </w:abstractNum>
  <w:abstractNum w:abstractNumId="4">
    <w:nsid w:val="4353D0CD"/>
    <w:multiLevelType w:val="hybridMultilevel"/>
    <w:lvl w:ilvl="0">
      <w:lvlJc w:val="left"/>
      <w:lvlText w:val="%1)"/>
      <w:numFmt w:val="decimal"/>
      <w:start w:val="6"/>
    </w:lvl>
  </w:abstractNum>
  <w:abstractNum w:abstractNumId="5">
    <w:nsid w:val="B03E0C6"/>
    <w:multiLevelType w:val="hybridMultilevel"/>
    <w:lvl w:ilvl="0">
      <w:lvlJc w:val="left"/>
      <w:lvlText w:val="%1)"/>
      <w:numFmt w:val="decimal"/>
      <w:start w:val="11"/>
    </w:lvl>
  </w:abstractNum>
  <w:abstractNum w:abstractNumId="6">
    <w:nsid w:val="189A769B"/>
    <w:multiLevelType w:val="hybridMultilevel"/>
    <w:lvl w:ilvl="0">
      <w:lvlJc w:val="left"/>
      <w:lvlText w:val="%1)"/>
      <w:numFmt w:val="decimal"/>
      <w:start w:val="12"/>
    </w:lvl>
  </w:abstractNum>
  <w:abstractNum w:abstractNumId="7">
    <w:nsid w:val="54E49EB4"/>
    <w:multiLevelType w:val="hybridMultilevel"/>
    <w:lvl w:ilvl="0">
      <w:lvlJc w:val="left"/>
      <w:lvlText w:val="%1)"/>
      <w:numFmt w:val="decimal"/>
      <w:start w:val="13"/>
    </w:lvl>
  </w:abstractNum>
  <w:abstractNum w:abstractNumId="8">
    <w:nsid w:val="71F32454"/>
    <w:multiLevelType w:val="hybridMultilevel"/>
    <w:lvl w:ilvl="0">
      <w:lvlJc w:val="left"/>
      <w:lvlText w:val="%1)"/>
      <w:numFmt w:val="decimal"/>
      <w:start w:val="14"/>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2"/>
    </w:lvl>
  </w:abstractNum>
  <w:abstractNum w:abstractNumId="12">
    <w:nsid w:val="3A95F874"/>
    <w:multiLevelType w:val="hybridMultilevel"/>
    <w:lvl w:ilvl="0">
      <w:lvlJc w:val="left"/>
      <w:lvlText w:val="%1)"/>
      <w:numFmt w:val="decimal"/>
      <w:start w:val="3"/>
    </w:lvl>
  </w:abstractNum>
  <w:abstractNum w:abstractNumId="13">
    <w:nsid w:val="8138641"/>
    <w:multiLevelType w:val="hybridMultilevel"/>
    <w:lvl w:ilvl="0">
      <w:lvlJc w:val="left"/>
      <w:lvlText w:val="%1)"/>
      <w:numFmt w:val="decimal"/>
      <w:start w:val="5"/>
    </w:lvl>
  </w:abstractNum>
  <w:abstractNum w:abstractNumId="14">
    <w:nsid w:val="1E7FF521"/>
    <w:multiLevelType w:val="hybridMultilevel"/>
    <w:lvl w:ilvl="0">
      <w:lvlJc w:val="left"/>
      <w:lvlText w:val="%1)"/>
      <w:numFmt w:val="decimal"/>
      <w:start w:val="6"/>
    </w:lvl>
  </w:abstractNum>
  <w:abstractNum w:abstractNumId="15">
    <w:nsid w:val="7C3DBD3D"/>
    <w:multiLevelType w:val="hybridMultilevel"/>
    <w:lvl w:ilvl="0">
      <w:lvlJc w:val="left"/>
      <w:lvlText w:val="%1)"/>
      <w:numFmt w:val="decimal"/>
      <w:start w:val="11"/>
    </w:lvl>
  </w:abstractNum>
  <w:abstractNum w:abstractNumId="16">
    <w:nsid w:val="737B8DDC"/>
    <w:multiLevelType w:val="hybridMultilevel"/>
    <w:lvl w:ilvl="0">
      <w:lvlJc w:val="left"/>
      <w:lvlText w:val="%1)"/>
      <w:numFmt w:val="decimal"/>
      <w:start w:val="12"/>
    </w:lvl>
  </w:abstractNum>
  <w:abstractNum w:abstractNumId="17">
    <w:nsid w:val="6CEAF087"/>
    <w:multiLevelType w:val="hybridMultilevel"/>
    <w:lvl w:ilvl="0">
      <w:lvlJc w:val="left"/>
      <w:lvlText w:val="%1)"/>
      <w:numFmt w:val="decimal"/>
      <w:start w:val="13"/>
    </w:lvl>
  </w:abstractNum>
  <w:abstractNum w:abstractNumId="18">
    <w:nsid w:val="22221A70"/>
    <w:multiLevelType w:val="hybridMultilevel"/>
    <w:lvl w:ilvl="0">
      <w:lvlJc w:val="left"/>
      <w:lvlText w:val="%1)"/>
      <w:numFmt w:val="decimal"/>
      <w:start w:val="14"/>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abstractNum>
  <w:abstractNum w:abstractNumId="21">
    <w:nsid w:val="614FD4A1"/>
    <w:multiLevelType w:val="hybridMultilevel"/>
    <w:lvl w:ilvl="0">
      <w:lvlJc w:val="left"/>
      <w:lvlText w:val="%1)"/>
      <w:numFmt w:val="decimal"/>
      <w:start w:val="3"/>
    </w:lvl>
  </w:abstractNum>
  <w:abstractNum w:abstractNumId="22">
    <w:nsid w:val="419AC241"/>
    <w:multiLevelType w:val="hybridMultilevel"/>
    <w:lvl w:ilvl="0">
      <w:lvlJc w:val="left"/>
      <w:lvlText w:val="%1)"/>
      <w:numFmt w:val="decimal"/>
      <w:start w:val="5"/>
    </w:lvl>
  </w:abstractNum>
  <w:abstractNum w:abstractNumId="23">
    <w:nsid w:val="5577F8E1"/>
    <w:multiLevelType w:val="hybridMultilevel"/>
    <w:lvl w:ilvl="0">
      <w:lvlJc w:val="left"/>
      <w:lvlText w:val="%1)"/>
      <w:numFmt w:val="decimal"/>
      <w:start w:val="6"/>
    </w:lvl>
  </w:abstractNum>
  <w:abstractNum w:abstractNumId="24">
    <w:nsid w:val="440BADFC"/>
    <w:multiLevelType w:val="hybridMultilevel"/>
    <w:lvl w:ilvl="0">
      <w:lvlJc w:val="left"/>
      <w:lvlText w:val="%1)"/>
      <w:numFmt w:val="decimal"/>
      <w:start w:val="11"/>
    </w:lvl>
  </w:abstractNum>
  <w:abstractNum w:abstractNumId="25">
    <w:nsid w:val="5072367"/>
    <w:multiLevelType w:val="hybridMultilevel"/>
    <w:lvl w:ilvl="0">
      <w:lvlJc w:val="left"/>
      <w:lvlText w:val="%1)"/>
      <w:numFmt w:val="decimal"/>
      <w:start w:val="12"/>
    </w:lvl>
  </w:abstractNum>
  <w:abstractNum w:abstractNumId="26">
    <w:nsid w:val="3804823E"/>
    <w:multiLevelType w:val="hybridMultilevel"/>
    <w:lvl w:ilvl="0">
      <w:lvlJc w:val="left"/>
      <w:lvlText w:val="%1)"/>
      <w:numFmt w:val="decimal"/>
      <w:start w:val="13"/>
    </w:lvl>
  </w:abstractNum>
  <w:abstractNum w:abstractNumId="27">
    <w:nsid w:val="77465F01"/>
    <w:multiLevelType w:val="hybridMultilevel"/>
    <w:lvl w:ilvl="0">
      <w:lvlJc w:val="left"/>
      <w:lvlText w:val="%1)"/>
      <w:numFmt w:val="decimal"/>
      <w:start w:val="14"/>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3"/>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decimal"/>
      <w:start w:val="4"/>
    </w:lvl>
  </w:abstractNum>
  <w:abstractNum w:abstractNumId="36">
    <w:nsid w:val="3855585C"/>
    <w:multiLevelType w:val="hybridMultilevel"/>
    <w:lvl w:ilvl="0">
      <w:lvlJc w:val="left"/>
      <w:lvlText w:val="%1."/>
      <w:numFmt w:val="decimal"/>
      <w:start w:val="5"/>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3"/>
    </w:lvl>
  </w:abstractNum>
  <w:abstractNum w:abstractNumId="38">
    <w:nsid w:val="6A2342EC"/>
    <w:multiLevelType w:val="hybridMultilevel"/>
    <w:lvl w:ilvl="0">
      <w:lvlJc w:val="left"/>
      <w:lvlText w:val="%1."/>
      <w:numFmt w:val="decimal"/>
      <w:start w:val="7"/>
    </w:lvl>
    <w:lvl w:ilvl="1">
      <w:lvlJc w:val="left"/>
      <w:lvlText w:val="%2"/>
      <w:numFmt w:val="lowerLetter"/>
      <w:start w:val="1"/>
    </w:lvl>
  </w:abstractNum>
  <w:abstractNum w:abstractNumId="39">
    <w:nsid w:val="2A487CB0"/>
    <w:multiLevelType w:val="hybridMultilevel"/>
    <w:lvl w:ilvl="0">
      <w:lvlJc w:val="left"/>
      <w:lvlText w:val="%1."/>
      <w:numFmt w:val="decimal"/>
      <w:start w:val="8"/>
    </w:lvl>
  </w:abstractNum>
  <w:abstractNum w:abstractNumId="40">
    <w:nsid w:val="1D4ED43B"/>
    <w:multiLevelType w:val="hybridMultilevel"/>
    <w:lvl w:ilvl="0">
      <w:lvlJc w:val="left"/>
      <w:lvlText w:val="%1."/>
      <w:numFmt w:val="decimal"/>
      <w:start w:val="9"/>
    </w:lvl>
  </w:abstractNum>
  <w:abstractNum w:abstractNumId="41">
    <w:nsid w:val="725A06FB"/>
    <w:multiLevelType w:val="hybridMultilevel"/>
    <w:lvl w:ilvl="0">
      <w:lvlJc w:val="left"/>
      <w:lvlText w:val="%1."/>
      <w:numFmt w:val="decimal"/>
      <w:start w:val="10"/>
    </w:lvl>
  </w:abstractNum>
  <w:abstractNum w:abstractNumId="42">
    <w:nsid w:val="2CD89A32"/>
    <w:multiLevelType w:val="hybridMultilevel"/>
    <w:lvl w:ilvl="0">
      <w:lvlJc w:val="left"/>
      <w:lvlText w:val="%1."/>
      <w:numFmt w:val="decimal"/>
      <w:start w:val="11"/>
    </w:lvl>
  </w:abstractNum>
  <w:abstractNum w:abstractNumId="43">
    <w:nsid w:val="57E4CCAF"/>
    <w:multiLevelType w:val="hybridMultilevel"/>
    <w:lvl w:ilvl="0">
      <w:lvlJc w:val="left"/>
      <w:lvlText w:val="%1."/>
      <w:numFmt w:val="decimal"/>
      <w:start w:val="12"/>
    </w:lvl>
  </w:abstractNum>
  <w:abstractNum w:abstractNumId="44">
    <w:nsid w:val="7A6D8D3C"/>
    <w:multiLevelType w:val="hybridMultilevel"/>
    <w:lvl w:ilvl="0">
      <w:lvlJc w:val="left"/>
      <w:lvlText w:val="%1."/>
      <w:numFmt w:val="decimal"/>
      <w:start w:val="13"/>
    </w:lvl>
  </w:abstractNum>
  <w:abstractNum w:abstractNumId="45">
    <w:nsid w:val="4B588F54"/>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2019-12-10T07:46:22Z</dcterms:created>
  <dcterms:modified xsi:type="dcterms:W3CDTF">2019-12-10T07:46:22Z</dcterms:modified>
</cp:coreProperties>
</file>