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OMB APPROVAL</w:t>
      </w:r>
    </w:p>
    <w:p>
      <w:pPr>
        <w:ind w:left="5600"/>
        <w:spacing w:after="0"/>
        <w:rPr>
          <w:sz w:val="20"/>
          <w:szCs w:val="20"/>
          <w:color w:val="auto"/>
        </w:rPr>
      </w:pPr>
      <w:r>
        <w:rPr>
          <w:rFonts w:ascii="Courier New" w:cs="Courier New" w:eastAsia="Courier New" w:hAnsi="Courier New"/>
          <w:sz w:val="18"/>
          <w:szCs w:val="18"/>
          <w:color w:val="auto"/>
        </w:rPr>
        <w:t>------------</w:t>
      </w:r>
    </w:p>
    <w:tbl>
      <w:tblPr>
        <w:tblLayout w:type="fixed"/>
        <w:tblInd w:w="4540" w:type="dxa"/>
        <w:tblCellMar>
          <w:top w:w="0" w:type="dxa"/>
          <w:left w:w="0" w:type="dxa"/>
          <w:bottom w:w="0" w:type="dxa"/>
          <w:right w:w="0" w:type="dxa"/>
        </w:tblCellMar>
      </w:tblPr>
      <w:tr>
        <w:trPr>
          <w:trHeight w:val="202"/>
        </w:trPr>
        <w:tc>
          <w:tcPr>
            <w:tcW w:w="132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226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 2005</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Estimated average burden hours per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response</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14.90</w:t>
            </w:r>
          </w:p>
        </w:tc>
      </w:tr>
    </w:tbl>
    <w:p>
      <w:pPr>
        <w:ind w:left="4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2003</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Page 2 of 10 Pages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Husic Capital Management</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sectPr>
      </w:pPr>
    </w:p>
    <w:bookmarkStart w:id="1" w:name="page2"/>
    <w:bookmarkEnd w:id="1"/>
    <w:p>
      <w:pPr>
        <w:ind w:left="1160" w:hanging="941"/>
        <w:spacing w:after="0"/>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2,230,284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136"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136"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2,230,284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136" w:right="1440" w:bottom="1440" w:gutter="0" w:footer="0" w:header="0"/>
          <w:type w:val="continuous"/>
        </w:sectPr>
      </w:pPr>
    </w:p>
    <w:p>
      <w:pPr>
        <w:ind w:left="2640" w:right="5059" w:hanging="420"/>
        <w:spacing w:after="0" w:line="357" w:lineRule="auto"/>
        <w:tabs>
          <w:tab w:leader="none" w:pos="264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2,230,284</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6.4%</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 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Page 3 of 10 Pages</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 &amp;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2,230,284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2,230,284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2,230,284</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6.4%</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6540"/>
        <w:spacing w:after="0"/>
        <w:rPr>
          <w:sz w:val="20"/>
          <w:szCs w:val="20"/>
          <w:color w:val="auto"/>
        </w:rPr>
      </w:pPr>
      <w:r>
        <w:rPr>
          <w:rFonts w:ascii="Courier New" w:cs="Courier New" w:eastAsia="Courier New" w:hAnsi="Courier New"/>
          <w:sz w:val="18"/>
          <w:szCs w:val="18"/>
          <w:color w:val="auto"/>
        </w:rPr>
        <w:t>Page 4 of 10 Pages</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2,231,316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2,231,316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2,231,316</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6.4%</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4" w:name="page5"/>
    <w:bookmarkEnd w:id="4"/>
    <w:p>
      <w:pPr>
        <w:ind w:left="6320"/>
        <w:spacing w:after="0"/>
        <w:rPr>
          <w:sz w:val="20"/>
          <w:szCs w:val="20"/>
          <w:color w:val="auto"/>
        </w:rPr>
      </w:pPr>
      <w:r>
        <w:rPr>
          <w:rFonts w:ascii="Courier New" w:cs="Courier New" w:eastAsia="Courier New" w:hAnsi="Courier New"/>
          <w:sz w:val="18"/>
          <w:szCs w:val="18"/>
          <w:color w:val="auto"/>
        </w:rPr>
        <w:t>Page 5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900" w:hanging="944"/>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 (formerly Designs, Inc.)</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206" w:lineRule="exact"/>
        <w:rPr>
          <w:rFonts w:ascii="Courier New" w:cs="Courier New" w:eastAsia="Courier New" w:hAnsi="Courier New"/>
          <w:sz w:val="18"/>
          <w:szCs w:val="18"/>
          <w:color w:val="auto"/>
        </w:rPr>
      </w:pPr>
    </w:p>
    <w:p>
      <w:pPr>
        <w:ind w:left="1900" w:right="6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Turnpike Street Canton, MA 02021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944"/>
        <w:spacing w:after="0"/>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by (i) Husic Capital Management, a California limited partnership and registered investment adviser ("IA"), (ii) Frank J. Husic and Co., a California corporation ("Corporate G.P.") and (iii) Frank J. Husic ("Shareholder") (collectively, the "Reporting Persons"). Corporate G.P. controls IA by virtue of its position as the sole general partner of IA. Shareholder controls IA by virtue of Shareholder's position as the sole shareholder of Corporate G.P.</w:t>
      </w:r>
    </w:p>
    <w:p>
      <w:pPr>
        <w:spacing w:after="0" w:line="213" w:lineRule="exact"/>
        <w:rPr>
          <w:rFonts w:ascii="Courier New" w:cs="Courier New" w:eastAsia="Courier New" w:hAnsi="Courier New"/>
          <w:sz w:val="18"/>
          <w:szCs w:val="18"/>
          <w:color w:val="auto"/>
        </w:rPr>
      </w:pPr>
    </w:p>
    <w:p>
      <w:pPr>
        <w:ind w:left="190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IA's beneficial ownership of the Common Stock is direct as a result of IA's discretionary authority to buy, sell, and vote shares of such Common Stock for its investment advisory clients. Corporate G.P.'s beneficial ownership of Common Stock is indirect as a result of its control of IA. Shareholder's beneficial ownership of Common Stock is indirect as a result of Shareholder's stock ownership in Corporate G.P. and also direct as Shareholder directly owns additional Common Stock. The beneficial ownership of the Corporate G.P. and Shareholder is reported because Rules 13d-1(a) and (b) under the Securities Exchange Act of 1934, as amended, require any person who is "directly or indirectly" the beneficial owner of more than five percent of any equity security of a specified class to file a Schedule 13G within the specified time period. The answers in blocks 5, 7, 9 and 11 above by Corporate G.P. are given on the basis of the "indirect" beneficial ownership referred to in such Rule, based on the direct beneficial ownership of Common Stock by IA and the relationship of Corporate G.P. and Shareholder to IA referred to above. The answers in blocks 5, 7, 9 and 11 above by Shareholder are given on the basis of the "indirect" beneficial ownership referred to in such Rule and direct ownership.</w:t>
      </w:r>
    </w:p>
    <w:p>
      <w:pPr>
        <w:spacing w:after="0" w:line="200" w:lineRule="exact"/>
        <w:rPr>
          <w:rFonts w:ascii="Courier New" w:cs="Courier New" w:eastAsia="Courier New" w:hAnsi="Courier New"/>
          <w:sz w:val="18"/>
          <w:szCs w:val="18"/>
          <w:color w:val="auto"/>
        </w:rPr>
      </w:pPr>
    </w:p>
    <w:p>
      <w:pPr>
        <w:spacing w:after="0" w:line="396" w:lineRule="exact"/>
        <w:rPr>
          <w:rFonts w:ascii="Courier New" w:cs="Courier New" w:eastAsia="Courier New" w:hAnsi="Courier New"/>
          <w:sz w:val="18"/>
          <w:szCs w:val="18"/>
          <w:color w:val="auto"/>
        </w:rPr>
      </w:pPr>
    </w:p>
    <w:p>
      <w:pPr>
        <w:ind w:left="190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each Reporting Person is given solely by the respective Reporting Person, and no Reporting Person undertakes hereby any responsibility for the accuracy or completeness of such information concerning any other Reporting Person.</w:t>
      </w:r>
    </w:p>
    <w:p>
      <w:pPr>
        <w:spacing w:after="0" w:line="208" w:lineRule="exact"/>
        <w:rPr>
          <w:rFonts w:ascii="Courier New" w:cs="Courier New" w:eastAsia="Courier New" w:hAnsi="Courier New"/>
          <w:sz w:val="18"/>
          <w:szCs w:val="18"/>
          <w:color w:val="auto"/>
        </w:rPr>
      </w:pPr>
    </w:p>
    <w:p>
      <w:pPr>
        <w:ind w:left="1900" w:right="2099" w:hanging="944"/>
        <w:spacing w:after="0" w:line="470"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IA's Principal Business Office is located at:</w:t>
      </w:r>
    </w:p>
    <w:p>
      <w:pPr>
        <w:spacing w:after="0" w:line="11"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pacing w:after="0" w:line="16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G.P.'s Principal Business Office is located at:</w:t>
      </w:r>
    </w:p>
    <w:p>
      <w:pPr>
        <w:spacing w:after="0" w:line="206"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ectPr>
          <w:pgSz w:w="11900" w:h="16838" w:orient="portrait"/>
          <w:cols w:equalWidth="0" w:num="1">
            <w:col w:w="10219"/>
          </w:cols>
          <w:pgMar w:left="240" w:top="919" w:right="1440" w:bottom="1440" w:gutter="0" w:footer="0" w:header="0"/>
        </w:sectPr>
      </w:pPr>
    </w:p>
    <w:bookmarkStart w:id="5" w:name="page6"/>
    <w:bookmarkEnd w:id="5"/>
    <w:p>
      <w:pPr>
        <w:ind w:left="632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Shareholder's Principal Business Office is located at: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555 California Street, Suite 2900</w:t>
      </w:r>
    </w:p>
    <w:p>
      <w:pPr>
        <w:ind w:left="1900"/>
        <w:spacing w:after="0" w:line="238" w:lineRule="auto"/>
        <w:rPr>
          <w:sz w:val="20"/>
          <w:szCs w:val="20"/>
          <w:color w:val="auto"/>
        </w:rPr>
      </w:pPr>
      <w:r>
        <w:rPr>
          <w:rFonts w:ascii="Courier New" w:cs="Courier New" w:eastAsia="Courier New" w:hAnsi="Courier New"/>
          <w:sz w:val="18"/>
          <w:szCs w:val="18"/>
          <w:color w:val="auto"/>
        </w:rPr>
        <w:t>San Francisco, California 94104</w:t>
      </w:r>
    </w:p>
    <w:p>
      <w:pPr>
        <w:spacing w:after="0" w:line="202" w:lineRule="exact"/>
        <w:rPr>
          <w:sz w:val="20"/>
          <w:szCs w:val="20"/>
          <w:color w:val="auto"/>
        </w:rPr>
      </w:pPr>
    </w:p>
    <w:p>
      <w:pPr>
        <w:ind w:left="1900" w:hanging="944"/>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8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 is a California limited partnership Corporate G.P. is a California corporation Shareholder is a United States citizen</w:t>
      </w:r>
    </w:p>
    <w:p>
      <w:pPr>
        <w:spacing w:after="0" w:line="178" w:lineRule="exact"/>
        <w:rPr>
          <w:rFonts w:ascii="Courier New" w:cs="Courier New" w:eastAsia="Courier New" w:hAnsi="Courier New"/>
          <w:sz w:val="18"/>
          <w:szCs w:val="18"/>
          <w:color w:val="auto"/>
        </w:rPr>
      </w:pPr>
    </w:p>
    <w:p>
      <w:pPr>
        <w:ind w:left="1900" w:right="5359" w:hanging="944"/>
        <w:spacing w:after="0" w:line="470" w:lineRule="auto"/>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240.13d(b) or</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2000" w:right="1999" w:hanging="1044"/>
        <w:spacing w:after="0" w:line="235" w:lineRule="auto"/>
        <w:tabs>
          <w:tab w:leader="none" w:pos="147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2000" w:right="1999" w:hanging="1044"/>
        <w:spacing w:after="0" w:line="235" w:lineRule="auto"/>
        <w:tabs>
          <w:tab w:leader="none" w:pos="147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000" w:right="2739" w:hanging="1044"/>
        <w:spacing w:after="0" w:line="290" w:lineRule="auto"/>
        <w:tabs>
          <w:tab w:leader="none" w:pos="147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00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000" w:right="2319" w:hanging="1044"/>
        <w:spacing w:after="0" w:line="235" w:lineRule="auto"/>
        <w:tabs>
          <w:tab w:leader="none" w:pos="147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000" w:right="2319" w:hanging="1044"/>
        <w:spacing w:after="0" w:line="235" w:lineRule="auto"/>
        <w:tabs>
          <w:tab w:leader="none" w:pos="147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240.13d-1(b)(1)(iii)(G);</w:t>
      </w:r>
    </w:p>
    <w:p>
      <w:pPr>
        <w:spacing w:after="0" w:line="208" w:lineRule="exact"/>
        <w:rPr>
          <w:rFonts w:ascii="Courier New" w:cs="Courier New" w:eastAsia="Courier New" w:hAnsi="Courier New"/>
          <w:sz w:val="18"/>
          <w:szCs w:val="18"/>
          <w:color w:val="auto"/>
        </w:rPr>
      </w:pPr>
    </w:p>
    <w:p>
      <w:pPr>
        <w:ind w:left="2000" w:right="2319" w:hanging="1044"/>
        <w:spacing w:after="0" w:line="235" w:lineRule="auto"/>
        <w:tabs>
          <w:tab w:leader="none" w:pos="147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000" w:right="2319" w:hanging="1044"/>
        <w:spacing w:after="0" w:line="236" w:lineRule="auto"/>
        <w:tabs>
          <w:tab w:leader="none" w:pos="147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3(c)(114) of the Investment Company Act of 1940 (15 U.S.C. 80a-3);</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919" w:right="1440" w:bottom="1440" w:gutter="0" w:footer="0" w:header="0"/>
        </w:sectPr>
      </w:pPr>
    </w:p>
    <w:bookmarkStart w:id="6" w:name="page7"/>
    <w:bookmarkEnd w:id="6"/>
    <w:p>
      <w:pPr>
        <w:ind w:left="632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700" w:hanging="744"/>
        <w:spacing w:after="0"/>
        <w:tabs>
          <w:tab w:leader="none" w:pos="17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joint filers have:</w:t>
      </w:r>
    </w:p>
    <w:p>
      <w:pPr>
        <w:ind w:left="2320" w:hanging="627"/>
        <w:spacing w:after="0" w:line="238" w:lineRule="auto"/>
        <w:tabs>
          <w:tab w:leader="none" w:pos="23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320" w:hanging="627"/>
        <w:spacing w:after="0"/>
        <w:tabs>
          <w:tab w:leader="none" w:pos="23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of to direct the vote:</w:t>
      </w:r>
    </w:p>
    <w:p>
      <w:pPr>
        <w:spacing w:after="0" w:line="201" w:lineRule="exact"/>
        <w:rPr>
          <w:rFonts w:ascii="Courier New" w:cs="Courier New" w:eastAsia="Courier New" w:hAnsi="Courier New"/>
          <w:sz w:val="18"/>
          <w:szCs w:val="18"/>
          <w:color w:val="auto"/>
        </w:rPr>
      </w:pPr>
    </w:p>
    <w:p>
      <w:pPr>
        <w:ind w:left="2320" w:hanging="627"/>
        <w:spacing w:after="0"/>
        <w:tabs>
          <w:tab w:leader="none" w:pos="23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2320" w:hanging="627"/>
        <w:spacing w:after="0"/>
        <w:tabs>
          <w:tab w:leader="none" w:pos="232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of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960" w:right="100"/>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20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8" w:lineRule="exact"/>
        <w:rPr>
          <w:sz w:val="20"/>
          <w:szCs w:val="20"/>
          <w:color w:val="auto"/>
        </w:rPr>
      </w:pPr>
    </w:p>
    <w:p>
      <w:pPr>
        <w:ind w:left="960" w:right="100"/>
        <w:spacing w:after="0" w:line="237" w:lineRule="auto"/>
        <w:rPr>
          <w:sz w:val="20"/>
          <w:szCs w:val="20"/>
          <w:color w:val="auto"/>
        </w:rPr>
      </w:pPr>
      <w:r>
        <w:rPr>
          <w:rFonts w:ascii="Courier New" w:cs="Courier New" w:eastAsia="Courier New" w:hAnsi="Courier New"/>
          <w:sz w:val="18"/>
          <w:szCs w:val="18"/>
          <w:color w:val="auto"/>
        </w:rPr>
        <w:t>Corporate G.P. and Shareholder are the equivalent of parent holding companies for purposes of the Schedule 13G. IA is the equivalent of Corporate G.P.'s direct subsidiary and Shareholder's indirect subsidiary, and IA acquired the security being reported on by Corporate G.P. and Shareholder. IA is a registered investment adviser. See Exhibit B.</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900" w:right="100" w:hanging="944"/>
        <w:spacing w:after="0" w:line="235" w:lineRule="auto"/>
        <w:tabs>
          <w:tab w:leader="none" w:pos="19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240.13d-l (b):</w:t>
      </w:r>
    </w:p>
    <w:p>
      <w:pPr>
        <w:spacing w:after="0" w:line="208" w:lineRule="exact"/>
        <w:rPr>
          <w:sz w:val="20"/>
          <w:szCs w:val="20"/>
          <w:color w:val="auto"/>
        </w:rPr>
      </w:pPr>
    </w:p>
    <w:p>
      <w:pPr>
        <w:jc w:val="both"/>
        <w:ind w:left="960" w:right="10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2,230,284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2,230,284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2,230,284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8540" w:space="320"/>
            <w:col w:w="1359"/>
          </w:cols>
          <w:pgMar w:left="240" w:top="919" w:right="1440" w:bottom="1440" w:gutter="0" w:footer="0" w:header="0"/>
        </w:sectPr>
      </w:pPr>
    </w:p>
    <w:bookmarkStart w:id="7" w:name="page8"/>
    <w:bookmarkEnd w:id="7"/>
    <w:p>
      <w:pPr>
        <w:ind w:left="632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3, 2004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Frank J. Husic &amp; Co.</w:t>
      </w:r>
    </w:p>
    <w:p>
      <w:pPr>
        <w:ind w:left="29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Sanders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Sanders</w:t>
      </w:r>
    </w:p>
    <w:p>
      <w:pPr>
        <w:ind w:left="33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Frank J. Husic &amp; Co.</w:t>
      </w:r>
    </w:p>
    <w:p>
      <w:pPr>
        <w:ind w:left="29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Sanders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John Sanders</w:t>
      </w:r>
    </w:p>
    <w:p>
      <w:pPr>
        <w:ind w:left="34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Frank J. Husic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8" w:name="page9"/>
    <w:bookmarkEnd w:id="8"/>
    <w:p>
      <w:pPr>
        <w:jc w:val="right"/>
        <w:ind w:right="1999"/>
        <w:spacing w:after="0"/>
        <w:rPr>
          <w:sz w:val="20"/>
          <w:szCs w:val="20"/>
          <w:color w:val="auto"/>
        </w:rPr>
      </w:pPr>
      <w:r>
        <w:rPr>
          <w:rFonts w:ascii="Courier New" w:cs="Courier New" w:eastAsia="Courier New" w:hAnsi="Courier New"/>
          <w:sz w:val="18"/>
          <w:szCs w:val="18"/>
          <w:color w:val="auto"/>
        </w:rPr>
        <w:t>Page 9 of 10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Rule 13d-1(b)(ii)(J) and Rule 13d-1(k)(1) under the Securities and Exchange Act of 1934, the members of the group making this joint filing are identified and classified as follows: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740" w:type="dxa"/>
            <w:vAlign w:val="bottom"/>
          </w:tcPr>
          <w:p>
            <w:pPr>
              <w:ind w:left="540"/>
              <w:spacing w:after="0"/>
              <w:rPr>
                <w:sz w:val="20"/>
                <w:szCs w:val="20"/>
                <w:color w:val="auto"/>
              </w:rPr>
            </w:pPr>
            <w:r>
              <w:rPr>
                <w:rFonts w:ascii="Courier New" w:cs="Courier New" w:eastAsia="Courier New" w:hAnsi="Courier New"/>
                <w:sz w:val="18"/>
                <w:szCs w:val="18"/>
                <w:color w:val="auto"/>
              </w:rPr>
              <w:t>Name</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Classification</w:t>
            </w: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Not applicable.</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Not applicable.</w:t>
            </w:r>
          </w:p>
        </w:tc>
      </w:tr>
    </w:tbl>
    <w:p>
      <w:pPr>
        <w:sectPr>
          <w:pgSz w:w="11900" w:h="16838" w:orient="portrait"/>
          <w:cols w:equalWidth="0" w:num="1">
            <w:col w:w="10219"/>
          </w:cols>
          <w:pgMar w:left="240" w:top="91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10</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Agreement Pursuant to Rule 13d-1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3, 2004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Frank J. Husic &amp; Co.</w:t>
      </w:r>
    </w:p>
    <w:p>
      <w:pPr>
        <w:ind w:left="29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Sanders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Sanders</w:t>
      </w:r>
    </w:p>
    <w:p>
      <w:pPr>
        <w:ind w:left="33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Frank J. Husic &amp; Co.</w:t>
      </w:r>
    </w:p>
    <w:p>
      <w:pPr>
        <w:ind w:left="29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Sanders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John Sanders</w:t>
      </w:r>
    </w:p>
    <w:p>
      <w:pPr>
        <w:ind w:left="34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Frank J. Husic</w:t>
      </w:r>
    </w:p>
    <w:p>
      <w:pPr>
        <w:ind w:left="29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3">
    <w:nsid w:val="62BBD95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4">
    <w:nsid w:val="436C6125"/>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abstractNum>
  <w:abstractNum w:abstractNumId="5">
    <w:nsid w:val="628C895D"/>
    <w:multiLevelType w:val="hybridMultilevel"/>
    <w:lvl w:ilvl="0">
      <w:lvlJc w:val="left"/>
      <w:lvlText w:val="-"/>
      <w:numFmt w:val="bullet"/>
      <w:start w:val="1"/>
    </w:lvl>
    <w:lvl w:ilvl="1">
      <w:lvlJc w:val="left"/>
      <w:lvlText w:val="%2."/>
      <w:numFmt w:val="decimal"/>
      <w:start w:val="4"/>
    </w:lvl>
    <w:lvl w:ilvl="2">
      <w:lvlJc w:val="left"/>
      <w:lvlText w:val="%3."/>
      <w:numFmt w:val="decimal"/>
      <w:start w:val="5"/>
    </w:lvl>
  </w:abstractNum>
  <w:abstractNum w:abstractNumId="6">
    <w:nsid w:val="333AB105"/>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721DA31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2443A858"/>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2D1D5AE9"/>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6763845E"/>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75A2A8D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2">
    <w:nsid w:val="8EDBDA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13">
    <w:nsid w:val="79838CB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4">
    <w:nsid w:val="4353D0CD"/>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15">
    <w:nsid w:val="B03E0C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6">
    <w:nsid w:val="189A769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54E49EB4"/>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8">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CA88611"/>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0">
    <w:nsid w:val="836C40E"/>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21">
    <w:nsid w:val="2901D8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22">
    <w:nsid w:val="3A95F87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23">
    <w:nsid w:val="813864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24">
    <w:nsid w:val="1E7FF521"/>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5">
    <w:nsid w:val="7C3DBD3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6">
    <w:nsid w:val="737B8DDC"/>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7">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22221A70"/>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3"/>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6"/>
    </w:lvl>
  </w:abstractNum>
  <w:abstractNum w:abstractNumId="34">
    <w:nsid w:val="440BADFC"/>
    <w:multiLevelType w:val="hybridMultilevel"/>
    <w:lvl w:ilvl="0">
      <w:lvlJc w:val="left"/>
      <w:lvlText w:val="(%1)"/>
      <w:numFmt w:val="lowerLetter"/>
      <w:start w:val="1"/>
    </w:lvl>
    <w:lvl w:ilvl="1">
      <w:lvlJc w:val="left"/>
      <w:lvlText w:val="(%2)"/>
      <w:numFmt w:val="lowerRoman"/>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2019-12-20T15:07:19Z</dcterms:created>
  <dcterms:modified xsi:type="dcterms:W3CDTF">2019-12-20T15:07:19Z</dcterms:modified>
</cp:coreProperties>
</file>