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480"/>
        <w:spacing w:after="0"/>
        <w:rPr>
          <w:sz w:val="20"/>
          <w:szCs w:val="20"/>
          <w:color w:val="auto"/>
        </w:rPr>
      </w:pPr>
      <w:r>
        <w:rPr>
          <w:rFonts w:ascii="Courier New" w:cs="Courier New" w:eastAsia="Courier New" w:hAnsi="Courier New"/>
          <w:sz w:val="15"/>
          <w:szCs w:val="15"/>
          <w:color w:val="auto"/>
        </w:rPr>
        <w:t>Filed Pursuant to Rule 424(b)(3)</w:t>
      </w:r>
    </w:p>
    <w:p>
      <w:pPr>
        <w:jc w:val="right"/>
        <w:ind w:right="4480"/>
        <w:spacing w:after="0"/>
        <w:rPr>
          <w:sz w:val="20"/>
          <w:szCs w:val="20"/>
          <w:color w:val="auto"/>
        </w:rPr>
      </w:pPr>
      <w:r>
        <w:rPr>
          <w:rFonts w:ascii="Courier New" w:cs="Courier New" w:eastAsia="Courier New" w:hAnsi="Courier New"/>
          <w:sz w:val="15"/>
          <w:szCs w:val="15"/>
          <w:color w:val="auto"/>
        </w:rPr>
        <w:t>Registration No. 333-112598</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PROSPECTUS SUPPLEMENT NO. 6</w:t>
      </w:r>
    </w:p>
    <w:p>
      <w:pPr>
        <w:spacing w:after="0"/>
        <w:rPr>
          <w:sz w:val="20"/>
          <w:szCs w:val="20"/>
          <w:color w:val="auto"/>
        </w:rPr>
      </w:pPr>
      <w:r>
        <w:rPr>
          <w:rFonts w:ascii="Courier New" w:cs="Courier New" w:eastAsia="Courier New" w:hAnsi="Courier New"/>
          <w:sz w:val="15"/>
          <w:szCs w:val="15"/>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5"/>
          <w:szCs w:val="15"/>
          <w:color w:val="auto"/>
        </w:rPr>
        <w:t>CASUAL MALE RETAIL GROUP, INC.</w:t>
      </w:r>
    </w:p>
    <w:p>
      <w:pPr>
        <w:spacing w:after="0" w:line="169"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5"/>
          <w:szCs w:val="15"/>
          <w:color w:val="auto"/>
        </w:rPr>
        <w:t>$100,000,000 Principal Amount of</w:t>
      </w:r>
    </w:p>
    <w:p>
      <w:pPr>
        <w:jc w:val="center"/>
        <w:ind w:right="4480"/>
        <w:spacing w:after="0"/>
        <w:rPr>
          <w:sz w:val="20"/>
          <w:szCs w:val="20"/>
          <w:color w:val="auto"/>
        </w:rPr>
      </w:pPr>
      <w:r>
        <w:rPr>
          <w:rFonts w:ascii="Courier New" w:cs="Courier New" w:eastAsia="Courier New" w:hAnsi="Courier New"/>
          <w:sz w:val="15"/>
          <w:szCs w:val="15"/>
          <w:color w:val="auto"/>
        </w:rPr>
        <w:t>5% Convertible Subordinated Notes Due 2024</w:t>
      </w:r>
    </w:p>
    <w:p>
      <w:pPr>
        <w:jc w:val="center"/>
        <w:ind w:right="4400"/>
        <w:spacing w:after="0"/>
        <w:rPr>
          <w:sz w:val="20"/>
          <w:szCs w:val="20"/>
          <w:color w:val="auto"/>
        </w:rPr>
      </w:pPr>
      <w:r>
        <w:rPr>
          <w:rFonts w:ascii="Courier New" w:cs="Courier New" w:eastAsia="Courier New" w:hAnsi="Courier New"/>
          <w:sz w:val="15"/>
          <w:szCs w:val="15"/>
          <w:color w:val="auto"/>
        </w:rPr>
        <w:t>and</w:t>
      </w:r>
    </w:p>
    <w:p>
      <w:pPr>
        <w:jc w:val="center"/>
        <w:ind w:right="4480"/>
        <w:spacing w:after="0" w:line="238" w:lineRule="auto"/>
        <w:rPr>
          <w:sz w:val="20"/>
          <w:szCs w:val="20"/>
          <w:color w:val="auto"/>
        </w:rPr>
      </w:pPr>
      <w:r>
        <w:rPr>
          <w:rFonts w:ascii="Courier New" w:cs="Courier New" w:eastAsia="Courier New" w:hAnsi="Courier New"/>
          <w:sz w:val="15"/>
          <w:szCs w:val="15"/>
          <w:color w:val="auto"/>
        </w:rPr>
        <w:t>Shares of Common Stock Issuable Upon Conversion of the Notes</w:t>
      </w:r>
    </w:p>
    <w:p>
      <w:pPr>
        <w:ind w:left="2820"/>
        <w:spacing w:after="0"/>
        <w:rPr>
          <w:sz w:val="20"/>
          <w:szCs w:val="20"/>
          <w:color w:val="auto"/>
        </w:rPr>
      </w:pPr>
      <w:r>
        <w:rPr>
          <w:rFonts w:ascii="Courier New" w:cs="Courier New" w:eastAsia="Courier New" w:hAnsi="Courier New"/>
          <w:sz w:val="15"/>
          <w:szCs w:val="15"/>
          <w:color w:val="auto"/>
        </w:rPr>
        <w:t>_________________</w:t>
      </w:r>
    </w:p>
    <w:p>
      <w:pPr>
        <w:spacing w:after="0" w:line="174" w:lineRule="exact"/>
        <w:rPr>
          <w:sz w:val="24"/>
          <w:szCs w:val="24"/>
          <w:color w:val="auto"/>
        </w:rPr>
      </w:pPr>
    </w:p>
    <w:p>
      <w:pPr>
        <w:ind w:right="4660" w:firstLine="529"/>
        <w:spacing w:after="0" w:line="237" w:lineRule="auto"/>
        <w:rPr>
          <w:sz w:val="20"/>
          <w:szCs w:val="20"/>
          <w:color w:val="auto"/>
        </w:rPr>
      </w:pPr>
      <w:r>
        <w:rPr>
          <w:rFonts w:ascii="Courier New" w:cs="Courier New" w:eastAsia="Courier New" w:hAnsi="Courier New"/>
          <w:sz w:val="15"/>
          <w:szCs w:val="15"/>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78" w:lineRule="exact"/>
        <w:rPr>
          <w:sz w:val="24"/>
          <w:szCs w:val="24"/>
          <w:color w:val="auto"/>
        </w:rPr>
      </w:pPr>
    </w:p>
    <w:p>
      <w:pPr>
        <w:ind w:right="4560" w:firstLine="529"/>
        <w:spacing w:after="0" w:line="238" w:lineRule="auto"/>
        <w:rPr>
          <w:sz w:val="20"/>
          <w:szCs w:val="20"/>
          <w:color w:val="auto"/>
        </w:rPr>
      </w:pPr>
      <w:r>
        <w:rPr>
          <w:rFonts w:ascii="Courier New" w:cs="Courier New" w:eastAsia="Courier New" w:hAnsi="Courier New"/>
          <w:sz w:val="15"/>
          <w:szCs w:val="15"/>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178" w:lineRule="exact"/>
        <w:rPr>
          <w:sz w:val="24"/>
          <w:szCs w:val="24"/>
          <w:color w:val="auto"/>
        </w:rPr>
      </w:pPr>
    </w:p>
    <w:p>
      <w:pPr>
        <w:ind w:right="4840" w:firstLine="529"/>
        <w:spacing w:after="0" w:line="237" w:lineRule="auto"/>
        <w:rPr>
          <w:sz w:val="20"/>
          <w:szCs w:val="20"/>
          <w:color w:val="auto"/>
        </w:rPr>
      </w:pPr>
      <w:r>
        <w:rPr>
          <w:rFonts w:ascii="Courier New" w:cs="Courier New" w:eastAsia="Courier New" w:hAnsi="Courier New"/>
          <w:sz w:val="15"/>
          <w:szCs w:val="15"/>
          <w:color w:val="auto"/>
        </w:rPr>
        <w:t>Investing in the notes or the common stock offered by the prospectus involves risks that are described in the "Risk Factors" section beginning on page 8 of the prospectus.</w:t>
      </w:r>
    </w:p>
    <w:p>
      <w:pPr>
        <w:spacing w:after="0" w:line="16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_________________</w:t>
      </w:r>
    </w:p>
    <w:p>
      <w:pPr>
        <w:spacing w:after="0" w:line="175" w:lineRule="exact"/>
        <w:rPr>
          <w:sz w:val="24"/>
          <w:szCs w:val="24"/>
          <w:color w:val="auto"/>
        </w:rPr>
      </w:pPr>
    </w:p>
    <w:p>
      <w:pPr>
        <w:ind w:right="4560" w:firstLine="529"/>
        <w:spacing w:after="0" w:line="237" w:lineRule="auto"/>
        <w:rPr>
          <w:sz w:val="20"/>
          <w:szCs w:val="20"/>
          <w:color w:val="auto"/>
        </w:rPr>
      </w:pPr>
      <w:r>
        <w:rPr>
          <w:rFonts w:ascii="Courier New" w:cs="Courier New" w:eastAsia="Courier New" w:hAnsi="Courier New"/>
          <w:sz w:val="15"/>
          <w:szCs w:val="15"/>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171"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_________________</w:t>
      </w:r>
    </w:p>
    <w:p>
      <w:pPr>
        <w:spacing w:after="0" w:line="16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The date of this prospectus supplement is March 11, 2005.</w:t>
      </w:r>
    </w:p>
    <w:p>
      <w:pPr>
        <w:spacing w:after="0" w:line="175" w:lineRule="exact"/>
        <w:rPr>
          <w:sz w:val="24"/>
          <w:szCs w:val="24"/>
          <w:color w:val="auto"/>
        </w:rPr>
      </w:pPr>
    </w:p>
    <w:p>
      <w:pPr>
        <w:ind w:right="4480" w:firstLine="529"/>
        <w:spacing w:after="0" w:line="237" w:lineRule="auto"/>
        <w:rPr>
          <w:sz w:val="20"/>
          <w:szCs w:val="20"/>
          <w:color w:val="auto"/>
        </w:rPr>
      </w:pPr>
      <w:r>
        <w:rPr>
          <w:rFonts w:ascii="Courier New" w:cs="Courier New" w:eastAsia="Courier New" w:hAnsi="Courier New"/>
          <w:sz w:val="15"/>
          <w:szCs w:val="15"/>
          <w:color w:val="auto"/>
        </w:rPr>
        <w:t>The information in the table appearing under the heading "Selling Securityholders" beginning on page 46 of the prospectus is amended by adding the information below with respect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4840"/>
        <w:spacing w:after="0" w:line="237" w:lineRule="auto"/>
        <w:rPr>
          <w:sz w:val="20"/>
          <w:szCs w:val="20"/>
          <w:color w:val="auto"/>
        </w:rPr>
      </w:pPr>
      <w:r>
        <w:rPr>
          <w:rFonts w:ascii="Courier New" w:cs="Courier New" w:eastAsia="Courier New" w:hAnsi="Courier New"/>
          <w:sz w:val="15"/>
          <w:szCs w:val="15"/>
          <w:color w:val="auto"/>
        </w:rPr>
        <w:t>to persons not previously listed in the prospectus, and by superceding the information with respect to persons listed in the prospectus that are listed below.</w:t>
      </w:r>
    </w:p>
    <w:p>
      <w:pPr>
        <w:spacing w:after="0" w:line="175" w:lineRule="exact"/>
        <w:rPr>
          <w:sz w:val="24"/>
          <w:szCs w:val="24"/>
          <w:color w:val="auto"/>
        </w:rPr>
      </w:pPr>
    </w:p>
    <w:p>
      <w:pPr>
        <w:ind w:right="4480" w:firstLine="529"/>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as of February 28, 2005,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ectPr>
          <w:pgSz w:w="11900" w:h="16838" w:orient="portrait"/>
          <w:cols w:equalWidth="0" w:num="1">
            <w:col w:w="11520"/>
          </w:cols>
          <w:pgMar w:left="240" w:top="226"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Aggregate</w:t>
      </w:r>
    </w:p>
    <w:p>
      <w:pPr>
        <w:spacing w:after="0" w:line="11"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Shares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Other Shares of</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Common Stock</w:t>
      </w:r>
    </w:p>
    <w:p>
      <w:pPr>
        <w:ind w:left="100"/>
        <w:spacing w:after="0"/>
        <w:rPr>
          <w:sz w:val="20"/>
          <w:szCs w:val="20"/>
          <w:color w:val="auto"/>
        </w:rPr>
      </w:pPr>
      <w:r>
        <w:rPr>
          <w:rFonts w:ascii="Courier New" w:cs="Courier New" w:eastAsia="Courier New" w:hAnsi="Courier New"/>
          <w:sz w:val="15"/>
          <w:szCs w:val="15"/>
          <w:color w:val="auto"/>
        </w:rPr>
        <w:t>Beneficially</w:t>
      </w:r>
    </w:p>
    <w:p>
      <w:pPr>
        <w:ind w:left="100"/>
        <w:spacing w:after="0"/>
        <w:rPr>
          <w:sz w:val="20"/>
          <w:szCs w:val="20"/>
          <w:color w:val="auto"/>
        </w:rPr>
      </w:pPr>
      <w:r>
        <w:rPr>
          <w:rFonts w:ascii="Courier New" w:cs="Courier New" w:eastAsia="Courier New" w:hAnsi="Courier New"/>
          <w:sz w:val="15"/>
          <w:szCs w:val="15"/>
          <w:color w:val="auto"/>
        </w:rPr>
        <w:t>Owned Before</w:t>
      </w:r>
    </w:p>
    <w:p>
      <w:pPr>
        <w:ind w:left="100"/>
        <w:spacing w:after="0" w:line="238" w:lineRule="auto"/>
        <w:rPr>
          <w:sz w:val="20"/>
          <w:szCs w:val="20"/>
          <w:color w:val="auto"/>
        </w:rPr>
      </w:pPr>
      <w:r>
        <w:rPr>
          <w:rFonts w:ascii="Courier New" w:cs="Courier New" w:eastAsia="Courier New" w:hAnsi="Courier New"/>
          <w:sz w:val="15"/>
          <w:szCs w:val="15"/>
          <w:color w:val="auto"/>
        </w:rPr>
        <w:t>the Offering</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and Assumed to</w:t>
      </w:r>
    </w:p>
    <w:p>
      <w:pPr>
        <w:spacing w:after="0" w:line="5" w:lineRule="exact"/>
        <w:rPr>
          <w:sz w:val="24"/>
          <w:szCs w:val="24"/>
          <w:color w:val="auto"/>
        </w:rPr>
      </w:pPr>
    </w:p>
    <w:p>
      <w:pPr>
        <w:sectPr>
          <w:pgSz w:w="11900" w:h="16838" w:orient="portrait"/>
          <w:cols w:equalWidth="0" w:num="3">
            <w:col w:w="6500" w:space="720"/>
            <w:col w:w="1060" w:space="340"/>
            <w:col w:w="2900"/>
          </w:cols>
          <w:pgMar w:left="240" w:top="226" w:right="13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Amount of Notes</w:t>
      </w:r>
    </w:p>
    <w:p>
      <w:pPr>
        <w:spacing w:after="0"/>
        <w:rPr>
          <w:sz w:val="20"/>
          <w:szCs w:val="20"/>
          <w:color w:val="auto"/>
        </w:rPr>
      </w:pPr>
      <w:r>
        <w:rPr>
          <w:rFonts w:ascii="Courier New" w:cs="Courier New" w:eastAsia="Courier New" w:hAnsi="Courier New"/>
          <w:sz w:val="15"/>
          <w:szCs w:val="15"/>
          <w:color w:val="auto"/>
        </w:rPr>
        <w:t>Beneficially</w:t>
      </w:r>
    </w:p>
    <w:p>
      <w:pPr>
        <w:spacing w:after="0"/>
        <w:rPr>
          <w:sz w:val="20"/>
          <w:szCs w:val="20"/>
          <w:color w:val="auto"/>
        </w:rPr>
      </w:pPr>
      <w:r>
        <w:rPr>
          <w:rFonts w:ascii="Courier New" w:cs="Courier New" w:eastAsia="Courier New" w:hAnsi="Courier New"/>
          <w:sz w:val="15"/>
          <w:szCs w:val="15"/>
          <w:color w:val="auto"/>
        </w:rPr>
        <w:t>Owned and</w:t>
      </w:r>
    </w:p>
    <w:p>
      <w:pPr>
        <w:spacing w:after="0" w:line="238" w:lineRule="auto"/>
        <w:rPr>
          <w:sz w:val="20"/>
          <w:szCs w:val="20"/>
          <w:color w:val="auto"/>
        </w:rPr>
      </w:pPr>
      <w:r>
        <w:rPr>
          <w:rFonts w:ascii="Courier New" w:cs="Courier New" w:eastAsia="Courier New" w:hAnsi="Courier New"/>
          <w:sz w:val="15"/>
          <w:szCs w:val="15"/>
          <w:color w:val="auto"/>
        </w:rPr>
        <w:t>Offered</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5"/>
          <w:szCs w:val="15"/>
          <w:color w:val="auto"/>
        </w:rPr>
        <w:t>Percentage of</w:t>
      </w:r>
    </w:p>
    <w:p>
      <w:pPr>
        <w:ind w:left="80"/>
        <w:spacing w:after="0"/>
        <w:rPr>
          <w:sz w:val="20"/>
          <w:szCs w:val="20"/>
          <w:color w:val="auto"/>
        </w:rPr>
      </w:pPr>
      <w:r>
        <w:rPr>
          <w:rFonts w:ascii="Courier New" w:cs="Courier New" w:eastAsia="Courier New" w:hAnsi="Courier New"/>
          <w:sz w:val="15"/>
          <w:szCs w:val="15"/>
          <w:color w:val="auto"/>
        </w:rPr>
        <w:t>Common Stock</w:t>
      </w:r>
    </w:p>
    <w:p>
      <w:pPr>
        <w:spacing w:after="0"/>
        <w:rPr>
          <w:sz w:val="20"/>
          <w:szCs w:val="20"/>
          <w:color w:val="auto"/>
        </w:rPr>
      </w:pPr>
      <w:r>
        <w:rPr>
          <w:rFonts w:ascii="Courier New" w:cs="Courier New" w:eastAsia="Courier New" w:hAnsi="Courier New"/>
          <w:sz w:val="15"/>
          <w:szCs w:val="15"/>
          <w:color w:val="auto"/>
        </w:rPr>
        <w:t>Notes Outstanding</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Issuable Upon</w:t>
      </w:r>
    </w:p>
    <w:p>
      <w:pPr>
        <w:spacing w:after="0"/>
        <w:rPr>
          <w:sz w:val="20"/>
          <w:szCs w:val="20"/>
          <w:color w:val="auto"/>
        </w:rPr>
      </w:pPr>
      <w:r>
        <w:rPr>
          <w:rFonts w:ascii="Courier New" w:cs="Courier New" w:eastAsia="Courier New" w:hAnsi="Courier New"/>
          <w:sz w:val="15"/>
          <w:szCs w:val="15"/>
          <w:color w:val="auto"/>
        </w:rPr>
        <w:t>Conversion of</w:t>
      </w:r>
    </w:p>
    <w:p>
      <w:pPr>
        <w:ind w:left="80"/>
        <w:spacing w:after="0"/>
        <w:rPr>
          <w:sz w:val="20"/>
          <w:szCs w:val="20"/>
          <w:color w:val="auto"/>
        </w:rPr>
      </w:pPr>
      <w:r>
        <w:rPr>
          <w:rFonts w:ascii="Courier New" w:cs="Courier New" w:eastAsia="Courier New" w:hAnsi="Courier New"/>
          <w:sz w:val="15"/>
          <w:szCs w:val="15"/>
          <w:color w:val="auto"/>
        </w:rPr>
        <w:t>the Notes</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be Owned</w:t>
      </w:r>
    </w:p>
    <w:p>
      <w:pPr>
        <w:spacing w:after="0"/>
        <w:rPr>
          <w:sz w:val="20"/>
          <w:szCs w:val="20"/>
          <w:color w:val="auto"/>
        </w:rPr>
      </w:pPr>
      <w:r>
        <w:rPr>
          <w:rFonts w:ascii="Courier New" w:cs="Courier New" w:eastAsia="Courier New" w:hAnsi="Courier New"/>
          <w:sz w:val="15"/>
          <w:szCs w:val="15"/>
          <w:color w:val="auto"/>
        </w:rPr>
        <w:t>Following the</w:t>
      </w:r>
    </w:p>
    <w:p>
      <w:pPr>
        <w:ind w:left="100"/>
        <w:spacing w:after="0"/>
        <w:rPr>
          <w:sz w:val="20"/>
          <w:szCs w:val="20"/>
          <w:color w:val="auto"/>
        </w:rPr>
      </w:pPr>
      <w:r>
        <w:rPr>
          <w:rFonts w:ascii="Courier New" w:cs="Courier New" w:eastAsia="Courier New" w:hAnsi="Courier New"/>
          <w:sz w:val="15"/>
          <w:szCs w:val="15"/>
          <w:color w:val="auto"/>
        </w:rPr>
        <w:t>Offering</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Percentage of</w:t>
      </w:r>
    </w:p>
    <w:p>
      <w:pPr>
        <w:spacing w:after="0"/>
        <w:rPr>
          <w:sz w:val="20"/>
          <w:szCs w:val="20"/>
          <w:color w:val="auto"/>
        </w:rPr>
      </w:pPr>
      <w:r>
        <w:rPr>
          <w:rFonts w:ascii="Courier New" w:cs="Courier New" w:eastAsia="Courier New" w:hAnsi="Courier New"/>
          <w:sz w:val="15"/>
          <w:szCs w:val="15"/>
          <w:color w:val="auto"/>
        </w:rPr>
        <w:t>Outstanding</w:t>
      </w:r>
    </w:p>
    <w:p>
      <w:pPr>
        <w:ind w:left="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6">
            <w:col w:w="3860" w:space="0"/>
            <w:col w:w="1500" w:space="100"/>
            <w:col w:w="1680" w:space="80"/>
            <w:col w:w="1320" w:space="260"/>
            <w:col w:w="1320" w:space="100"/>
            <w:col w:w="1300"/>
          </w:cols>
          <w:pgMar w:left="240" w:top="226" w:right="139" w:bottom="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ACE Tempest Reinsurance Ltd.(1)</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Delta Air Lines Master Trust(1)</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Gaia Offshore Master Fund, Ltd(2)</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2,250,000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30"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Oaktree Capital Management, LLC ("Oaktree") serves as investment advisor to the selling securityholder and has voting and investment power in regard to its securities listed on this table. Mr. Andrew Watts is a managing director of Oaktree and is the portfolio manager for the selling securityholder. Oaktree and its employees and members disclaim beneficial ownership of such shares of common stock.</w:t>
      </w:r>
    </w:p>
    <w:p>
      <w:pPr>
        <w:spacing w:after="0" w:line="175" w:lineRule="exact"/>
        <w:rPr>
          <w:rFonts w:ascii="Courier New" w:cs="Courier New" w:eastAsia="Courier New" w:hAnsi="Courier New"/>
          <w:sz w:val="15"/>
          <w:szCs w:val="15"/>
          <w:color w:val="auto"/>
        </w:rPr>
      </w:pPr>
    </w:p>
    <w:p>
      <w:pPr>
        <w:ind w:left="530" w:right="180"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Promethean Asset Management, LLC serves as investment advisor to the selling securityholder and has voting and investment power in regard to its securities listed on this table. Promethean Asset Management, LLC disclaim</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11,268</w:t>
            </w:r>
          </w:p>
        </w:tc>
        <w:tc>
          <w:tcPr>
            <w:tcW w:w="1460" w:type="dxa"/>
            <w:vAlign w:val="bottom"/>
          </w:tcPr>
          <w:p>
            <w:pPr>
              <w:ind w:left="480"/>
              <w:spacing w:after="0"/>
              <w:rPr>
                <w:sz w:val="20"/>
                <w:szCs w:val="20"/>
                <w:color w:val="auto"/>
              </w:rPr>
            </w:pPr>
            <w:r>
              <w:rPr>
                <w:rFonts w:ascii="Courier New" w:cs="Courier New" w:eastAsia="Courier New" w:hAnsi="Courier New"/>
                <w:sz w:val="15"/>
                <w:szCs w:val="15"/>
                <w:color w:val="auto"/>
              </w:rPr>
              <w:t>None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21,128</w:t>
            </w:r>
          </w:p>
        </w:tc>
        <w:tc>
          <w:tcPr>
            <w:tcW w:w="1460" w:type="dxa"/>
            <w:vAlign w:val="bottom"/>
          </w:tcPr>
          <w:p>
            <w:pPr>
              <w:ind w:left="480"/>
              <w:spacing w:after="0"/>
              <w:rPr>
                <w:sz w:val="20"/>
                <w:szCs w:val="20"/>
                <w:color w:val="auto"/>
              </w:rPr>
            </w:pPr>
            <w:r>
              <w:rPr>
                <w:rFonts w:ascii="Courier New" w:cs="Courier New" w:eastAsia="Courier New" w:hAnsi="Courier New"/>
                <w:sz w:val="15"/>
                <w:szCs w:val="15"/>
                <w:color w:val="auto"/>
              </w:rPr>
              <w:t>None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211,275</w:t>
            </w:r>
          </w:p>
        </w:tc>
        <w:tc>
          <w:tcPr>
            <w:tcW w:w="1460" w:type="dxa"/>
            <w:vAlign w:val="bottom"/>
          </w:tcPr>
          <w:p>
            <w:pPr>
              <w:ind w:left="480"/>
              <w:spacing w:after="0"/>
              <w:rPr>
                <w:sz w:val="20"/>
                <w:szCs w:val="20"/>
                <w:color w:val="auto"/>
              </w:rPr>
            </w:pPr>
            <w:r>
              <w:rPr>
                <w:rFonts w:ascii="Courier New" w:cs="Courier New" w:eastAsia="Courier New" w:hAnsi="Courier New"/>
                <w:sz w:val="15"/>
                <w:szCs w:val="15"/>
                <w:color w:val="auto"/>
              </w:rPr>
              <w:t>None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6970" w:space="520"/>
            <w:col w:w="3260"/>
          </w:cols>
          <w:pgMar w:left="230" w:top="136" w:right="9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Aggregate</w:t>
      </w:r>
    </w:p>
    <w:p>
      <w:pPr>
        <w:spacing w:after="0" w:line="11"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Shares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Common Stock</w:t>
      </w:r>
    </w:p>
    <w:p>
      <w:pPr>
        <w:ind w:left="100"/>
        <w:spacing w:after="0"/>
        <w:rPr>
          <w:sz w:val="20"/>
          <w:szCs w:val="20"/>
          <w:color w:val="auto"/>
        </w:rPr>
      </w:pPr>
      <w:r>
        <w:rPr>
          <w:rFonts w:ascii="Courier New" w:cs="Courier New" w:eastAsia="Courier New" w:hAnsi="Courier New"/>
          <w:sz w:val="15"/>
          <w:szCs w:val="15"/>
          <w:color w:val="auto"/>
        </w:rPr>
        <w:t>Beneficially</w:t>
      </w:r>
    </w:p>
    <w:p>
      <w:pPr>
        <w:ind w:left="100"/>
        <w:spacing w:after="0"/>
        <w:rPr>
          <w:sz w:val="20"/>
          <w:szCs w:val="20"/>
          <w:color w:val="auto"/>
        </w:rPr>
      </w:pPr>
      <w:r>
        <w:rPr>
          <w:rFonts w:ascii="Courier New" w:cs="Courier New" w:eastAsia="Courier New" w:hAnsi="Courier New"/>
          <w:sz w:val="15"/>
          <w:szCs w:val="15"/>
          <w:color w:val="auto"/>
        </w:rPr>
        <w:t>Owned Before</w:t>
      </w:r>
    </w:p>
    <w:p>
      <w:pPr>
        <w:ind w:left="100"/>
        <w:spacing w:after="0" w:line="238" w:lineRule="auto"/>
        <w:rPr>
          <w:sz w:val="20"/>
          <w:szCs w:val="20"/>
          <w:color w:val="auto"/>
        </w:rPr>
      </w:pPr>
      <w:r>
        <w:rPr>
          <w:rFonts w:ascii="Courier New" w:cs="Courier New" w:eastAsia="Courier New" w:hAnsi="Courier New"/>
          <w:sz w:val="15"/>
          <w:szCs w:val="15"/>
          <w:color w:val="auto"/>
        </w:rPr>
        <w:t>the Offering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Assumed to</w:t>
      </w:r>
    </w:p>
    <w:p>
      <w:pPr>
        <w:spacing w:after="0" w:line="5" w:lineRule="exact"/>
        <w:rPr>
          <w:sz w:val="20"/>
          <w:szCs w:val="20"/>
          <w:color w:val="auto"/>
        </w:rPr>
      </w:pPr>
    </w:p>
    <w:p>
      <w:pPr>
        <w:sectPr>
          <w:pgSz w:w="11900" w:h="16838" w:orient="portrait"/>
          <w:cols w:equalWidth="0" w:num="3">
            <w:col w:w="6510" w:space="720"/>
            <w:col w:w="1060" w:space="340"/>
            <w:col w:w="2900"/>
          </w:cols>
          <w:pgMar w:left="230" w:top="1136" w:right="139" w:bottom="1440" w:gutter="0" w:footer="0" w:header="0"/>
        </w:sect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Amount of Notes</w:t>
            </w:r>
          </w:p>
        </w:tc>
        <w:tc>
          <w:tcPr>
            <w:tcW w:w="1680" w:type="dxa"/>
            <w:vAlign w:val="bottom"/>
          </w:tcPr>
          <w:p>
            <w:pPr>
              <w:ind w:left="100"/>
              <w:spacing w:after="0"/>
              <w:rPr>
                <w:sz w:val="20"/>
                <w:szCs w:val="20"/>
                <w:color w:val="auto"/>
              </w:rPr>
            </w:pPr>
            <w:r>
              <w:rPr>
                <w:rFonts w:ascii="Courier New" w:cs="Courier New" w:eastAsia="Courier New" w:hAnsi="Courier New"/>
                <w:sz w:val="15"/>
                <w:szCs w:val="15"/>
                <w:color w:val="auto"/>
              </w:rPr>
              <w:t>Percentage of</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be Owned</w:t>
            </w:r>
          </w:p>
        </w:tc>
        <w:tc>
          <w:tcPr>
            <w:tcW w:w="134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680" w:type="dxa"/>
            <w:vAlign w:val="bottom"/>
          </w:tcPr>
          <w:p>
            <w:pPr>
              <w:ind w:left="10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Following the</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Percentage of</w:t>
            </w:r>
          </w:p>
        </w:tc>
      </w:tr>
      <w:tr>
        <w:trPr>
          <w:trHeight w:val="170"/>
        </w:trPr>
        <w:tc>
          <w:tcPr>
            <w:tcW w:w="40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Owned and</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Notes Outstanding</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the Notes</w:t>
            </w:r>
          </w:p>
        </w:tc>
        <w:tc>
          <w:tcPr>
            <w:tcW w:w="15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Offering</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Outstanding</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Offered</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14"/>
                <w:szCs w:val="14"/>
                <w:color w:val="auto"/>
              </w:rPr>
            </w:pP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General Motors Employees Global Group</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Pension Trust(1)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545,000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51,176</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General Motors Foundation, Inc.(1)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5,634</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HCA Multi-Strategy Trust(1)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175,000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16,433</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Lyxor/Gaia II Fund Ltd.(2)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70,425</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OCM Global Convertible Securities Fund(1)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5,634</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OCM High Income Convertible Fund II Limited</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Partnership(1)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215,000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20,189</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OCM High Income Convertible Limited</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Partnership(1)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535,000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50,237</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RenaissanceRe Holdings Ltd.(1)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25,353</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Richard King Mellon Foundation(1)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12,207</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San Diego County Employee's Retirement</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Association(1)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5,634</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The Long-Term Investment Trust(1)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845,000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79,346</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Tripar Partnership(1)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11,268</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Virginia Retirement System(1)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640,000</w:t>
            </w:r>
          </w:p>
        </w:tc>
        <w:tc>
          <w:tcPr>
            <w:tcW w:w="16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60,096</w:t>
            </w:r>
          </w:p>
        </w:tc>
        <w:tc>
          <w:tcPr>
            <w:tcW w:w="15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None</w:t>
            </w:r>
          </w:p>
        </w:tc>
        <w:tc>
          <w:tcPr>
            <w:tcW w:w="13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r>
    </w:tbl>
    <w:p>
      <w:pPr>
        <w:spacing w:after="0" w:line="200" w:lineRule="exact"/>
        <w:rPr>
          <w:sz w:val="20"/>
          <w:szCs w:val="20"/>
          <w:color w:val="auto"/>
        </w:rPr>
      </w:pPr>
    </w:p>
    <w:p>
      <w:pPr>
        <w:spacing w:after="0" w:line="308" w:lineRule="exact"/>
        <w:rPr>
          <w:sz w:val="20"/>
          <w:szCs w:val="20"/>
          <w:color w:val="auto"/>
        </w:rPr>
      </w:pPr>
    </w:p>
    <w:p>
      <w:pPr>
        <w:ind w:left="530" w:hanging="530"/>
        <w:spacing w:after="0"/>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selling securityholders may be identified at a later date.</w:t>
      </w:r>
    </w:p>
    <w:p>
      <w:pPr>
        <w:spacing w:after="0" w:line="175" w:lineRule="exact"/>
        <w:rPr>
          <w:sz w:val="20"/>
          <w:szCs w:val="20"/>
          <w:color w:val="auto"/>
        </w:rPr>
      </w:pPr>
    </w:p>
    <w:p>
      <w:pPr>
        <w:ind w:left="530" w:right="4560"/>
        <w:spacing w:after="0" w:line="238" w:lineRule="auto"/>
        <w:rPr>
          <w:sz w:val="20"/>
          <w:szCs w:val="20"/>
          <w:color w:val="auto"/>
        </w:rPr>
      </w:pPr>
      <w:r>
        <w:rPr>
          <w:rFonts w:ascii="Courier New" w:cs="Courier New" w:eastAsia="Courier New" w:hAnsi="Courier New"/>
          <w:sz w:val="15"/>
          <w:szCs w:val="15"/>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181" w:lineRule="exact"/>
        <w:rPr>
          <w:sz w:val="20"/>
          <w:szCs w:val="20"/>
          <w:color w:val="auto"/>
        </w:rPr>
      </w:pPr>
    </w:p>
    <w:p>
      <w:pPr>
        <w:ind w:left="530" w:right="5100" w:hanging="530"/>
        <w:spacing w:after="0" w:line="235" w:lineRule="auto"/>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none of these selling securityholders would beneficially own 1% or more of the outstanding Notes.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 w:right="4560"/>
        <w:spacing w:after="0" w:line="265" w:lineRule="auto"/>
        <w:rPr>
          <w:sz w:val="20"/>
          <w:szCs w:val="20"/>
          <w:color w:val="auto"/>
        </w:rPr>
      </w:pPr>
      <w:r>
        <w:rPr>
          <w:rFonts w:ascii="Courier New" w:cs="Courier New" w:eastAsia="Courier New" w:hAnsi="Courier New"/>
          <w:sz w:val="14"/>
          <w:szCs w:val="14"/>
          <w:color w:val="auto"/>
        </w:rPr>
        <w:t>beneficial ownership of such shares of common stock. The selling securityholder is an affiliate of Promethean Capital Group LLC, a registered broker-dealer.</w:t>
      </w:r>
    </w:p>
    <w:p>
      <w:pPr>
        <w:spacing w:after="0" w:line="3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30"/>
          </w:cols>
          <w:pgMar w:left="230" w:top="1136" w:right="139" w:bottom="1440" w:gutter="0" w:footer="0" w:header="0"/>
          <w:type w:val="continuous"/>
        </w:sectPr>
      </w:pPr>
    </w:p>
    <w:bookmarkStart w:id="3" w:name="page4"/>
    <w:bookmarkEnd w:id="3"/>
    <w:p>
      <w:pPr>
        <w:ind w:left="530" w:right="3179" w:hanging="530"/>
        <w:spacing w:after="0" w:line="238"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179" w:lineRule="exact"/>
        <w:rPr>
          <w:rFonts w:ascii="Courier New" w:cs="Courier New" w:eastAsia="Courier New" w:hAnsi="Courier New"/>
          <w:sz w:val="15"/>
          <w:szCs w:val="15"/>
          <w:color w:val="auto"/>
        </w:rPr>
      </w:pPr>
    </w:p>
    <w:p>
      <w:pPr>
        <w:jc w:val="both"/>
        <w:ind w:left="530" w:right="3179" w:hanging="530"/>
        <w:spacing w:after="0" w:line="260" w:lineRule="auto"/>
        <w:tabs>
          <w:tab w:leader="none" w:pos="53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34,217,796 outstanding shares of CMRG as of December 1, 2004, none of these selling securityholders would beneficially own 1% or more of the outstanding shares following the sale of securities in the offering.</w:t>
      </w:r>
    </w:p>
    <w:p>
      <w:pPr>
        <w:spacing w:after="0" w:line="200" w:lineRule="exact"/>
        <w:rPr>
          <w:sz w:val="20"/>
          <w:szCs w:val="20"/>
          <w:color w:val="auto"/>
        </w:rPr>
      </w:pPr>
    </w:p>
    <w:p>
      <w:pPr>
        <w:spacing w:after="0" w:line="29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sectPr>
      <w:pgSz w:w="11900" w:h="16838" w:orient="portrait"/>
      <w:cols w:equalWidth="0" w:num="1">
        <w:col w:w="10229"/>
      </w:cols>
      <w:pgMar w:left="23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2019-12-20T01:07:31Z</dcterms:created>
  <dcterms:modified xsi:type="dcterms:W3CDTF">2019-12-20T01:07:31Z</dcterms:modified>
</cp:coreProperties>
</file>