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720"/>
        <w:spacing w:after="0"/>
        <w:tabs>
          <w:tab w:leader="none" w:pos="7440" w:val="left"/>
        </w:tabs>
        <w:rPr>
          <w:sz w:val="20"/>
          <w:szCs w:val="20"/>
          <w:color w:val="auto"/>
        </w:rPr>
      </w:pPr>
      <w:r>
        <w:rPr>
          <w:rFonts w:ascii="Arial" w:cs="Arial" w:eastAsia="Arial" w:hAnsi="Arial"/>
          <w:sz w:val="18"/>
          <w:szCs w:val="18"/>
          <w:b w:val="1"/>
          <w:bCs w:val="1"/>
          <w:color w:val="auto"/>
        </w:rPr>
        <w:t>For the fiscal year ended January 29, 2005 (Fiscal 2004)</w:t>
      </w:r>
      <w:r>
        <w:rPr>
          <w:sz w:val="20"/>
          <w:szCs w:val="20"/>
          <w:color w:val="auto"/>
        </w:rPr>
        <w:tab/>
      </w:r>
      <w:r>
        <w:rPr>
          <w:rFonts w:ascii="Arial" w:cs="Arial" w:eastAsia="Arial" w:hAnsi="Arial"/>
          <w:sz w:val="15"/>
          <w:szCs w:val="15"/>
          <w:b w:val="1"/>
          <w:bCs w:val="1"/>
          <w:color w:val="auto"/>
        </w:rPr>
        <w:t>Commission File Number 0-15898</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CASUAL MALE RETAIL GROUP,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1440" w:type="dxa"/>
        <w:tblCellMar>
          <w:top w:w="0" w:type="dxa"/>
          <w:left w:w="0" w:type="dxa"/>
          <w:bottom w:w="0" w:type="dxa"/>
          <w:right w:w="0" w:type="dxa"/>
        </w:tblCellMar>
      </w:tblPr>
      <w:tr>
        <w:trPr>
          <w:trHeight w:val="222"/>
        </w:trPr>
        <w:tc>
          <w:tcPr>
            <w:tcW w:w="4420" w:type="dxa"/>
            <w:vAlign w:val="bottom"/>
          </w:tcPr>
          <w:p>
            <w:pPr>
              <w:jc w:val="center"/>
              <w:ind w:right="1592"/>
              <w:spacing w:after="0"/>
              <w:rPr>
                <w:sz w:val="20"/>
                <w:szCs w:val="20"/>
                <w:color w:val="auto"/>
              </w:rPr>
            </w:pPr>
            <w:r>
              <w:rPr>
                <w:rFonts w:ascii="Arial" w:cs="Arial" w:eastAsia="Arial" w:hAnsi="Arial"/>
                <w:sz w:val="18"/>
                <w:szCs w:val="18"/>
                <w:b w:val="1"/>
                <w:bCs w:val="1"/>
                <w:color w:val="auto"/>
                <w:w w:val="88"/>
              </w:rPr>
              <w:t>Delaware</w:t>
            </w:r>
          </w:p>
        </w:tc>
        <w:tc>
          <w:tcPr>
            <w:tcW w:w="4060" w:type="dxa"/>
            <w:vAlign w:val="bottom"/>
          </w:tcPr>
          <w:p>
            <w:pPr>
              <w:jc w:val="right"/>
              <w:ind w:right="672"/>
              <w:spacing w:after="0"/>
              <w:rPr>
                <w:sz w:val="20"/>
                <w:szCs w:val="20"/>
                <w:color w:val="auto"/>
              </w:rPr>
            </w:pPr>
            <w:r>
              <w:rPr>
                <w:rFonts w:ascii="Arial" w:cs="Arial" w:eastAsia="Arial" w:hAnsi="Arial"/>
                <w:sz w:val="18"/>
                <w:szCs w:val="18"/>
                <w:b w:val="1"/>
                <w:bCs w:val="1"/>
                <w:color w:val="auto"/>
              </w:rPr>
              <w:t>04-2623104</w:t>
            </w:r>
          </w:p>
        </w:tc>
      </w:tr>
      <w:tr>
        <w:trPr>
          <w:trHeight w:val="216"/>
        </w:trPr>
        <w:tc>
          <w:tcPr>
            <w:tcW w:w="4420" w:type="dxa"/>
            <w:vAlign w:val="bottom"/>
          </w:tcPr>
          <w:p>
            <w:pPr>
              <w:jc w:val="center"/>
              <w:ind w:right="1592"/>
              <w:spacing w:after="0"/>
              <w:rPr>
                <w:sz w:val="20"/>
                <w:szCs w:val="20"/>
                <w:color w:val="auto"/>
              </w:rPr>
            </w:pPr>
            <w:r>
              <w:rPr>
                <w:rFonts w:ascii="Arial" w:cs="Arial" w:eastAsia="Arial" w:hAnsi="Arial"/>
                <w:sz w:val="18"/>
                <w:szCs w:val="18"/>
                <w:i w:val="1"/>
                <w:iCs w:val="1"/>
                <w:color w:val="auto"/>
                <w:w w:val="91"/>
              </w:rPr>
              <w:t>(State or other jurisdiction of</w:t>
            </w:r>
          </w:p>
        </w:tc>
        <w:tc>
          <w:tcPr>
            <w:tcW w:w="4060" w:type="dxa"/>
            <w:vAlign w:val="bottom"/>
          </w:tcPr>
          <w:p>
            <w:pPr>
              <w:jc w:val="center"/>
              <w:ind w:left="159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222"/>
        </w:trPr>
        <w:tc>
          <w:tcPr>
            <w:tcW w:w="4420" w:type="dxa"/>
            <w:vAlign w:val="bottom"/>
          </w:tcPr>
          <w:p>
            <w:pPr>
              <w:jc w:val="center"/>
              <w:ind w:right="1592"/>
              <w:spacing w:after="0"/>
              <w:rPr>
                <w:sz w:val="20"/>
                <w:szCs w:val="20"/>
                <w:color w:val="auto"/>
              </w:rPr>
            </w:pPr>
            <w:r>
              <w:rPr>
                <w:rFonts w:ascii="Arial" w:cs="Arial" w:eastAsia="Arial" w:hAnsi="Arial"/>
                <w:sz w:val="18"/>
                <w:szCs w:val="18"/>
                <w:i w:val="1"/>
                <w:iCs w:val="1"/>
                <w:color w:val="auto"/>
                <w:w w:val="93"/>
              </w:rPr>
              <w:t>incorporation or organization)</w:t>
            </w:r>
          </w:p>
        </w:tc>
        <w:tc>
          <w:tcPr>
            <w:tcW w:w="4060" w:type="dxa"/>
            <w:vAlign w:val="bottom"/>
          </w:tcPr>
          <w:p>
            <w:pPr>
              <w:spacing w:after="0"/>
              <w:rPr>
                <w:sz w:val="19"/>
                <w:szCs w:val="19"/>
                <w:color w:val="auto"/>
              </w:rPr>
            </w:pPr>
          </w:p>
        </w:tc>
      </w:tr>
      <w:tr>
        <w:trPr>
          <w:trHeight w:val="358"/>
        </w:trPr>
        <w:tc>
          <w:tcPr>
            <w:tcW w:w="4420" w:type="dxa"/>
            <w:vAlign w:val="bottom"/>
          </w:tcPr>
          <w:p>
            <w:pPr>
              <w:jc w:val="center"/>
              <w:ind w:right="1592"/>
              <w:spacing w:after="0"/>
              <w:rPr>
                <w:sz w:val="20"/>
                <w:szCs w:val="20"/>
                <w:color w:val="auto"/>
              </w:rPr>
            </w:pPr>
            <w:r>
              <w:rPr>
                <w:rFonts w:ascii="Arial" w:cs="Arial" w:eastAsia="Arial" w:hAnsi="Arial"/>
                <w:sz w:val="18"/>
                <w:szCs w:val="18"/>
                <w:b w:val="1"/>
                <w:bCs w:val="1"/>
                <w:color w:val="auto"/>
                <w:w w:val="90"/>
              </w:rPr>
              <w:t>555 Turnpike Street, Canton, MA</w:t>
            </w:r>
          </w:p>
        </w:tc>
        <w:tc>
          <w:tcPr>
            <w:tcW w:w="4060" w:type="dxa"/>
            <w:vAlign w:val="bottom"/>
          </w:tcPr>
          <w:p>
            <w:pPr>
              <w:jc w:val="right"/>
              <w:ind w:right="872"/>
              <w:spacing w:after="0"/>
              <w:rPr>
                <w:sz w:val="20"/>
                <w:szCs w:val="20"/>
                <w:color w:val="auto"/>
              </w:rPr>
            </w:pPr>
            <w:r>
              <w:rPr>
                <w:rFonts w:ascii="Arial" w:cs="Arial" w:eastAsia="Arial" w:hAnsi="Arial"/>
                <w:sz w:val="18"/>
                <w:szCs w:val="18"/>
                <w:b w:val="1"/>
                <w:bCs w:val="1"/>
                <w:color w:val="auto"/>
              </w:rPr>
              <w:t>02021</w:t>
            </w:r>
          </w:p>
        </w:tc>
      </w:tr>
      <w:tr>
        <w:trPr>
          <w:trHeight w:val="222"/>
        </w:trPr>
        <w:tc>
          <w:tcPr>
            <w:tcW w:w="4420" w:type="dxa"/>
            <w:vAlign w:val="bottom"/>
          </w:tcPr>
          <w:p>
            <w:pPr>
              <w:jc w:val="center"/>
              <w:ind w:right="159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4060" w:type="dxa"/>
            <w:vAlign w:val="bottom"/>
          </w:tcPr>
          <w:p>
            <w:pPr>
              <w:jc w:val="center"/>
              <w:ind w:left="1612"/>
              <w:spacing w:after="0"/>
              <w:rPr>
                <w:sz w:val="20"/>
                <w:szCs w:val="20"/>
                <w:color w:val="auto"/>
              </w:rPr>
            </w:pPr>
            <w:r>
              <w:rPr>
                <w:rFonts w:ascii="Arial" w:cs="Arial" w:eastAsia="Arial" w:hAnsi="Arial"/>
                <w:sz w:val="18"/>
                <w:szCs w:val="18"/>
                <w:i w:val="1"/>
                <w:iCs w:val="1"/>
                <w:color w:val="auto"/>
                <w:w w:val="89"/>
              </w:rPr>
              <w:t>(Zip Code)</w:t>
            </w:r>
          </w:p>
        </w:tc>
      </w:tr>
    </w:tbl>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170180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ind w:right="8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As of July 31, 2004, the aggregate market value of the Common Stock held by non-affiliates of the registrant was approximately $156.1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34,229,255 shares of Common Stock, $0.01 par value, outstanding as of March 31, 2005.</w:t>
      </w:r>
    </w:p>
    <w:p>
      <w:pPr>
        <w:spacing w:after="0" w:line="152"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Proxy Statement for the 2005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auto"/>
                <w:w w:val="98"/>
              </w:rPr>
              <w:t>CASUAL MALE RETAIL GROUP, INC.</w:t>
            </w:r>
          </w:p>
        </w:tc>
        <w:tc>
          <w:tcPr>
            <w:tcW w:w="1440" w:type="dxa"/>
            <w:vAlign w:val="bottom"/>
          </w:tcPr>
          <w:p>
            <w:pPr>
              <w:spacing w:after="0"/>
              <w:rPr>
                <w:sz w:val="19"/>
                <w:szCs w:val="19"/>
                <w:color w:val="auto"/>
              </w:rPr>
            </w:pPr>
          </w:p>
        </w:tc>
      </w:tr>
      <w:tr>
        <w:trPr>
          <w:trHeight w:val="259"/>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45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12"/>
          </w:tcPr>
          <w:p>
            <w:pPr>
              <w:jc w:val="center"/>
              <w:ind w:right="2400"/>
              <w:spacing w:after="0"/>
              <w:rPr>
                <w:sz w:val="20"/>
                <w:szCs w:val="20"/>
                <w:color w:val="auto"/>
              </w:rPr>
            </w:pPr>
            <w:r>
              <w:rPr>
                <w:rFonts w:ascii="Arial" w:cs="Arial" w:eastAsia="Arial" w:hAnsi="Arial"/>
                <w:sz w:val="18"/>
                <w:szCs w:val="18"/>
                <w:b w:val="1"/>
                <w:bCs w:val="1"/>
                <w:color w:val="auto"/>
                <w:w w:val="90"/>
              </w:rPr>
              <w:t>Index to Annual Report on Form 10-K</w:t>
            </w:r>
          </w:p>
        </w:tc>
        <w:tc>
          <w:tcPr>
            <w:tcW w:w="144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4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89"/>
              </w:rPr>
              <w:t>Year Ended January 29, 2005</w:t>
            </w:r>
          </w:p>
        </w:tc>
        <w:tc>
          <w:tcPr>
            <w:tcW w:w="1440" w:type="dxa"/>
            <w:vAlign w:val="bottom"/>
          </w:tcPr>
          <w:p>
            <w:pPr>
              <w:spacing w:after="0"/>
              <w:rPr>
                <w:sz w:val="19"/>
                <w:szCs w:val="19"/>
                <w:color w:val="auto"/>
              </w:rPr>
            </w:pPr>
          </w:p>
        </w:tc>
      </w:tr>
      <w:tr>
        <w:trPr>
          <w:trHeight w:val="326"/>
        </w:trPr>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44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896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Properties</w:t>
              </w:r>
            </w:hyperlink>
          </w:p>
        </w:tc>
        <w:tc>
          <w:tcPr>
            <w:tcW w:w="8240" w:type="dxa"/>
            <w:vAlign w:val="bottom"/>
            <w:gridSpan w:val="1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Submission of Matters to a Vote of Security Holders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20" w:type="dxa"/>
            <w:vAlign w:val="bottom"/>
            <w:gridSpan w:val="5"/>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380" w:type="dxa"/>
            <w:vAlign w:val="bottom"/>
            <w:gridSpan w:val="3"/>
          </w:tcPr>
          <w:p>
            <w:pPr>
              <w:spacing w:after="0"/>
              <w:rPr>
                <w:sz w:val="17"/>
                <w:szCs w:val="17"/>
                <w:color w:val="auto"/>
              </w:rPr>
            </w:pPr>
          </w:p>
        </w:tc>
        <w:tc>
          <w:tcPr>
            <w:tcW w:w="78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Market for Registrant’s Common Equity, Related Stockholder Matters and Issuer Purchases of Equity Securities</w:t>
              </w:r>
            </w:hyperlink>
          </w:p>
        </w:tc>
        <w:tc>
          <w:tcPr>
            <w:tcW w:w="10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96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896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660" w:type="dxa"/>
            <w:vAlign w:val="bottom"/>
            <w:gridSpan w:val="4"/>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896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896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 Disclosure</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2640" w:type="dxa"/>
            <w:vAlign w:val="bottom"/>
            <w:gridSpan w:val="3"/>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7240" w:type="dxa"/>
            <w:vAlign w:val="bottom"/>
            <w:gridSpan w:val="15"/>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3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10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896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Directors and Executive Officers of the Registrant</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5440" w:type="dxa"/>
            <w:vAlign w:val="bottom"/>
            <w:gridSpan w:val="9"/>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0" w:type="dxa"/>
            <w:vAlign w:val="bottom"/>
            <w:gridSpan w:val="8"/>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Security Ownership of Certain Beneficial Owners and Management and Related Stockholder Matters</w:t>
              </w:r>
            </w:hyperlink>
          </w:p>
        </w:tc>
        <w:tc>
          <w:tcPr>
            <w:tcW w:w="1840" w:type="dxa"/>
            <w:vAlign w:val="bottom"/>
            <w:gridSpan w:val="2"/>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896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10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Principal Accounting Fees and Services</w:t>
              </w:r>
            </w:hyperlink>
          </w:p>
        </w:tc>
        <w:tc>
          <w:tcPr>
            <w:tcW w:w="5640" w:type="dxa"/>
            <w:vAlign w:val="bottom"/>
            <w:gridSpan w:val="10"/>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1020" w:type="dxa"/>
            <w:vAlign w:val="bottom"/>
            <w:gridSpan w:val="5"/>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320" w:type="dxa"/>
            <w:vAlign w:val="bottom"/>
            <w:gridSpan w:val="2"/>
          </w:tcPr>
          <w:p>
            <w:pPr>
              <w:spacing w:after="0"/>
              <w:rPr>
                <w:sz w:val="17"/>
                <w:szCs w:val="17"/>
                <w:color w:val="auto"/>
              </w:rPr>
            </w:pPr>
          </w:p>
        </w:tc>
        <w:tc>
          <w:tcPr>
            <w:tcW w:w="896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Exhibits, Financial Statement Schedules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614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53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5060" w:type="dxa"/>
            <w:vAlign w:val="bottom"/>
            <w:gridSpan w:val="13"/>
          </w:tcPr>
          <w:p>
            <w:pPr>
              <w:jc w:val="center"/>
              <w:ind w:left="2772"/>
              <w:spacing w:after="0"/>
              <w:rPr>
                <w:sz w:val="20"/>
                <w:szCs w:val="20"/>
                <w:color w:val="auto"/>
              </w:rPr>
            </w:pPr>
            <w:r>
              <w:rPr>
                <w:rFonts w:ascii="Arial" w:cs="Arial" w:eastAsia="Arial" w:hAnsi="Arial"/>
                <w:sz w:val="18"/>
                <w:szCs w:val="18"/>
                <w:color w:val="auto"/>
                <w:w w:val="79"/>
              </w:rPr>
              <w:t>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statements contained in this Annual Report on Form 10-K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in the material set forth under the headings “Business” and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Annual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8, 2005, which identifies certain risks and uncertainties that may have an impact on future earnings and the direction of the Company.</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i w:val="1"/>
          <w:iCs w:val="1"/>
          <w:color w:val="auto"/>
        </w:rPr>
        <w:t>Business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&amp; tall men’s apparel with retail operations throughout the United States, Canada and London, England. The Company operates 492 Casual Male Big &amp; Tall stores, 13 Casual Male at Sears Canada stores, 22 Rochester Big &amp; Tall stores and a direct to consumer business, which includes a catalog business and two e-commerce sites. Unless the context indicates otherwise, all references to “we,” “our,” “ours,” “us” and “the Company” refer to Casual Male Retail Group, Inc. and its consolidated subsidiaries. The Company refers to its fiscal years ended January 29, 2005, January 31, 2004 and February 1, 2003 as “fiscal 2004”, “fiscal 2003” and “fiscal 2002”,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incorporated in the State of Delaware in 1976 under the name Designs, Inc. Until fiscal 1995, the Company operated exclusively Levi Strauss</w:t>
      </w:r>
    </w:p>
    <w:p>
      <w:pPr>
        <w:spacing w:after="0" w:line="38" w:lineRule="exact"/>
        <w:rPr>
          <w:sz w:val="20"/>
          <w:szCs w:val="20"/>
          <w:color w:val="auto"/>
        </w:rPr>
      </w:pPr>
    </w:p>
    <w:p>
      <w:pPr>
        <w:ind w:right="380" w:firstLine="8"/>
        <w:spacing w:after="0" w:line="261" w:lineRule="auto"/>
        <w:tabs>
          <w:tab w:leader="none" w:pos="181" w:val="left"/>
        </w:tabs>
        <w:numPr>
          <w:ilvl w:val="0"/>
          <w:numId w:val="1"/>
        </w:numPr>
        <w:rPr>
          <w:rFonts w:ascii="Arial" w:cs="Arial" w:eastAsia="Arial" w:hAnsi="Arial"/>
          <w:sz w:val="18"/>
          <w:szCs w:val="18"/>
          <w:color w:val="auto"/>
        </w:rPr>
      </w:pPr>
      <w:r>
        <w:rPr>
          <w:rFonts w:ascii="Arial" w:cs="Arial" w:eastAsia="Arial" w:hAnsi="Arial"/>
          <w:sz w:val="18"/>
          <w:szCs w:val="18"/>
          <w:color w:val="auto"/>
        </w:rPr>
        <w:t>Co. branded apparel mall and outlet stores. In fiscal 1995, the Company began seeing limited growth opportunities with Levi Strauss &amp; Co. and started to embark on several private label diversification strategies.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While implementing these strategies, but with limited opportunity to expand its mature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in May 2002 the Company acquired the Casual Male business from Casual Male Corp. at a bankruptcy court-ordered auction. At the time of the acquisition, Casual Male was the largest retailer of men’s clothing in the big &amp; tall market in the United States. As a result of the acquisition and in view of the significance of it to the growth and future identity of the Company, on August 8, 2002 the Company’s name was changed to “Casual Male Retail Group,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saw significant opportunities to grow the Casual Male business, such as:</w:t>
      </w:r>
    </w:p>
    <w:p>
      <w:pPr>
        <w:spacing w:after="0" w:line="158"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general the Casual Male brand had previously been under managed;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expense base was high;</w:t>
      </w:r>
    </w:p>
    <w:p>
      <w:pPr>
        <w:spacing w:after="0" w:line="36" w:lineRule="exact"/>
        <w:rPr>
          <w:rFonts w:ascii="Arial" w:cs="Arial" w:eastAsia="Arial" w:hAnsi="Arial"/>
          <w:sz w:val="18"/>
          <w:szCs w:val="18"/>
          <w:color w:val="auto"/>
        </w:rPr>
      </w:pPr>
    </w:p>
    <w:p>
      <w:pPr>
        <w:ind w:left="900" w:right="140" w:hanging="446"/>
        <w:spacing w:after="0" w:line="25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little or no capital investment had been made in the Casual Male business for a number of years, and therefore was operating on ineffective, legacy computer systems;</w:t>
      </w: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merchandise assortments in the store were not targeted to Casual Male’s broad market;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stores had not been properly maintained;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was no multi-channel operating strategy for its under-achieving direct-to-consumer business;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lacked any strategic initiative to expand its market share.</w:t>
      </w:r>
    </w:p>
    <w:p>
      <w:pPr>
        <w:spacing w:after="0" w:line="185" w:lineRule="exact"/>
        <w:rPr>
          <w:sz w:val="20"/>
          <w:szCs w:val="20"/>
          <w:color w:val="auto"/>
        </w:rPr>
      </w:pPr>
    </w:p>
    <w:p>
      <w:pPr>
        <w:ind w:right="380"/>
        <w:spacing w:after="0" w:line="317" w:lineRule="auto"/>
        <w:rPr>
          <w:sz w:val="20"/>
          <w:szCs w:val="20"/>
          <w:color w:val="auto"/>
        </w:rPr>
      </w:pPr>
      <w:r>
        <w:rPr>
          <w:rFonts w:ascii="Arial" w:cs="Arial" w:eastAsia="Arial" w:hAnsi="Arial"/>
          <w:sz w:val="16"/>
          <w:szCs w:val="16"/>
          <w:color w:val="auto"/>
        </w:rPr>
        <w:t>Since May 2002, the Company has been implementing its strategic turnaround plan to re-position Casual Male to become the premier global specialty men’s apparel retailer catering to the big &amp; tall niche market. At the same time the Company continued to see considerable deterioration in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in fiscal 2002 the Company announced that it would downsize and eventually exit the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2004 DEVELOPMENTS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fiscal 2004, the Company continued to make considerable strides toward completing its three-year turnaround plan of becoming the premier global operator of big &amp; tall men’s apparel.</w:t>
      </w:r>
    </w:p>
    <w:p>
      <w:pPr>
        <w:spacing w:after="0" w:line="118" w:lineRule="exact"/>
        <w:rPr>
          <w:sz w:val="20"/>
          <w:szCs w:val="20"/>
          <w:color w:val="auto"/>
        </w:rPr>
      </w:pPr>
    </w:p>
    <w:p>
      <w:pPr>
        <w:ind w:left="900" w:hanging="446"/>
        <w:spacing w:after="0" w:line="287"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Acquisition of Rochester Big &amp; Tall Clothing.</w:t>
      </w:r>
      <w:r>
        <w:rPr>
          <w:rFonts w:ascii="Arial" w:cs="Arial" w:eastAsia="Arial" w:hAnsi="Arial"/>
          <w:sz w:val="16"/>
          <w:szCs w:val="16"/>
          <w:color w:val="auto"/>
        </w:rPr>
        <w:t xml:space="preserve"> In October 2004, the Company acquired substantially all of the assets of Rochester Big &amp; Tall Clothing (“Rochester”). While Casual Male focuses on the moderate segment of the big &amp; tall apparel business, Rochester is the only upscale retailer focusing on customers shopping at the high-end price point of the market. As part of the acquisition, the Company acquired 22 retail stores, 21 located in major cities in the United States and one in London, England, in addition to a growing catalog and e-commerce business. Rochester operates under three different store formats; 19 Rochester Big &amp; Tall stores, 2 Rochester Sport stores and one California Big &amp; Tall Outlet store. This acquisition provided the Company with an opportunity to increase its market share in the men’s big &amp; tall apparel business and with only 22 retail stores, the Company believes that there are many opportunities for store and internet growth. The Company expects to open three stores in fiscal 2005 and sees significant opportunities to open additional stores in the next few years. The Company believes that the addition of the Rochester business will be immediately accretive to the financial growth of the Company as a result of the synergies that will occur from the integration of the two businesses.</w:t>
      </w:r>
    </w:p>
    <w:p>
      <w:pPr>
        <w:spacing w:after="0" w:line="109" w:lineRule="exact"/>
        <w:rPr>
          <w:rFonts w:ascii="Arial" w:cs="Arial" w:eastAsia="Arial" w:hAnsi="Arial"/>
          <w:sz w:val="16"/>
          <w:szCs w:val="16"/>
          <w:color w:val="auto"/>
        </w:rPr>
      </w:pPr>
    </w:p>
    <w:p>
      <w:pPr>
        <w:ind w:left="900" w:right="4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Casual Male Shops in Sears Canada.</w:t>
      </w:r>
      <w:r>
        <w:rPr>
          <w:rFonts w:ascii="Arial" w:cs="Arial" w:eastAsia="Arial" w:hAnsi="Arial"/>
          <w:sz w:val="18"/>
          <w:szCs w:val="18"/>
          <w:color w:val="auto"/>
        </w:rPr>
        <w:t xml:space="preserve"> During fiscal 2004, the Company opened, on a test basis, 13 Casual Male license shops in Sears Canada department stores and within the next fiscal year, the Company anticipates that its merchandise also will be available through Sears Canada’s catalog and e-commerce site. The Company saw this opportunity as a way to enter and test the international big &amp; tall market with relatively low risk and minimal capital.</w:t>
      </w:r>
    </w:p>
    <w:p>
      <w:pPr>
        <w:spacing w:after="0" w:line="129"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George Foreman Exclusive License Agreement.</w:t>
      </w:r>
      <w:r>
        <w:rPr>
          <w:rFonts w:ascii="Arial" w:cs="Arial" w:eastAsia="Arial" w:hAnsi="Arial"/>
          <w:sz w:val="16"/>
          <w:szCs w:val="16"/>
          <w:color w:val="auto"/>
        </w:rPr>
        <w:t xml:space="preserve"> In Spring 2004, the Company launched a national marketing campaign introducing its George Foreman clothing collections. Based on the positive response and the Company’s interest to grow the product lines, in June 2004 the Company expanded its license agreement for the exclusive rights to the George Foreman clothing collection to include worldwide rights. At the same time, two additional three-year extension options were added to the license agreement, potentially extending the relationship to 2018.</w:t>
      </w:r>
    </w:p>
    <w:p>
      <w:pPr>
        <w:spacing w:after="0" w:line="99" w:lineRule="exact"/>
        <w:rPr>
          <w:rFonts w:ascii="Arial" w:cs="Arial" w:eastAsia="Arial" w:hAnsi="Arial"/>
          <w:sz w:val="16"/>
          <w:szCs w:val="16"/>
          <w:color w:val="auto"/>
        </w:rPr>
      </w:pPr>
    </w:p>
    <w:p>
      <w:pPr>
        <w:ind w:left="900" w:right="220" w:hanging="446"/>
        <w:spacing w:after="0" w:line="24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Divesture of its Other Branded Apparel Businesses</w:t>
      </w:r>
      <w:r>
        <w:rPr>
          <w:rFonts w:ascii="Arial" w:cs="Arial" w:eastAsia="Arial" w:hAnsi="Arial"/>
          <w:sz w:val="17"/>
          <w:szCs w:val="17"/>
          <w:color w:val="auto"/>
        </w:rPr>
        <w:t>. In July 2004, the Company sold its interest in its Ecko Joint Venture to Ecko.Complex, LLC and in November 2004, the Company completed the wind-down of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through the sale of 32 of its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Hub Holding Corp., an affiliate of Sun Capital Partners, Inc. The combined proceeds from both of these transactions approximated $21.0 million and are more fully discussed under “Management’s Discussion and Analysis of Financial Condition and Results of Operations – Executive Overview.” The completion of these two transactions resulted in the Company being able to focus its attention solely on its strategic plan to be the premier global operator in the Big &amp; Tall market.</w:t>
      </w:r>
    </w:p>
    <w:p>
      <w:pPr>
        <w:spacing w:after="0" w:line="138" w:lineRule="exact"/>
        <w:rPr>
          <w:rFonts w:ascii="Arial" w:cs="Arial" w:eastAsia="Arial" w:hAnsi="Arial"/>
          <w:sz w:val="17"/>
          <w:szCs w:val="17"/>
          <w:color w:val="auto"/>
        </w:rPr>
      </w:pPr>
    </w:p>
    <w:p>
      <w:pPr>
        <w:jc w:val="both"/>
        <w:ind w:left="900" w:right="2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Systems Implementation</w:t>
      </w:r>
      <w:r>
        <w:rPr>
          <w:rFonts w:ascii="Arial" w:cs="Arial" w:eastAsia="Arial" w:hAnsi="Arial"/>
          <w:sz w:val="18"/>
          <w:szCs w:val="18"/>
          <w:color w:val="auto"/>
        </w:rPr>
        <w:t>. In July 2004, after extensive planning and testing, the Company completed its first phase of its information technology infrastructure plan by fully implementing its new merchandising and distribution applications. These new systems greatly enhance the Company’s merchandise and inventory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4" w:lineRule="auto"/>
        <w:rPr>
          <w:sz w:val="20"/>
          <w:szCs w:val="20"/>
          <w:color w:val="auto"/>
        </w:rPr>
      </w:pPr>
      <w:r>
        <w:rPr>
          <w:rFonts w:ascii="Arial" w:cs="Arial" w:eastAsia="Arial" w:hAnsi="Arial"/>
          <w:sz w:val="18"/>
          <w:szCs w:val="18"/>
          <w:color w:val="auto"/>
        </w:rPr>
        <w:t>management capabilities, and enable more effective and efficient distribution to the Company’s stores and customers. Furthermore, having completed the first phase of its infrastructure plan, the Company proceeded with its plan to update its obsolete point-of-sale store systems, install a customer relationship management application to more effectively manage and utilize its customer database and introduce a loyalty program, implement a store channel and merchandise assortment planning tool to micro-manage its store merchandise assortments to optimize the sales performance of its store locations, and transition its direct-to-consumer business onto the same systems platform as its retail business to the benefit of its customers for a seamless multi-channel operation.</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Since the Casual Male acquisition, the Company had operated in two segments, its “Casual Male business” and its “Other Branded Apparel businesses.” With the completion of the sales of its Other Branded Apparel businesses and the acquisition of Rochester, beginning in fiscal 2005, the Company will operate as a single segment, “Big &amp; Tall Apparel Business.” This segment will include the operations of both its Casual Male and Rochester businesses.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BIG &amp; TALL APPAREL BUSINESSES</w:t>
      </w:r>
    </w:p>
    <w:p>
      <w:pPr>
        <w:spacing w:after="0" w:line="158"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Company is a multi-channel retailer offering high quality apparel for the big &amp; tall customer. The Company offers its merchandise to customers through diverse selling and marketing channels, including over 492 retail and outlet stores, which operate under the names “Casual Male Big &amp; Tall</w:t>
      </w:r>
      <w:r>
        <w:rPr>
          <w:rFonts w:ascii="Arial" w:cs="Arial" w:eastAsia="Arial" w:hAnsi="Arial"/>
          <w:sz w:val="21"/>
          <w:szCs w:val="21"/>
          <w:color w:val="auto"/>
          <w:vertAlign w:val="superscript"/>
        </w:rPr>
        <w:t>®</w:t>
      </w:r>
      <w:r>
        <w:rPr>
          <w:rFonts w:ascii="Arial" w:cs="Arial" w:eastAsia="Arial" w:hAnsi="Arial"/>
          <w:sz w:val="17"/>
          <w:szCs w:val="17"/>
          <w:color w:val="auto"/>
        </w:rPr>
        <w:t>” and “Casual Male Big &amp; Tall Outlet” stores, 22 retail stores operating under the name “Rochester Big &amp; Tall”, its catalogs and e-commerce sites. The Casual Male customer is a consumer of primarily moderately priced branded and private label casual sportswear and dresswear. The Rochester customer is a consumer of fine quality, designer and branded menswear, priced at exceptional value and supported with excellent customer service.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NPD Group, a leading marketing information provider, estimates that the men’s big &amp; tall apparel market, which includes pants with a waist size 44” and greater, as well as tops sized 1X and greater, generated approximately $5.3 billion in sales in 2002. This highly fragmented market represents approximately 13% of the overall men’s apparel business. In 2002, sales of men’s big &amp; tall apparel increased 1.4%, while overall men’s apparel sales declined 0.7%. Growth in this segment has been driven by rapidly changing market demographics. In fiscal 2002, 64% of U.S. adults were overweight or obese, up from 56% six years prior. Additionally, in 2001, 49 states classified 15% or more of their total adult population as obese, versus four states in 1991. Moreover, 29 states classified 20% or more of their total adult population as obese. According to the Center for Disease Control, the rate of obesity for the under-30 age group is growing faster than any other segment of the population. These statistics suggest that there is a significant gap between the market share of the big &amp; tall apparel market and the overall percentage of the population classified as obese.</w:t>
      </w:r>
    </w:p>
    <w:p>
      <w:pPr>
        <w:spacing w:after="0" w:line="105"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The men’s big &amp; tall apparel market is currently served by a variety of retailers, including department stores, mass merchandisers and specialty stores. These stores typically offer a limited assortment of sizes and styles. By offering the widest selection of sizes and styles, the specialty channel has gained significant market share, accounting for 26.2% of men’s big &amp; tall apparel sales in 2002 versus 22.7% in 1998.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Multi-Channel Strategy</w:t>
      </w:r>
    </w:p>
    <w:p>
      <w:pPr>
        <w:spacing w:after="0" w:line="15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strategy is to appeal to all of its customers by providing multiple ways to shop. The Casual Male customer is often a destination shopper when it comes to purchasing apparel for himself. For customers that are somewhat uncomfortable in a traditional shopping environment, the Company offers them the opportunity to shop through its catalogs and e-commerce sites.</w:t>
      </w:r>
    </w:p>
    <w:p>
      <w:pPr>
        <w:spacing w:after="0" w:line="12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Casual Male Big &amp; Tall retail stores. </w:t>
      </w:r>
      <w:r>
        <w:rPr>
          <w:rFonts w:ascii="Arial" w:cs="Arial" w:eastAsia="Arial" w:hAnsi="Arial"/>
          <w:sz w:val="16"/>
          <w:szCs w:val="16"/>
          <w:color w:val="auto"/>
        </w:rPr>
        <w:t>At January 29, 2005, the Company operated 424 Casual Male Big &amp; Tall full-price retail stores, located primarily in strip</w:t>
      </w:r>
      <w:r>
        <w:rPr>
          <w:rFonts w:ascii="Arial" w:cs="Arial" w:eastAsia="Arial" w:hAnsi="Arial"/>
          <w:sz w:val="16"/>
          <w:szCs w:val="16"/>
          <w:i w:val="1"/>
          <w:iCs w:val="1"/>
          <w:color w:val="auto"/>
        </w:rPr>
        <w:t xml:space="preserve"> </w:t>
      </w:r>
      <w:r>
        <w:rPr>
          <w:rFonts w:ascii="Arial" w:cs="Arial" w:eastAsia="Arial" w:hAnsi="Arial"/>
          <w:sz w:val="16"/>
          <w:szCs w:val="16"/>
          <w:color w:val="auto"/>
        </w:rPr>
        <w:t>centers, power centers or stand-alone locations. These stores target the middle-income customer seeking good quality at moderate prices. These stores offer a broad selection of basic sportswear, other casual apparel, dress wear, accessories as well as a full collection of the Company’s exclusive George Foreman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collections. The average Casual Male store is approximately 3,450 square feet and has approximately $181 in sales per square foot annually.</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Casual Male Big &amp; Tall outlet stores</w:t>
      </w:r>
      <w:r>
        <w:rPr>
          <w:rFonts w:ascii="Arial" w:cs="Arial" w:eastAsia="Arial" w:hAnsi="Arial"/>
          <w:sz w:val="16"/>
          <w:szCs w:val="16"/>
          <w:color w:val="auto"/>
        </w:rPr>
        <w:t>. At January 29, 2005, the Company operated 68 Casual Male Big &amp; Tall outlet stores designed to offer a wide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casual clothing for the big &amp; tall customer at prices that are generally 20-25% lower than those offered at it retail stores. Most of the merchandise in the Company’s outlet stores is offered with the purchasing interests of the value-oriented customer in mind. Approximately 20% of the merchandise in the outlet stores originates from the retail stores and serves as a distribution channel for clearance and other slow moving inventory. The average Casual Male outlet store is approximately 3,150 square feet and has approximately $166 in sales per square foot annually.</w:t>
      </w:r>
    </w:p>
    <w:p>
      <w:pPr>
        <w:spacing w:after="0" w:line="10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Rochester Big &amp; Tall retail stores</w:t>
      </w:r>
      <w:r>
        <w:rPr>
          <w:rFonts w:ascii="Arial" w:cs="Arial" w:eastAsia="Arial" w:hAnsi="Arial"/>
          <w:sz w:val="16"/>
          <w:szCs w:val="16"/>
          <w:color w:val="auto"/>
        </w:rPr>
        <w:t>. At January 29, 2005, the Company operated 22 Rochester Big &amp; Tall retail stores, located in major cities through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and one store in London England. The Rochester Big &amp; Tall stores provide the customer with high end merchandise from well recognized brands. The average Rochester store is approximately 7,800 square feet and has approximately $390 in sales per square foot annually.</w:t>
      </w:r>
    </w:p>
    <w:p>
      <w:pPr>
        <w:spacing w:after="0" w:line="9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Casual Male at Sears Canada stores. </w:t>
      </w:r>
      <w:r>
        <w:rPr>
          <w:rFonts w:ascii="Arial" w:cs="Arial" w:eastAsia="Arial" w:hAnsi="Arial"/>
          <w:sz w:val="16"/>
          <w:szCs w:val="16"/>
          <w:color w:val="auto"/>
        </w:rPr>
        <w:t>At January 29, 2005, the Company operated 13 Casual Male stores located within Sears Canada stores. The average Sears</w:t>
      </w:r>
      <w:r>
        <w:rPr>
          <w:rFonts w:ascii="Arial" w:cs="Arial" w:eastAsia="Arial" w:hAnsi="Arial"/>
          <w:sz w:val="16"/>
          <w:szCs w:val="16"/>
          <w:i w:val="1"/>
          <w:iCs w:val="1"/>
          <w:color w:val="auto"/>
        </w:rPr>
        <w:t xml:space="preserve"> </w:t>
      </w:r>
      <w:r>
        <w:rPr>
          <w:rFonts w:ascii="Arial" w:cs="Arial" w:eastAsia="Arial" w:hAnsi="Arial"/>
          <w:sz w:val="16"/>
          <w:szCs w:val="16"/>
          <w:color w:val="auto"/>
        </w:rPr>
        <w:t>Canada Casual Male store is approximately 1,150 square feet and has approximately $150 in sales per square foot annually.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For fiscal 2005, the Company intends to open a combination of 10 new Casual Male outlet and retail stores and 3 new Rochester Big &amp; Tall retail stores.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2004, the Company implemented a remodeling program to update between 300 to 350 of its aging Casual Male Big &amp; Tall retail stores over a two year period. The remodeling program includes replacing carpeting, repainting the store and otherwise repairing parts of the store, where needed. In addition, certain stores received updated fixtures and signage to maintain consistent presentation standards. During fiscal 2004, the Company completed the remodel of 158 of its Casual Male Big &amp; Tall retail stores. To date, the average cost to remodel these stores approximated $40,000 per store. The Company anticipates that it will remodel an additional 50 stores in fiscal 2005.</w:t>
      </w:r>
    </w:p>
    <w:p>
      <w:pPr>
        <w:spacing w:after="0" w:line="12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Catalogs</w:t>
      </w:r>
      <w:r>
        <w:rPr>
          <w:rFonts w:ascii="Arial" w:cs="Arial" w:eastAsia="Arial" w:hAnsi="Arial"/>
          <w:sz w:val="16"/>
          <w:szCs w:val="16"/>
          <w:color w:val="auto"/>
        </w:rPr>
        <w:t>. The Company’s “Casual Male Big &amp; Tall” catalog offers an assortment of merchandise similar to what is available in the stores, but also offers a</w:t>
      </w:r>
      <w:r>
        <w:rPr>
          <w:rFonts w:ascii="Arial" w:cs="Arial" w:eastAsia="Arial" w:hAnsi="Arial"/>
          <w:sz w:val="16"/>
          <w:szCs w:val="16"/>
          <w:i w:val="1"/>
          <w:iCs w:val="1"/>
          <w:color w:val="auto"/>
        </w:rPr>
        <w:t xml:space="preserve"> </w:t>
      </w:r>
      <w:r>
        <w:rPr>
          <w:rFonts w:ascii="Arial" w:cs="Arial" w:eastAsia="Arial" w:hAnsi="Arial"/>
          <w:sz w:val="16"/>
          <w:szCs w:val="16"/>
          <w:color w:val="auto"/>
        </w:rPr>
        <w:t>broader selection of brands, styles and sizes. The Company issued 23 editions of its catalog in fiscal 2004 and circulated a total of 5.5 million catalogs producing over $5.00 of sales per book. In fiscal 2005, the Company intends to increase the number of editions and increase its circulation by approximately 20%. Beginning in March 2005, the Company will for the first time include approximately 880,000 of its retail store customers in its catalog distribution.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In fiscal 2004, the Company introduced the Premier catalog focusing on extended lines of national designer brands carried in the Casual Male Big &amp; Tall catalog.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premier catalog offered increased assortments in Cutter &amp; Buck, Axis, Polo Ralph Lauren, George Forman Signature and other national brands.</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fiscal 2004, the Company completed the phase out of the Repp Big &amp; Tall catalog. The Repp Big &amp; Tall catalog was an extension of the Repp Ltd. Big &amp; Tall stores, which were previously owned and subsequently closed by Casual Male Corp., prior to the Company’s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Rochester acquisition, the Company also acquired the “Rochester Big &amp; Tall” catalog business. Because there are currently only 22 Rochester Big</w:t>
      </w:r>
    </w:p>
    <w:p>
      <w:pPr>
        <w:spacing w:after="0" w:line="38" w:lineRule="exact"/>
        <w:rPr>
          <w:sz w:val="20"/>
          <w:szCs w:val="20"/>
          <w:color w:val="auto"/>
        </w:rPr>
      </w:pPr>
    </w:p>
    <w:p>
      <w:pPr>
        <w:jc w:val="both"/>
        <w:ind w:right="240" w:firstLine="8"/>
        <w:spacing w:after="0" w:line="302" w:lineRule="auto"/>
        <w:tabs>
          <w:tab w:leader="none" w:pos="181" w:val="left"/>
        </w:tabs>
        <w:numPr>
          <w:ilvl w:val="0"/>
          <w:numId w:val="5"/>
        </w:numPr>
        <w:rPr>
          <w:rFonts w:ascii="Arial" w:cs="Arial" w:eastAsia="Arial" w:hAnsi="Arial"/>
          <w:sz w:val="16"/>
          <w:szCs w:val="16"/>
          <w:color w:val="auto"/>
        </w:rPr>
      </w:pPr>
      <w:r>
        <w:rPr>
          <w:rFonts w:ascii="Arial" w:cs="Arial" w:eastAsia="Arial" w:hAnsi="Arial"/>
          <w:sz w:val="16"/>
          <w:szCs w:val="16"/>
          <w:color w:val="auto"/>
        </w:rPr>
        <w:t>Tall retail locations, which may not be accessible for many of the Rochester customers, Rochester’s catalog business is a significant portion of its Rochester business. The catalog offers an assortment of clothing that is similar to what can found in its retail stores, with a broader selection in most cases. The Company intends to mail approximately 5 million Rochester Big &amp; Tall catalogs during fiscal 2005 estimated to generate over $3.50 per book.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part of the phase out of the Repp catalog, the Company was only able to convert 20% of its customers to the Casual Male Big &amp; Tall catalogs. Due to the higher end merchandise that Rochester carries, the Company believes that the “Rochester Big &amp; Tall” catalog will appeal more to its Repp catalog customers. As such, one of the benefits of the Rochester acquisition will be the sharing of its customer lists. In Spring 2005, the Company will send its “Rochester Big &amp; Tall” catalog to its 130,000 previous Repp catalog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In-bound calls and order fulfillment for the Company’s catalog are currently handled at its distribution center. See “Distribution” below.</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i w:val="1"/>
          <w:iCs w:val="1"/>
          <w:color w:val="auto"/>
        </w:rPr>
        <w:t>E-Commerce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xml:space="preserve">The Company currently has two e-commerce websites: </w:t>
      </w:r>
      <w:r>
        <w:rPr>
          <w:rFonts w:ascii="Arial" w:cs="Arial" w:eastAsia="Arial" w:hAnsi="Arial"/>
          <w:sz w:val="15"/>
          <w:szCs w:val="15"/>
          <w:u w:val="single" w:color="auto"/>
          <w:color w:val="auto"/>
        </w:rPr>
        <w:t>www.casualmale.com</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www.rochesterclothing.com</w:t>
      </w:r>
      <w:r>
        <w:rPr>
          <w:rFonts w:ascii="Arial" w:cs="Arial" w:eastAsia="Arial" w:hAnsi="Arial"/>
          <w:sz w:val="15"/>
          <w:szCs w:val="15"/>
          <w:color w:val="auto"/>
        </w:rPr>
        <w:t>.</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Casual Male site offers substantially the same merchandise as is offered in its Casual Male and Premier catalogs. The Company currently processes and fulfills orders from its website through its distribution center. The Company sees the internet as a significant growth opportunity. During fiscal 2004, the Casual Male website had a sales increase of 57% which followed a 49% increase from the prior year.</w:t>
      </w:r>
    </w:p>
    <w:p>
      <w:pPr>
        <w:spacing w:after="0" w:line="12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The Company anticipates that this e-commerce website will continue to grow and is exploring other business opportunities and relationships. On March 1, 2005, the Company acquired the domain name </w:t>
      </w:r>
      <w:r>
        <w:rPr>
          <w:rFonts w:ascii="Arial" w:cs="Arial" w:eastAsia="Arial" w:hAnsi="Arial"/>
          <w:sz w:val="18"/>
          <w:szCs w:val="18"/>
          <w:u w:val="single" w:color="auto"/>
          <w:color w:val="auto"/>
        </w:rPr>
        <w:t>www.bigandtall.com</w:t>
      </w:r>
      <w:r>
        <w:rPr>
          <w:rFonts w:ascii="Arial" w:cs="Arial" w:eastAsia="Arial" w:hAnsi="Arial"/>
          <w:sz w:val="18"/>
          <w:szCs w:val="18"/>
          <w:color w:val="auto"/>
        </w:rPr>
        <w:t>. This site will be integrated with both the Casual Male and Rochester websites and is expected to generate additional traffic.</w:t>
      </w:r>
    </w:p>
    <w:p>
      <w:pPr>
        <w:spacing w:after="0" w:line="127" w:lineRule="exact"/>
        <w:rPr>
          <w:sz w:val="20"/>
          <w:szCs w:val="20"/>
          <w:color w:val="auto"/>
        </w:rPr>
      </w:pPr>
    </w:p>
    <w:p>
      <w:pPr>
        <w:ind w:right="2000"/>
        <w:spacing w:after="0" w:line="422" w:lineRule="auto"/>
        <w:rPr>
          <w:sz w:val="20"/>
          <w:szCs w:val="20"/>
          <w:color w:val="auto"/>
        </w:rPr>
      </w:pPr>
      <w:r>
        <w:rPr>
          <w:rFonts w:ascii="Arial" w:cs="Arial" w:eastAsia="Arial" w:hAnsi="Arial"/>
          <w:sz w:val="18"/>
          <w:szCs w:val="18"/>
          <w:color w:val="auto"/>
        </w:rPr>
        <w:t xml:space="preserve">Similar to the Repp Catalog, the company completed the closure of its Repp Big &amp; Tall website during the first quarter of fiscal 2005. </w:t>
      </w:r>
      <w:r>
        <w:rPr>
          <w:rFonts w:ascii="Arial" w:cs="Arial" w:eastAsia="Arial" w:hAnsi="Arial"/>
          <w:sz w:val="18"/>
          <w:szCs w:val="18"/>
          <w:b w:val="1"/>
          <w:bCs w:val="1"/>
          <w:i w:val="1"/>
          <w:iCs w:val="1"/>
          <w:color w:val="auto"/>
        </w:rPr>
        <w:t>Merchandise</w:t>
      </w:r>
    </w:p>
    <w:p>
      <w:pPr>
        <w:spacing w:after="0" w:line="1" w:lineRule="exact"/>
        <w:rPr>
          <w:sz w:val="20"/>
          <w:szCs w:val="20"/>
          <w:color w:val="auto"/>
        </w:rPr>
      </w:pPr>
    </w:p>
    <w:p>
      <w:pPr>
        <w:spacing w:after="0" w:line="318" w:lineRule="auto"/>
        <w:rPr>
          <w:sz w:val="20"/>
          <w:szCs w:val="20"/>
          <w:color w:val="auto"/>
        </w:rPr>
      </w:pPr>
      <w:r>
        <w:rPr>
          <w:rFonts w:ascii="Arial" w:cs="Arial" w:eastAsia="Arial" w:hAnsi="Arial"/>
          <w:sz w:val="15"/>
          <w:szCs w:val="15"/>
          <w:u w:val="single" w:color="auto"/>
          <w:color w:val="auto"/>
        </w:rPr>
        <w:t>Casual Male Business</w:t>
      </w:r>
      <w:r>
        <w:rPr>
          <w:rFonts w:ascii="Arial" w:cs="Arial" w:eastAsia="Arial" w:hAnsi="Arial"/>
          <w:sz w:val="15"/>
          <w:szCs w:val="15"/>
          <w:color w:val="auto"/>
        </w:rPr>
        <w:t>. The Casual Male stores offer an extensive selection of quality sportswear, dress clothing and footwear for the big &amp; tall male customer at moderate prices. Over 50% of the Casual Male merchandise is basic or fashion-neutral items, such as jeans, casual slacks, tee-shirts, polo shirts, dress shirts and suit separates. The Casual Male customer is primarily interested in comfort and fit, more so than price. As such, Casual Male’s clothing has features specifically designed for our customer, such as waist-relaxer pants, stretch belts, zipper ties, wide band socks, neck-relaxer shirts and clothing with comfort-stretch technology and reinforced stress points. Independent tests have shown that the Company’s merchandise is among the highest in quality of all major brands.</w:t>
      </w:r>
    </w:p>
    <w:p>
      <w:pPr>
        <w:spacing w:after="0" w:line="86"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color w:val="auto"/>
        </w:rPr>
        <w:t>During Spring 2004, the Company launched its new line of men’s big &amp; tall apparel featuring Comfort Zone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Signature Collection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GF Sport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 its Casual Male stores, catalog and on its Casual Male e-commerce site.</w:t>
      </w:r>
    </w:p>
    <w:p>
      <w:pPr>
        <w:spacing w:after="0" w:line="35" w:lineRule="exact"/>
        <w:rPr>
          <w:sz w:val="20"/>
          <w:szCs w:val="20"/>
          <w:color w:val="auto"/>
        </w:rPr>
      </w:pPr>
    </w:p>
    <w:p>
      <w:pPr>
        <w:ind w:left="900" w:right="40" w:hanging="446"/>
        <w:spacing w:after="0" w:line="23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Comfort, fit and technology are the driving force behind the creation of the Comfort Zone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apparel line. Offering exclusive features that provide comfort and performance combined with uncompromising style, now big &amp; tall men can find casualwear and dresswear that fits their lifestyle. Comfort Zone by George Foreman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apparel features Casual Male comfort technologies with our patent-pending Neck-Relaxer shirt, Waist-Relaxer pants, Jacket-Relaxer suit separates and Dry-Action wicking polo.</w:t>
      </w:r>
    </w:p>
    <w:p>
      <w:pPr>
        <w:ind w:left="900" w:right="140" w:hanging="446"/>
        <w:spacing w:after="0" w:line="30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Signature Collection unites George Foreman’s impeccable flair for style and fashion with the comfort and fit that Casual Male is known for— creating a new collection of contemporary menswear that appeals to discriminating, style-conscious big &amp; tall men. The George Foreman Signature Collection includes tuxedo separates, dress pants, sportcoats, silk shirts, sweaters and mercerized cotton tees.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George Foreman branded apparel represented approximately 28% of Casual Male’s revenues for fiscal 2004. Over the past year, the Company has converted some of its merchandise, which previously sold under its “Harbor Bay” private label, to its George Foreman collection, resulting in sales increases ranging from 20% to 50% depending on the product.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intends to continue exploring other assortment additions to the George Foreman apparel line depending on performance and adaptation of existing assortments to include comfort zone features.</w:t>
      </w:r>
    </w:p>
    <w:p>
      <w:pPr>
        <w:spacing w:after="0" w:line="118"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In addition, the Company successfully introduced several well-known brands of merchandise during fiscal 2004 with merchandise margins similar to its private label program. During fiscal 2004, this branded merchandise represented approximately 80% of the Company’s merchandise mix, which includes the George Foreman brand. The Company carries a wide range of well-known brand name merchandise including, Izod, Polo Jeans Co., Perry Ellis Portfolio</w:t>
      </w:r>
      <w:r>
        <w:rPr>
          <w:rFonts w:ascii="Arial" w:cs="Arial" w:eastAsia="Arial" w:hAnsi="Arial"/>
          <w:sz w:val="21"/>
          <w:szCs w:val="21"/>
          <w:color w:val="auto"/>
          <w:vertAlign w:val="superscript"/>
        </w:rPr>
        <w:t>®</w:t>
      </w:r>
      <w:r>
        <w:rPr>
          <w:rFonts w:ascii="Arial" w:cs="Arial" w:eastAsia="Arial" w:hAnsi="Arial"/>
          <w:sz w:val="17"/>
          <w:szCs w:val="17"/>
          <w:color w:val="auto"/>
        </w:rPr>
        <w:t>, Geoffrey Beene</w:t>
      </w:r>
      <w:r>
        <w:rPr>
          <w:rFonts w:ascii="Arial" w:cs="Arial" w:eastAsia="Arial" w:hAnsi="Arial"/>
          <w:sz w:val="21"/>
          <w:szCs w:val="21"/>
          <w:color w:val="auto"/>
          <w:vertAlign w:val="superscript"/>
        </w:rPr>
        <w:t>®</w:t>
      </w:r>
      <w:r>
        <w:rPr>
          <w:rFonts w:ascii="Arial" w:cs="Arial" w:eastAsia="Arial" w:hAnsi="Arial"/>
          <w:sz w:val="17"/>
          <w:szCs w:val="17"/>
          <w:color w:val="auto"/>
        </w:rPr>
        <w:t>, Sean John</w:t>
      </w:r>
      <w:r>
        <w:rPr>
          <w:rFonts w:ascii="Arial" w:cs="Arial" w:eastAsia="Arial" w:hAnsi="Arial"/>
          <w:sz w:val="21"/>
          <w:szCs w:val="21"/>
          <w:color w:val="auto"/>
          <w:vertAlign w:val="superscript"/>
        </w:rPr>
        <w:t>®</w:t>
      </w:r>
      <w:r>
        <w:rPr>
          <w:rFonts w:ascii="Arial" w:cs="Arial" w:eastAsia="Arial" w:hAnsi="Arial"/>
          <w:sz w:val="17"/>
          <w:szCs w:val="17"/>
          <w:color w:val="auto"/>
        </w:rPr>
        <w:t>, Sketchers</w:t>
      </w:r>
      <w:r>
        <w:rPr>
          <w:rFonts w:ascii="Arial" w:cs="Arial" w:eastAsia="Arial" w:hAnsi="Arial"/>
          <w:sz w:val="21"/>
          <w:szCs w:val="21"/>
          <w:color w:val="auto"/>
          <w:vertAlign w:val="superscript"/>
        </w:rPr>
        <w:t>®</w:t>
      </w:r>
      <w:r>
        <w:rPr>
          <w:rFonts w:ascii="Arial" w:cs="Arial" w:eastAsia="Arial" w:hAnsi="Arial"/>
          <w:sz w:val="17"/>
          <w:szCs w:val="17"/>
          <w:color w:val="auto"/>
        </w:rPr>
        <w:t>, Levi’s</w:t>
      </w:r>
      <w:r>
        <w:rPr>
          <w:rFonts w:ascii="Arial" w:cs="Arial" w:eastAsia="Arial" w:hAnsi="Arial"/>
          <w:sz w:val="21"/>
          <w:szCs w:val="21"/>
          <w:color w:val="auto"/>
          <w:vertAlign w:val="superscript"/>
        </w:rPr>
        <w:t>®</w:t>
      </w:r>
      <w:r>
        <w:rPr>
          <w:rFonts w:ascii="Arial" w:cs="Arial" w:eastAsia="Arial" w:hAnsi="Arial"/>
          <w:sz w:val="17"/>
          <w:szCs w:val="17"/>
          <w:color w:val="auto"/>
        </w:rPr>
        <w:t>, Dockers</w:t>
      </w:r>
      <w:r>
        <w:rPr>
          <w:rFonts w:ascii="Arial" w:cs="Arial" w:eastAsia="Arial" w:hAnsi="Arial"/>
          <w:sz w:val="21"/>
          <w:szCs w:val="21"/>
          <w:color w:val="auto"/>
          <w:vertAlign w:val="superscript"/>
        </w:rPr>
        <w:t>®</w:t>
      </w:r>
      <w:r>
        <w:rPr>
          <w:rFonts w:ascii="Arial" w:cs="Arial" w:eastAsia="Arial" w:hAnsi="Arial"/>
          <w:sz w:val="17"/>
          <w:szCs w:val="17"/>
          <w:color w:val="auto"/>
        </w:rPr>
        <w:t>, Calvin Klein and others. In addition, Casual Male launched an exclusive Reebok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big &amp; tall collection in Fall 2004. Accordingly, the Casual Male’s private label Harbor Bay merchandise assortments were significantly reduced during fiscal 2004, representing only 20% of the merchandise assortments.</w:t>
      </w:r>
    </w:p>
    <w:p>
      <w:pPr>
        <w:spacing w:after="0" w:line="1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Stores are merchandised to showcase entire outfits by lifestyle, including traditional, functional active, young men’s, dresswear and contemporary. This format allows the Company to merchandise key items and seasonal goods in prominent displays, makes coordinating outfits easier for the customer and encourages multi-item purchases. This lifestyle layout also allows the Company to better manage store space in each market to target local demographics. Stores are clustered to meet the demographic needs of customers by climate and ethnicity. The key item strategy is also fully integrated by lifestyle, allowing the Company to focus on merchandise presentation and offer its customers a compelling value proposition. By taking advantage of volume purchasing discounts, the Company is able to promote these key items across the entire chain without sacrificing gross margins.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initiative to add extended sizing in tall sizes in core programs for Spring 2004 has resulted in doubling the penetration of these sizes to the total.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Casual Male intends to offer additional extended sizes in core programs for fiscal 2005.</w:t>
      </w:r>
    </w:p>
    <w:p>
      <w:pPr>
        <w:spacing w:after="0" w:line="15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To improve upon the Company’s capabilities to plan and replenish its merchandise assortments according to the age and demographic characteristics of each market, Casual Male adopted the Arthur product planning methodologies in fiscal 2004, as well as installed and implemented the E3 replenishment application. Both of these applications are part of the JDA Enterprise Portfolio. These new applications have not only improved upon Casual Male’s merchandise planning capabilities, but have also enabled it to better manage size requirements for each store.</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Rochester Business</w:t>
      </w:r>
      <w:r>
        <w:rPr>
          <w:rFonts w:ascii="Arial" w:cs="Arial" w:eastAsia="Arial" w:hAnsi="Arial"/>
          <w:sz w:val="18"/>
          <w:szCs w:val="18"/>
          <w:color w:val="auto"/>
        </w:rPr>
        <w:t>. Rochester Big &amp; Tall stores carry a broad selection of quality apparel, at higher price points, from well-know branded manufacturers such as Polo Ralph Lauren, Burberry, Ermenegildo Zegna, Axis, Cutter &amp;Buck and Versace Classic. The Rochester customer is able to find a wide range of apparel from casual activewear to dressy suits. These stores cater to their customers, offering a personal shopper type experience, with experienced staff that have a strong knowledge of the merchandise and services such as on-site tailoring.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5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Company’s marketing department creates and implements a wide variety of national, regional and local advertising, direct marketing and sales promotion programs. These television, radio, direct mail and e-mail programs are designed to increase sales and customer awareness of the Casual Male brand name. A strong component to the marketing budget is direct mail campaigns to Casual Male’s customer base. Approximately 70% of all sales were captured in the Company’s customer database in fiscal 2004. This allows continuous communication with the Company’s customers both for promotional events as well as relationship programs such as the birthday club and new customer programs. The Company maintains the largest customer database of purchasers of big &amp; tall clothing. In addition, local store marketing activities occur on a regular basis and include store opening events and in-store promotion programs.</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fiscal 2004, the Company spent 50% of its marketing program in the first half of the year on television in connection with the Company’s national launch of its exclusive George Foreman clothing collections. This type of marketing was necessary in order to attract new customers and introduce them to the Casual Male brands, including its George Foreman brand product lines. With George Foreman’s name associated with Casual Male, public relations was a key element of the Spring campaign. These efforts resulted in over 100 million consumer impressions through television, print and radio ads.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second half of the year, the Company identified new ways to mine their customer database and implemented a “Reactivation” direct mail program. The program was geared toward customers who had not recently shopped one of the Company’s Casual Male stores and might not be familiar with the broad selection of well-known brands that the stores offered. The results were positive generating 50,000 former customers to visit Casual Male and purchase during the holiday 2004 season. Based of the successful performance of their direct mail program during the latter half of fiscal 2004, the Company plans to allocate approximately 73% of its fiscal 2005 marketing dollars to include continued reactivation programs as well as mailing their catalog to retail shoppers to both expose customers to the breadth of assortment at Casual Male as well as drive traffic into the stores.</w:t>
      </w:r>
    </w:p>
    <w:p>
      <w:pPr>
        <w:spacing w:after="0" w:line="10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By Fall 2005, the Company expects to have in place a new customer relationship management system, including a loyalty program. This will allow the Company to expand its level of communication, and pertinent customer information will be available at the store level, with the goal of servicing the customer better. With the customer database maintained at the corporate office, Casual Male will have daily results on its direct marking efforts and will have the ability to respond to business immediately. Casual Male in conjunction with NSB, their software partner, will be the first to develop and utilize a new customized personal digital assistant, or PDA, allowing this customer profile information to be portable on the sales floor to assist through the entire sales process.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Advertising and marketing costs for the Casual Male businesses represented approximately 7.3% of the revenue from the Casual Male business in fiscal 2004. This includes creating and distributing 5.5 million catalogs, over 25 million retail direct mail pieces and all in-store signage for its 492 Casual Male stores, as well as supporting e-commerce efforts.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Big &amp; Tall Apparel specialty business faces competition from a variety of sources, including department stores, other specialty stores, discount and off-price retailers, as well as other retailers that sell big &amp; tall merchandise. While the Company has successfully competed on the basis of merchandise selection, favorable pricing, customer service and desirable store locations, there can be no assurances that other retailers will not adopt purchasing and marketing concepts similar to those of the Company. In addition, discount retailers with significant buying power, such as Wal-Mart, J.C. Penny and Target, represent a source of competition for the Company.</w:t>
      </w:r>
    </w:p>
    <w:p>
      <w:pPr>
        <w:spacing w:after="0" w:line="1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United States men’s big &amp; tall apparel market is highly competitive with many national and regional department stores, specialty apparel retailers, single market operators and discount stores offering a broad range of apparel products similar to those of the Company. Besides retail competitors, the Company considers any casual apparel manufacturer operating in outlet malls throughout the United States to be a competitor in the casual apparel market. The Company believes that it is the only national operator of apparel stores focused on the men’s big &amp; tall market, the next largest specialty retailer being Dahle’s, which operates 12 stores.</w:t>
      </w:r>
    </w:p>
    <w:p>
      <w:pPr>
        <w:spacing w:after="0" w:line="12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catalog business has several competitors, including the King Size Catalog (which is owned by Redcats USA, a wholly owned subsidiary of Pinault-Printemps-Redoute, SA of France ) and J.C. Penny’s Big &amp; Tall Collection catalog.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of the Company’s distribution operations are centralized in the Company’s headquarters and distribution center located in Canton, Massachusetts.</w:t>
      </w:r>
    </w:p>
    <w:p>
      <w:pPr>
        <w:spacing w:after="0" w:line="181" w:lineRule="exact"/>
        <w:rPr>
          <w:sz w:val="20"/>
          <w:szCs w:val="20"/>
          <w:color w:val="auto"/>
        </w:rPr>
      </w:pPr>
    </w:p>
    <w:p>
      <w:pPr>
        <w:jc w:val="both"/>
        <w:ind w:right="280"/>
        <w:spacing w:after="0" w:line="335" w:lineRule="auto"/>
        <w:rPr>
          <w:sz w:val="20"/>
          <w:szCs w:val="20"/>
          <w:color w:val="auto"/>
        </w:rPr>
      </w:pPr>
      <w:r>
        <w:rPr>
          <w:rFonts w:ascii="Arial" w:cs="Arial" w:eastAsia="Arial" w:hAnsi="Arial"/>
          <w:sz w:val="15"/>
          <w:szCs w:val="15"/>
          <w:color w:val="auto"/>
        </w:rPr>
        <w:t>The Company believes that having one centralized distribution facility minimizes the delivered cost of merchandise and maximizes the in-stock position of its stores. The Company believes that the centralized distribution system enables its stores to maximize selling space by reducing necessary levels of back-room stock carried in each store. In addition, the distribution center provides order fulfillment services for the Company’s e-commerce and catalog businesses.</w:t>
      </w:r>
    </w:p>
    <w:p>
      <w:pPr>
        <w:spacing w:after="0" w:line="7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fiscal 2003, the Company partnered with United Parcel Services (“UPS”) to improve upon its distribution methods and reduce shipping costs as a result of not having to use third party trucking companies. By utilizing UPS, the Company is able to track all deliveries from the warehouse to the individual stores, including the status of in-transit shipments.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In fiscal 2004, the Company implemented Manhattan Associates’ PKMS warehousing application for its distribution center systems, which is expected to significantly streamline its distribution processes, enhance in-transit times, and significantly reduce distribution costs. In addition, Casual Male has slightly altered its distribution strategy as it relates to seasonal merchandise to allow for replenishment of styles at the color and size level which is intended to optimize sales opportunities and minimize end of season clearance markdowns. This seasonal merchandise distribution strategy requires significantly higher volume of individual piece processing, a more costly distribution method in contrast to carton handling. However, in conjunction with the installation of a more efficient PKMS warehousing application, the Company also updated its processes in order to optimize the new system capabilities in areas such as receiving, cross-dock handling, put-away, and picking which will include the use of scanning equipment. Accordingly, in spite of the shift in distribution strategy to include the more costly piece replenishment, Casual Male’s distribution costs are expected to decrease with the installation of new systems and the adoption of updated process flows.</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Currently, the Company’s recently acquired Rochester business does not benefit from these enhanced warehousing systems. Prior to the Company’s acquisition, the Rochester stores received a significant portion of their merchandise as drop-shipments from various vendors and were only receiving deliveries approximately once a month, resulting in frequent out-of-stock positions and poor inventory management. Even though the Rochester business has not been fully integrated with the Company’s new warehousing applications, the stores have been added to the distribution rotation enabling them to receive merchandise twice a week. Once the Rochester stores are fully integrated into the Company’s infrastructure, which is planned for the third quarter of fiscal 2005, the Company believes that there will be significant cost savings and a more effective inventory management system.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Since the Company’s acquisition of the Casual Male business in May 2002, one of the Company’s primary goals has been to upgrade and enhance legacy systems with best practice applications to enable substantial operating efficiencies.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the time of the acquisition, the Casual Male business operated primarily on an IBM mainframe platform. The mainframe based system included an internally supported enterprise retail system and a human resource/payroll application. The Company’s then-existing e-commerce/catalog fulfillment infrastructure operated on a Hewlett-Packard environment on software from Ecometry, and the remainder of its business operated on an IBM AS/400 platform. The Company’s financial systems were supported by a client server environment.</w:t>
      </w:r>
    </w:p>
    <w:p>
      <w:pPr>
        <w:spacing w:after="0" w:line="130"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Presently, the Company’s management information systems consist of a full range of retail merchandising and financial systems which include merchandise planning and reporting, distribution center processing, inventory allocation, sales reporting, and financial processing and reporting. The Company’s system integration project has been completed. The Company’s Casual Male business operates primarily on an IBM AS/400 platform, with the e-commerce/catalog business on the HP environment.</w:t>
      </w:r>
    </w:p>
    <w:p>
      <w:pPr>
        <w:spacing w:after="0" w:line="13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February 2003, the Company completed the conversion of the Casual Male business to its Lawson Financial System. Management now has several tools with which to manage the business on a consolidated level in a more efficient and effective manner. During fiscal 2003, the Company implemented the JDA E3 Advanced Replenishment system for the Casual Male business. This system was integrated with the existing Casual Male business mainframe platform in an effort to improve sales opportunities and better manage inventories of basic merchandise.</w:t>
      </w:r>
    </w:p>
    <w:p>
      <w:pPr>
        <w:spacing w:after="0" w:line="9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During fiscal 2004, the Company completed the systems integration work to upgrade its merchandising systems to the JDA Portfolio Solutions, specifically the MMS Merchandise Management System, E3 Advanced Replenishment, Retail Ideas Data Warehouse, and Arthur Merchandise Planning and Advanced Allocation systems. In addition, the Company also converted its distribution system to Manhattan Associates’ PKMS distribution system. With these systems in place, the Company is now implementing advanced planning methodologies allowing the Company to manage product assortments down to the store level.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To implement these initiatives, the Company spent approximately $14.0 million since the acquisition, primarily on system enhancement, implementation and maintenance. With the systems fully implemented, the Company expects to be able to improve sales, better manage inventory levels and streamline operations by:</w:t>
      </w:r>
    </w:p>
    <w:p>
      <w:pPr>
        <w:spacing w:after="0" w:line="4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Sharing information with vendors through EDI (electronic data interchange);</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merchandise in-transit times;</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Creating more advanced methods to replenish inventory;</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information databases and data availability;</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methods of inventory management and planning;</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Enhancing distribution productivity and capacity;</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Planning store merchandise assortments; and</w:t>
      </w:r>
    </w:p>
    <w:p>
      <w:pPr>
        <w:spacing w:after="0" w:line="3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Reducing MIS related corporate overhead.</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Currently, all of the Company’s stores have point-of-sale terminals supplied by Fujitsu and NCR. The Casual Male business is supported by a point-of-sale (“POS”) business application provided by Triversity. The POS applications capture daily transaction information by item, color and size. The Company utilizes barcode technology in tracking sales, inventory and pricing information. Communication between the corporate headquarters and all stores is facilitated on a daily basis through the use of an electronic mail system.</w:t>
      </w:r>
    </w:p>
    <w:p>
      <w:pPr>
        <w:spacing w:after="0" w:line="13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has already moved into the second phase of its plan, which includes upgrading to a state-of-the-art POS and register system in all of its Casual Male store locations. This new system will include a multitude of features including Customer Relationship Management (“CRM”) tools that will enable the Company to track customer buying habits and provide it with the ability to target customers with specific offers and promotions. In March 2004, the Company announced that it signed a license agreement with NSB Group for its Connected Retailer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 and Customer Relationship Management Solutions. Once installed, the Company will be able to roll-out its plan for an effective loyalty program for its customers, the goal of which is to have a million customers involved in the program by the end of fiscal 2005. The Company expects the roll-out of this project to its stores will begin in Spring 2005 and expects it to be completed during Summer 2005. The Company believes that these efforts can lead to new customers as well as a more loyal customer base. Once complete, the Company’s sales associates will have an array of information available about their customers. Through the use of wireless, hand-held PDAs, the Company’s sales associates will be able to access the CRM database real-time providing them with valuable information on each customer’s buying patters, preferences and sizes. This project is anticipated to cost approximately $5.0 million.</w:t>
      </w:r>
    </w:p>
    <w:p>
      <w:pPr>
        <w:spacing w:after="0" w:line="1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merchandising management systems are updated daily with all store transactions and provide daily sales, inventory, pricing and merchandise information and management reports to assist the Company in operating its retail business. The Company’s merchandising system applications also facilitate the placement and tracking of purchase orders and utilize EDI technology. The Company evaluates this information, together with weekly reports on merchandise statistics, prior to making decisions regarding reorders of fast-selling items and the allocation of merchandise.</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Company’s Rochester business is currently supported by AS/400 applications that are over 20 years old. The Company plans to convert the Rochester stores to the Casual Male system environment by the third quarter of fiscal 2005.</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utilizes a Microsoft 2000 Server / Windows 2000 Desktop environment running on a local area network to communicate and work-share within its corporate headquarters. The Company also utilizes the services of ADP, an outside payroll processing provider, to prepare, distribute and report its weekly payroll.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INNOVATIONS, INC.</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LP Innovations, Inc. (“LPI”), an 85% owned subsidiary of the Company, which was acquired by the Company in May 2002 as part of its Casual Male acquisition, is a national provider of loss prevention solutions to companies in the retail industry. LPI’s loss prevention services include in-store audits, employee investigations, employee training and awareness, and specially designed software. Through LPI’s subsidiary, Securex LLC (“Securex”), LPI also sells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installs security equipment and alarm and security central monitoring, allowing LPI to provide a comprehensive loss prevention solution to its clients.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LPI’s clients have historically included small, mid-sized and large retail chains in the specialty, grocery, apparel, office supplies, sporting goods and numerous other segments of the retail industry. LPI currently has approximately 60 loss prevention retail clients representing over 5,000 retail locations. In excess of 65% of these retail clients have contracted for a component of LPI’s full outsource loss prevention services, while the balance of the retail clients have contracted for individual services, such as in-store audits or in-store employee investigation. For fiscal year 2004, LPI generated total revenues of approximately $11.5 million and a net loss of approximately $1.2 million. Loss prevention services generated revenues of approximately $7.7 million, or 67.3% of LPI’s total revenues, with the remaining $3.8 million generated by Securex. Included in LPI’s total revenues of $11.5 million are revenues of $1.4 million generated by services provided to the Company by LPI, or 12.0% of total revenues. Such intercompany transactions between LPI and the Company are eliminated for purposes of consolidation.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Consistent with the retail industry, the Company’s business is seasonal, traditionally generating the largest volume of its sales during the Father’s Day selling season in June and the Christmas selling season in December. The Casual Male outlet business traditionally generate the largest volume volumes during the back-to-school selling season in August and the Christmas selling season in December. The majority of the Company’s operating income is generated in the fourth quarter as a result of the impact of the Christmas selling season.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TRADEMARKS/TRADEMARK LICENSE AGREEMENTS</w:t>
      </w:r>
    </w:p>
    <w:p>
      <w:pPr>
        <w:spacing w:after="0" w:line="15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owns several servicemarks and trademarks relating to its Casual Male business, including Casual Male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“Casual Male Big &amp; Tall</w:t>
      </w:r>
      <w:r>
        <w:rPr>
          <w:rFonts w:ascii="Arial" w:cs="Arial" w:eastAsia="Arial" w:hAnsi="Arial"/>
          <w:sz w:val="22"/>
          <w:szCs w:val="22"/>
          <w:color w:val="auto"/>
          <w:vertAlign w:val="superscript"/>
        </w:rPr>
        <w:t>®</w:t>
      </w:r>
      <w:r>
        <w:rPr>
          <w:rFonts w:ascii="Arial" w:cs="Arial" w:eastAsia="Arial" w:hAnsi="Arial"/>
          <w:sz w:val="18"/>
          <w:szCs w:val="18"/>
          <w:color w:val="auto"/>
        </w:rPr>
        <w:t>”, “Rochester Big &amp; Tall”, “Rochester Sport”, “Harbor Bay</w:t>
      </w:r>
      <w:r>
        <w:rPr>
          <w:rFonts w:ascii="Arial" w:cs="Arial" w:eastAsia="Arial" w:hAnsi="Arial"/>
          <w:sz w:val="22"/>
          <w:szCs w:val="22"/>
          <w:color w:val="auto"/>
          <w:vertAlign w:val="superscript"/>
        </w:rPr>
        <w:t>®</w:t>
      </w:r>
      <w:r>
        <w:rPr>
          <w:rFonts w:ascii="Arial" w:cs="Arial" w:eastAsia="Arial" w:hAnsi="Arial"/>
          <w:sz w:val="18"/>
          <w:szCs w:val="18"/>
          <w:color w:val="auto"/>
        </w:rPr>
        <w:t>”, “GF Sport By George Foreman</w:t>
      </w:r>
      <w:r>
        <w:rPr>
          <w:rFonts w:ascii="Arial" w:cs="Arial" w:eastAsia="Arial" w:hAnsi="Arial"/>
          <w:sz w:val="22"/>
          <w:szCs w:val="22"/>
          <w:color w:val="auto"/>
          <w:vertAlign w:val="superscript"/>
        </w:rPr>
        <w:t>™</w:t>
      </w:r>
      <w:r>
        <w:rPr>
          <w:rFonts w:ascii="Arial" w:cs="Arial" w:eastAsia="Arial" w:hAnsi="Arial"/>
          <w:sz w:val="18"/>
          <w:szCs w:val="18"/>
          <w:color w:val="auto"/>
        </w:rPr>
        <w:t>”, “Comfort Zone by George Foreman</w:t>
      </w:r>
      <w:r>
        <w:rPr>
          <w:rFonts w:ascii="Arial" w:cs="Arial" w:eastAsia="Arial" w:hAnsi="Arial"/>
          <w:sz w:val="22"/>
          <w:szCs w:val="22"/>
          <w:color w:val="auto"/>
          <w:vertAlign w:val="superscript"/>
        </w:rPr>
        <w:t>™</w:t>
      </w:r>
      <w:r>
        <w:rPr>
          <w:rFonts w:ascii="Arial" w:cs="Arial" w:eastAsia="Arial" w:hAnsi="Arial"/>
          <w:sz w:val="18"/>
          <w:szCs w:val="18"/>
          <w:color w:val="auto"/>
        </w:rPr>
        <w:t>”, “George Foreman Signature Collection</w:t>
      </w:r>
      <w:r>
        <w:rPr>
          <w:rFonts w:ascii="Arial" w:cs="Arial" w:eastAsia="Arial" w:hAnsi="Arial"/>
          <w:sz w:val="22"/>
          <w:szCs w:val="22"/>
          <w:color w:val="auto"/>
          <w:vertAlign w:val="superscript"/>
        </w:rPr>
        <w:t>™</w:t>
      </w:r>
      <w:r>
        <w:rPr>
          <w:rFonts w:ascii="Arial" w:cs="Arial" w:eastAsia="Arial" w:hAnsi="Arial"/>
          <w:sz w:val="18"/>
          <w:szCs w:val="18"/>
          <w:color w:val="auto"/>
        </w:rPr>
        <w:t>” and “Signature Collection By George Foreman</w:t>
      </w:r>
      <w:r>
        <w:rPr>
          <w:rFonts w:ascii="Arial" w:cs="Arial" w:eastAsia="Arial" w:hAnsi="Arial"/>
          <w:sz w:val="22"/>
          <w:szCs w:val="22"/>
          <w:color w:val="auto"/>
          <w:vertAlign w:val="superscript"/>
        </w:rPr>
        <w:t>™</w:t>
      </w:r>
      <w:r>
        <w:rPr>
          <w:rFonts w:ascii="Arial" w:cs="Arial" w:eastAsia="Arial" w:hAnsi="Arial"/>
          <w:sz w:val="18"/>
          <w:szCs w:val="18"/>
          <w:color w:val="auto"/>
        </w:rPr>
        <w:t>” The Company also has a U.S. patent for an extendable collar system, which is marketed as “Neck Relaxer</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58"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As of January 29, 2005, the Company employed approximately 2,950 associates, of whom 1,479 were full-time personnel. The Company hires additional temporary employees during the peak Fall and Holiday seasons. None of the Company’s employees is represented by any collective bargaining agreement.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5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The Company’s corporate website is </w:t>
      </w:r>
      <w:r>
        <w:rPr>
          <w:rFonts w:ascii="Arial" w:cs="Arial" w:eastAsia="Arial" w:hAnsi="Arial"/>
          <w:sz w:val="16"/>
          <w:szCs w:val="16"/>
          <w:u w:val="single" w:color="auto"/>
          <w:color w:val="auto"/>
        </w:rPr>
        <w:t>www.cmrginc.com</w:t>
      </w:r>
      <w:r>
        <w:rPr>
          <w:rFonts w:ascii="Arial" w:cs="Arial" w:eastAsia="Arial" w:hAnsi="Arial"/>
          <w:sz w:val="16"/>
          <w:szCs w:val="16"/>
          <w:color w:val="auto"/>
        </w:rPr>
        <w:t xml:space="preserve">. The Company makes available, free of charge, through its website its Annual Reports on Form 10-K, Quarterly Reports on Form 10-Q, Current Reports on Form 8-K and amendments to such reports filed or furnished pursuant to Section 13(a) of the Securities Exchange Act of 1934, as amended, as soon as reasonably practicable after the Company has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i w:val="1"/>
          <w:iCs w:val="1"/>
          <w:color w:val="auto"/>
        </w:rPr>
        <w:t>Properties</w:t>
      </w:r>
    </w:p>
    <w:p>
      <w:pPr>
        <w:spacing w:after="0" w:line="16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Company’s corporate offices and distribution center are located at 555 Turnpike Street in Canton, Massachusetts. The facility is located on 37 acres of land and is owned by Designs Canton Property Corp., a wholly owned subsidiary of Designs Canton Holdings, Inc., which is an indirect wholly owned consolidated subsidiary of the Company. The property, which was acquired by the Company as part of its Casual Male acquisition in May 2002, is subject to an outstanding mortgage of $9.8 million at January 29, 2005. The mortgage is secured by the real estate and the buildings. The building contains about 750,000 square feet, which includes approximately 150,000 square feet of office space.</w:t>
      </w:r>
    </w:p>
    <w:p>
      <w:pPr>
        <w:spacing w:after="0" w:line="129"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Company remains liable on its lease, which expires in January 2006, for its previous corporate offices located at 66 B Street, Needham, Massachusetts. In January 2003, the Company entered into a sublease agreement with its loss prevention subsidiary, LP Innovations, Inc. (“LPI”), pursuant to which LPI leases approximately 19,000 square feet of the total 80,000 square feet of this facility. The sublease agreement will expire on December 31, 2005.</w:t>
      </w:r>
    </w:p>
    <w:p>
      <w:pPr>
        <w:spacing w:after="0" w:line="93"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As of January 29, 2005, the Company operated 424 Casual Male Big &amp; Tall retail stores, 68 Casual Male Big &amp; Tall outlet stores, and 22 Rochester Big &amp; Tall retail stores. All of these stores are leased by the Company directly from shopping center owners. The store leases are generally five years in length and contain renewal options extending their terms to between 5 and 10 years. Following this discussion is a listing by state of all store locations open at January 29, 2005.</w:t>
      </w:r>
    </w:p>
    <w:p>
      <w:pPr>
        <w:spacing w:after="0" w:line="7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center and the attractiveness of the store layout. The Company also utilizes financial models to project the profitability of each location using assumptions such as the center’s sales per square foot averages, estimated occupancy costs and return on investment requirements. The Company believes that its selection of locations enables the Company’s stores to attract customers from the general shopping traffic and to generate its own customers from surrounding areas.</w:t>
      </w:r>
    </w:p>
    <w:p>
      <w:pPr>
        <w:spacing w:after="0" w:line="102"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See also “Management’s Discussion and Analysis of Financial Condition and Results of Operations - Liquidity and Capital Resources - Capital Expenditures.” 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8"/>
          <w:szCs w:val="18"/>
          <w:b w:val="1"/>
          <w:bCs w:val="1"/>
          <w:u w:val="single" w:color="auto"/>
          <w:color w:val="auto"/>
        </w:rPr>
        <w:t>Store locations by State at January 29, 2005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Casual Male Big &amp; Tall Retail and Outlet stores (Outlets denoted by an asterisk)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jc w:val="center"/>
              <w:ind w:left="372"/>
              <w:spacing w:after="0"/>
              <w:rPr>
                <w:sz w:val="20"/>
                <w:szCs w:val="20"/>
                <w:color w:val="auto"/>
              </w:rPr>
            </w:pPr>
            <w:r>
              <w:rPr>
                <w:rFonts w:ascii="Arial" w:cs="Arial" w:eastAsia="Arial" w:hAnsi="Arial"/>
                <w:sz w:val="14"/>
                <w:szCs w:val="14"/>
                <w:b w:val="1"/>
                <w:bCs w:val="1"/>
                <w:i w:val="1"/>
                <w:iCs w:val="1"/>
                <w:color w:val="auto"/>
                <w:w w:val="85"/>
              </w:rPr>
              <w:t>Alabama</w:t>
            </w:r>
          </w:p>
        </w:tc>
        <w:tc>
          <w:tcPr>
            <w:tcW w:w="2380" w:type="dxa"/>
            <w:vAlign w:val="bottom"/>
          </w:tcPr>
          <w:p>
            <w:pPr>
              <w:jc w:val="center"/>
              <w:ind w:left="712"/>
              <w:spacing w:after="0"/>
              <w:rPr>
                <w:sz w:val="20"/>
                <w:szCs w:val="20"/>
                <w:color w:val="auto"/>
              </w:rPr>
            </w:pPr>
            <w:r>
              <w:rPr>
                <w:rFonts w:ascii="Arial" w:cs="Arial" w:eastAsia="Arial" w:hAnsi="Arial"/>
                <w:sz w:val="14"/>
                <w:szCs w:val="14"/>
                <w:b w:val="1"/>
                <w:bCs w:val="1"/>
                <w:i w:val="1"/>
                <w:iCs w:val="1"/>
                <w:color w:val="auto"/>
                <w:w w:val="86"/>
              </w:rPr>
              <w:t>California, cont.</w:t>
            </w:r>
          </w:p>
        </w:tc>
        <w:tc>
          <w:tcPr>
            <w:tcW w:w="2220" w:type="dxa"/>
            <w:vAlign w:val="bottom"/>
          </w:tcPr>
          <w:p>
            <w:pPr>
              <w:jc w:val="center"/>
              <w:ind w:left="572"/>
              <w:spacing w:after="0"/>
              <w:rPr>
                <w:sz w:val="20"/>
                <w:szCs w:val="20"/>
                <w:color w:val="auto"/>
              </w:rPr>
            </w:pPr>
            <w:r>
              <w:rPr>
                <w:rFonts w:ascii="Arial" w:cs="Arial" w:eastAsia="Arial" w:hAnsi="Arial"/>
                <w:sz w:val="14"/>
                <w:szCs w:val="14"/>
                <w:b w:val="1"/>
                <w:bCs w:val="1"/>
                <w:i w:val="1"/>
                <w:iCs w:val="1"/>
                <w:color w:val="auto"/>
                <w:w w:val="88"/>
              </w:rPr>
              <w:t>Florida, cont.</w:t>
            </w:r>
          </w:p>
        </w:tc>
        <w:tc>
          <w:tcPr>
            <w:tcW w:w="2260" w:type="dxa"/>
            <w:vAlign w:val="bottom"/>
          </w:tcPr>
          <w:p>
            <w:pPr>
              <w:jc w:val="center"/>
              <w:ind w:left="612"/>
              <w:spacing w:after="0"/>
              <w:rPr>
                <w:sz w:val="20"/>
                <w:szCs w:val="20"/>
                <w:color w:val="auto"/>
              </w:rPr>
            </w:pPr>
            <w:r>
              <w:rPr>
                <w:rFonts w:ascii="Arial" w:cs="Arial" w:eastAsia="Arial" w:hAnsi="Arial"/>
                <w:sz w:val="14"/>
                <w:szCs w:val="14"/>
                <w:b w:val="1"/>
                <w:bCs w:val="1"/>
                <w:i w:val="1"/>
                <w:iCs w:val="1"/>
                <w:color w:val="auto"/>
                <w:w w:val="86"/>
              </w:rPr>
              <w:t>Illinois, cont.</w:t>
            </w:r>
          </w:p>
        </w:tc>
        <w:tc>
          <w:tcPr>
            <w:tcW w:w="1880" w:type="dxa"/>
            <w:vAlign w:val="bottom"/>
          </w:tcPr>
          <w:p>
            <w:pPr>
              <w:jc w:val="center"/>
              <w:ind w:left="912"/>
              <w:spacing w:after="0"/>
              <w:rPr>
                <w:sz w:val="20"/>
                <w:szCs w:val="20"/>
                <w:color w:val="auto"/>
              </w:rPr>
            </w:pPr>
            <w:r>
              <w:rPr>
                <w:rFonts w:ascii="Arial" w:cs="Arial" w:eastAsia="Arial" w:hAnsi="Arial"/>
                <w:sz w:val="14"/>
                <w:szCs w:val="14"/>
                <w:b w:val="1"/>
                <w:bCs w:val="1"/>
                <w:i w:val="1"/>
                <w:iCs w:val="1"/>
                <w:color w:val="auto"/>
                <w:w w:val="87"/>
              </w:rPr>
              <w:t>Maryland, cont.</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Foley*</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San Leandro</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Miami</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Tuscola*</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Rockville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Hoover</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Santa Ana</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No. Miami Beach</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Vernon Hills</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Waldorf</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Huntsville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Santa Clara</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Ocala</w:t>
            </w:r>
          </w:p>
        </w:tc>
        <w:tc>
          <w:tcPr>
            <w:tcW w:w="226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Mobile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Santa Rosa</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Orange Park</w:t>
            </w:r>
          </w:p>
        </w:tc>
        <w:tc>
          <w:tcPr>
            <w:tcW w:w="22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89"/>
              </w:rPr>
              <w:t>Indiana</w:t>
            </w:r>
          </w:p>
        </w:tc>
        <w:tc>
          <w:tcPr>
            <w:tcW w:w="1880" w:type="dxa"/>
            <w:vAlign w:val="bottom"/>
          </w:tcPr>
          <w:p>
            <w:pPr>
              <w:jc w:val="center"/>
              <w:ind w:left="912"/>
              <w:spacing w:after="0" w:line="149" w:lineRule="exact"/>
              <w:rPr>
                <w:sz w:val="20"/>
                <w:szCs w:val="20"/>
                <w:color w:val="auto"/>
              </w:rPr>
            </w:pPr>
            <w:r>
              <w:rPr>
                <w:rFonts w:ascii="Arial" w:cs="Arial" w:eastAsia="Arial" w:hAnsi="Arial"/>
                <w:sz w:val="14"/>
                <w:szCs w:val="14"/>
                <w:b w:val="1"/>
                <w:bCs w:val="1"/>
                <w:i w:val="1"/>
                <w:iCs w:val="1"/>
                <w:color w:val="auto"/>
                <w:w w:val="81"/>
              </w:rPr>
              <w:t>Massachusetts</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Montgomery</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Stockton</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Orlando (3)</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Edinburgh*</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Burlington</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Tuscaloosa</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Temecula</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Pembroke Pines</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Evansville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Dedham</w:t>
            </w:r>
          </w:p>
        </w:tc>
      </w:tr>
      <w:tr>
        <w:trPr>
          <w:trHeight w:val="149"/>
        </w:trPr>
        <w:tc>
          <w:tcPr>
            <w:tcW w:w="2100" w:type="dxa"/>
            <w:vAlign w:val="bottom"/>
          </w:tcPr>
          <w:p>
            <w:pPr>
              <w:spacing w:after="0"/>
              <w:rPr>
                <w:sz w:val="12"/>
                <w:szCs w:val="12"/>
                <w:color w:val="auto"/>
              </w:rPr>
            </w:pP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Tracy*</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Pensacola</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Fort Wayne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Framingham</w:t>
            </w:r>
          </w:p>
        </w:tc>
      </w:tr>
      <w:tr>
        <w:trPr>
          <w:trHeight w:val="149"/>
        </w:trPr>
        <w:tc>
          <w:tcPr>
            <w:tcW w:w="2100" w:type="dxa"/>
            <w:vAlign w:val="bottom"/>
          </w:tcPr>
          <w:p>
            <w:pPr>
              <w:jc w:val="center"/>
              <w:ind w:left="352"/>
              <w:spacing w:after="0" w:line="149" w:lineRule="exact"/>
              <w:rPr>
                <w:sz w:val="20"/>
                <w:szCs w:val="20"/>
                <w:color w:val="auto"/>
              </w:rPr>
            </w:pPr>
            <w:r>
              <w:rPr>
                <w:rFonts w:ascii="Arial" w:cs="Arial" w:eastAsia="Arial" w:hAnsi="Arial"/>
                <w:sz w:val="14"/>
                <w:szCs w:val="14"/>
                <w:b w:val="1"/>
                <w:bCs w:val="1"/>
                <w:i w:val="1"/>
                <w:iCs w:val="1"/>
                <w:color w:val="auto"/>
                <w:w w:val="85"/>
              </w:rPr>
              <w:t>Arizona</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Tulare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Pompano Beach</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Greenwood</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Hanover</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Chandler</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Upland</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Sarasota</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Indianapolis (3)</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Medford</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Mesa</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Vacaville*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St. Augustine*</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Lafayette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North Attleboro</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Phoenix (3)</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Valencia</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Stuart</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Merrillville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North Dartmouth</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Tempe*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Victorville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Tampa (2)</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Michigan City*</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Saugus</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Tucson (2)</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West Covina</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Vero Beach*</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Mishawaka</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Seekonk</w:t>
            </w:r>
          </w:p>
        </w:tc>
      </w:tr>
      <w:tr>
        <w:trPr>
          <w:trHeight w:val="149"/>
        </w:trPr>
        <w:tc>
          <w:tcPr>
            <w:tcW w:w="2100" w:type="dxa"/>
            <w:vAlign w:val="bottom"/>
          </w:tcPr>
          <w:p>
            <w:pPr>
              <w:spacing w:after="0"/>
              <w:rPr>
                <w:sz w:val="12"/>
                <w:szCs w:val="12"/>
                <w:color w:val="auto"/>
              </w:rPr>
            </w:pP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Woodland Hills</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West Palm Beach</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Muncie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Shrewsbury</w:t>
            </w:r>
          </w:p>
        </w:tc>
      </w:tr>
      <w:tr>
        <w:trPr>
          <w:trHeight w:val="149"/>
        </w:trPr>
        <w:tc>
          <w:tcPr>
            <w:tcW w:w="2100" w:type="dxa"/>
            <w:vAlign w:val="bottom"/>
          </w:tcPr>
          <w:p>
            <w:pPr>
              <w:jc w:val="center"/>
              <w:ind w:left="352"/>
              <w:spacing w:after="0" w:line="149" w:lineRule="exact"/>
              <w:rPr>
                <w:sz w:val="20"/>
                <w:szCs w:val="20"/>
                <w:color w:val="auto"/>
              </w:rPr>
            </w:pPr>
            <w:r>
              <w:rPr>
                <w:rFonts w:ascii="Arial" w:cs="Arial" w:eastAsia="Arial" w:hAnsi="Arial"/>
                <w:sz w:val="14"/>
                <w:szCs w:val="14"/>
                <w:b w:val="1"/>
                <w:bCs w:val="1"/>
                <w:i w:val="1"/>
                <w:iCs w:val="1"/>
                <w:color w:val="auto"/>
                <w:w w:val="82"/>
              </w:rPr>
              <w:t>Arkansas</w:t>
            </w:r>
          </w:p>
        </w:tc>
        <w:tc>
          <w:tcPr>
            <w:tcW w:w="2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Tyngsboro</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Ft. Smith</w:t>
            </w:r>
          </w:p>
        </w:tc>
        <w:tc>
          <w:tcPr>
            <w:tcW w:w="2380" w:type="dxa"/>
            <w:vAlign w:val="bottom"/>
          </w:tcPr>
          <w:p>
            <w:pPr>
              <w:jc w:val="center"/>
              <w:ind w:left="712"/>
              <w:spacing w:after="0" w:line="149" w:lineRule="exact"/>
              <w:rPr>
                <w:sz w:val="20"/>
                <w:szCs w:val="20"/>
                <w:color w:val="auto"/>
              </w:rPr>
            </w:pPr>
            <w:r>
              <w:rPr>
                <w:rFonts w:ascii="Arial" w:cs="Arial" w:eastAsia="Arial" w:hAnsi="Arial"/>
                <w:sz w:val="14"/>
                <w:szCs w:val="14"/>
                <w:b w:val="1"/>
                <w:bCs w:val="1"/>
                <w:i w:val="1"/>
                <w:iCs w:val="1"/>
                <w:color w:val="auto"/>
                <w:w w:val="84"/>
              </w:rPr>
              <w:t>Colorado</w:t>
            </w:r>
          </w:p>
        </w:tc>
        <w:tc>
          <w:tcPr>
            <w:tcW w:w="2220" w:type="dxa"/>
            <w:vAlign w:val="bottom"/>
          </w:tcPr>
          <w:p>
            <w:pPr>
              <w:jc w:val="center"/>
              <w:ind w:left="572"/>
              <w:spacing w:after="0" w:line="149" w:lineRule="exact"/>
              <w:rPr>
                <w:sz w:val="20"/>
                <w:szCs w:val="20"/>
                <w:color w:val="auto"/>
              </w:rPr>
            </w:pPr>
            <w:r>
              <w:rPr>
                <w:rFonts w:ascii="Arial" w:cs="Arial" w:eastAsia="Arial" w:hAnsi="Arial"/>
                <w:sz w:val="14"/>
                <w:szCs w:val="14"/>
                <w:b w:val="1"/>
                <w:bCs w:val="1"/>
                <w:i w:val="1"/>
                <w:iCs w:val="1"/>
                <w:color w:val="auto"/>
                <w:w w:val="86"/>
              </w:rPr>
              <w:t>Georgia</w:t>
            </w:r>
          </w:p>
        </w:tc>
        <w:tc>
          <w:tcPr>
            <w:tcW w:w="22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89"/>
              </w:rPr>
              <w:t>Iowa</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West Springfield</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Jonesboro</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Castle Rock*</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Alpharetta</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Davenport</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Wrentham*</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Little Rock</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Colorado Springs</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Augusta</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Clive</w:t>
            </w:r>
          </w:p>
        </w:tc>
        <w:tc>
          <w:tcPr>
            <w:tcW w:w="1880" w:type="dxa"/>
            <w:vAlign w:val="bottom"/>
          </w:tcPr>
          <w:p>
            <w:pPr>
              <w:spacing w:after="0"/>
              <w:rPr>
                <w:sz w:val="12"/>
                <w:szCs w:val="12"/>
                <w:color w:val="auto"/>
              </w:rPr>
            </w:pPr>
          </w:p>
        </w:tc>
      </w:tr>
      <w:tr>
        <w:trPr>
          <w:trHeight w:val="149"/>
        </w:trPr>
        <w:tc>
          <w:tcPr>
            <w:tcW w:w="2100" w:type="dxa"/>
            <w:vAlign w:val="bottom"/>
          </w:tcPr>
          <w:p>
            <w:pPr>
              <w:spacing w:after="0"/>
              <w:rPr>
                <w:sz w:val="12"/>
                <w:szCs w:val="12"/>
                <w:color w:val="auto"/>
              </w:rPr>
            </w:pP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Glendale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Calhoun*</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Marion</w:t>
            </w:r>
          </w:p>
        </w:tc>
        <w:tc>
          <w:tcPr>
            <w:tcW w:w="1880" w:type="dxa"/>
            <w:vAlign w:val="bottom"/>
          </w:tcPr>
          <w:p>
            <w:pPr>
              <w:jc w:val="center"/>
              <w:ind w:left="912"/>
              <w:spacing w:after="0" w:line="149" w:lineRule="exact"/>
              <w:rPr>
                <w:sz w:val="20"/>
                <w:szCs w:val="20"/>
                <w:color w:val="auto"/>
              </w:rPr>
            </w:pPr>
            <w:r>
              <w:rPr>
                <w:rFonts w:ascii="Arial" w:cs="Arial" w:eastAsia="Arial" w:hAnsi="Arial"/>
                <w:sz w:val="14"/>
                <w:szCs w:val="14"/>
                <w:b w:val="1"/>
                <w:bCs w:val="1"/>
                <w:i w:val="1"/>
                <w:iCs w:val="1"/>
                <w:color w:val="auto"/>
                <w:w w:val="88"/>
              </w:rPr>
              <w:t>Michigan</w:t>
            </w:r>
          </w:p>
        </w:tc>
      </w:tr>
      <w:tr>
        <w:trPr>
          <w:trHeight w:val="149"/>
        </w:trPr>
        <w:tc>
          <w:tcPr>
            <w:tcW w:w="2100" w:type="dxa"/>
            <w:vAlign w:val="bottom"/>
          </w:tcPr>
          <w:p>
            <w:pPr>
              <w:jc w:val="center"/>
              <w:ind w:left="372"/>
              <w:spacing w:after="0" w:line="149" w:lineRule="exact"/>
              <w:rPr>
                <w:sz w:val="20"/>
                <w:szCs w:val="20"/>
                <w:color w:val="auto"/>
              </w:rPr>
            </w:pPr>
            <w:r>
              <w:rPr>
                <w:rFonts w:ascii="Arial" w:cs="Arial" w:eastAsia="Arial" w:hAnsi="Arial"/>
                <w:sz w:val="14"/>
                <w:szCs w:val="14"/>
                <w:b w:val="1"/>
                <w:bCs w:val="1"/>
                <w:i w:val="1"/>
                <w:iCs w:val="1"/>
                <w:color w:val="auto"/>
                <w:w w:val="89"/>
              </w:rPr>
              <w:t>California</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Littleton</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Commerce*</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Williamsburg*</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Ann Arbor</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Bakersfield</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Lone Tree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Duluth</w:t>
            </w:r>
          </w:p>
        </w:tc>
        <w:tc>
          <w:tcPr>
            <w:tcW w:w="2260" w:type="dxa"/>
            <w:vAlign w:val="bottom"/>
          </w:tcPr>
          <w:p>
            <w:pPr>
              <w:spacing w:after="0"/>
              <w:rPr>
                <w:sz w:val="12"/>
                <w:szCs w:val="12"/>
                <w:color w:val="auto"/>
              </w:rPr>
            </w:pP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Battle Creek</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Camarillo*</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Loveland*</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Kennesaw</w:t>
            </w:r>
          </w:p>
        </w:tc>
        <w:tc>
          <w:tcPr>
            <w:tcW w:w="22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80"/>
              </w:rPr>
              <w:t>Kansas</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Birch Run*</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Culver City</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Westminster</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Lake Park*</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Olathe*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Dearborn</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Daly City</w:t>
            </w:r>
          </w:p>
        </w:tc>
        <w:tc>
          <w:tcPr>
            <w:tcW w:w="2380" w:type="dxa"/>
            <w:vAlign w:val="bottom"/>
          </w:tcPr>
          <w:p>
            <w:pPr>
              <w:spacing w:after="0"/>
              <w:rPr>
                <w:sz w:val="12"/>
                <w:szCs w:val="12"/>
                <w:color w:val="auto"/>
              </w:rPr>
            </w:pP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Macon</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Overland Park</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Flint</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Dublin</w:t>
            </w:r>
          </w:p>
        </w:tc>
        <w:tc>
          <w:tcPr>
            <w:tcW w:w="2380" w:type="dxa"/>
            <w:vAlign w:val="bottom"/>
          </w:tcPr>
          <w:p>
            <w:pPr>
              <w:jc w:val="center"/>
              <w:ind w:left="712"/>
              <w:spacing w:after="0" w:line="149" w:lineRule="exact"/>
              <w:rPr>
                <w:sz w:val="20"/>
                <w:szCs w:val="20"/>
                <w:color w:val="auto"/>
              </w:rPr>
            </w:pPr>
            <w:r>
              <w:rPr>
                <w:rFonts w:ascii="Arial" w:cs="Arial" w:eastAsia="Arial" w:hAnsi="Arial"/>
                <w:sz w:val="14"/>
                <w:szCs w:val="14"/>
                <w:b w:val="1"/>
                <w:bCs w:val="1"/>
                <w:i w:val="1"/>
                <w:iCs w:val="1"/>
                <w:color w:val="auto"/>
                <w:w w:val="84"/>
              </w:rPr>
              <w:t>Connecticut</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Morrow</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Topeka</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Grand Rapids</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El Cajon</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Danbury</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Savannah</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Wichita</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Howell*</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Emeryville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East Haven</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Smyrna</w:t>
            </w:r>
          </w:p>
        </w:tc>
        <w:tc>
          <w:tcPr>
            <w:tcW w:w="2260" w:type="dxa"/>
            <w:vAlign w:val="bottom"/>
          </w:tcPr>
          <w:p>
            <w:pPr>
              <w:spacing w:after="0"/>
              <w:rPr>
                <w:sz w:val="12"/>
                <w:szCs w:val="12"/>
                <w:color w:val="auto"/>
              </w:rPr>
            </w:pP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Lansing</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Escondido</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Fairfield</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Stone Mountain</w:t>
            </w:r>
          </w:p>
        </w:tc>
        <w:tc>
          <w:tcPr>
            <w:tcW w:w="22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82"/>
              </w:rPr>
              <w:t>Kentucky</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Lathrup Village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Folsom*</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Groton</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Tucker</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Bowling Green</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Madison Heights</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Fremont</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Hamden</w:t>
            </w:r>
          </w:p>
        </w:tc>
        <w:tc>
          <w:tcPr>
            <w:tcW w:w="2220" w:type="dxa"/>
            <w:vAlign w:val="bottom"/>
          </w:tcPr>
          <w:p>
            <w:pPr>
              <w:spacing w:after="0"/>
              <w:rPr>
                <w:sz w:val="12"/>
                <w:szCs w:val="12"/>
                <w:color w:val="auto"/>
              </w:rPr>
            </w:pP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Florence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Monroe*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Fresno</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Manchester</w:t>
            </w:r>
          </w:p>
        </w:tc>
        <w:tc>
          <w:tcPr>
            <w:tcW w:w="2220" w:type="dxa"/>
            <w:vAlign w:val="bottom"/>
          </w:tcPr>
          <w:p>
            <w:pPr>
              <w:jc w:val="center"/>
              <w:ind w:left="572"/>
              <w:spacing w:after="0" w:line="149" w:lineRule="exact"/>
              <w:rPr>
                <w:sz w:val="20"/>
                <w:szCs w:val="20"/>
                <w:color w:val="auto"/>
              </w:rPr>
            </w:pPr>
            <w:r>
              <w:rPr>
                <w:rFonts w:ascii="Arial" w:cs="Arial" w:eastAsia="Arial" w:hAnsi="Arial"/>
                <w:sz w:val="14"/>
                <w:szCs w:val="14"/>
                <w:b w:val="1"/>
                <w:bCs w:val="1"/>
                <w:i w:val="1"/>
                <w:iCs w:val="1"/>
                <w:color w:val="auto"/>
                <w:w w:val="85"/>
              </w:rPr>
              <w:t>Illinois</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Lexington</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Novi (Detroit)</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Fullerton</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Milford</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Bloomingdale</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Louisville (2)</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Portage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Gilroy*</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Waterbury</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Bloomington</w:t>
            </w:r>
          </w:p>
        </w:tc>
        <w:tc>
          <w:tcPr>
            <w:tcW w:w="2260" w:type="dxa"/>
            <w:vAlign w:val="bottom"/>
          </w:tcPr>
          <w:p>
            <w:pPr>
              <w:spacing w:after="0"/>
              <w:rPr>
                <w:sz w:val="12"/>
                <w:szCs w:val="12"/>
                <w:color w:val="auto"/>
              </w:rPr>
            </w:pP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Port Huron*</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Glendale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West Hartford</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Champaign</w:t>
            </w:r>
          </w:p>
        </w:tc>
        <w:tc>
          <w:tcPr>
            <w:tcW w:w="22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85"/>
              </w:rPr>
              <w:t>Louisiana</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Redford Township</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Laguna Hills</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Westbrook*</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Chicago (3)</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Baton Rouge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Roseville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Lake Elsinore*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Wethersfield</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Evergreen Park</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Bossier City</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Saginaw</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Lakewood</w:t>
            </w:r>
          </w:p>
        </w:tc>
        <w:tc>
          <w:tcPr>
            <w:tcW w:w="2380" w:type="dxa"/>
            <w:vAlign w:val="bottom"/>
          </w:tcPr>
          <w:p>
            <w:pPr>
              <w:spacing w:after="0"/>
              <w:rPr>
                <w:sz w:val="12"/>
                <w:szCs w:val="12"/>
                <w:color w:val="auto"/>
              </w:rPr>
            </w:pP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Fairview Heights</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Gonzalez*</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Southfield</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Lawndale</w:t>
            </w:r>
          </w:p>
        </w:tc>
        <w:tc>
          <w:tcPr>
            <w:tcW w:w="2380" w:type="dxa"/>
            <w:vAlign w:val="bottom"/>
          </w:tcPr>
          <w:p>
            <w:pPr>
              <w:jc w:val="center"/>
              <w:ind w:left="692"/>
              <w:spacing w:after="0" w:line="149" w:lineRule="exact"/>
              <w:rPr>
                <w:sz w:val="20"/>
                <w:szCs w:val="20"/>
                <w:color w:val="auto"/>
              </w:rPr>
            </w:pPr>
            <w:r>
              <w:rPr>
                <w:rFonts w:ascii="Arial" w:cs="Arial" w:eastAsia="Arial" w:hAnsi="Arial"/>
                <w:sz w:val="14"/>
                <w:szCs w:val="14"/>
                <w:b w:val="1"/>
                <w:bCs w:val="1"/>
                <w:i w:val="1"/>
                <w:iCs w:val="1"/>
                <w:color w:val="auto"/>
                <w:w w:val="87"/>
              </w:rPr>
              <w:t>Delaware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Gurnee*</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Lafayette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Southgate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Long Beach</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Dover</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Harwood Heights</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Metairie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Utica</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Los Altos</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Reboboth Beach*</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Hodgkins</w:t>
            </w:r>
          </w:p>
        </w:tc>
        <w:tc>
          <w:tcPr>
            <w:tcW w:w="2260" w:type="dxa"/>
            <w:vAlign w:val="bottom"/>
          </w:tcPr>
          <w:p>
            <w:pPr>
              <w:spacing w:after="0"/>
              <w:rPr>
                <w:sz w:val="12"/>
                <w:szCs w:val="12"/>
                <w:color w:val="auto"/>
              </w:rPr>
            </w:pP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Warren</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Los Angeles</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Wilmington</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Hometown</w:t>
            </w:r>
          </w:p>
        </w:tc>
        <w:tc>
          <w:tcPr>
            <w:tcW w:w="22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90"/>
              </w:rPr>
              <w:t>Maine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Waterford</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Modesto</w:t>
            </w:r>
          </w:p>
        </w:tc>
        <w:tc>
          <w:tcPr>
            <w:tcW w:w="2380" w:type="dxa"/>
            <w:vAlign w:val="bottom"/>
          </w:tcPr>
          <w:p>
            <w:pPr>
              <w:spacing w:after="0"/>
              <w:rPr>
                <w:sz w:val="12"/>
                <w:szCs w:val="12"/>
                <w:color w:val="auto"/>
              </w:rPr>
            </w:pP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Joliet</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Bangor</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Westland</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Northridge</w:t>
            </w:r>
          </w:p>
        </w:tc>
        <w:tc>
          <w:tcPr>
            <w:tcW w:w="2380" w:type="dxa"/>
            <w:vAlign w:val="bottom"/>
          </w:tcPr>
          <w:p>
            <w:pPr>
              <w:jc w:val="center"/>
              <w:ind w:left="692"/>
              <w:spacing w:after="0" w:line="149" w:lineRule="exact"/>
              <w:rPr>
                <w:sz w:val="20"/>
                <w:szCs w:val="20"/>
                <w:color w:val="auto"/>
              </w:rPr>
            </w:pPr>
            <w:r>
              <w:rPr>
                <w:rFonts w:ascii="Arial" w:cs="Arial" w:eastAsia="Arial" w:hAnsi="Arial"/>
                <w:sz w:val="14"/>
                <w:szCs w:val="14"/>
                <w:b w:val="1"/>
                <w:bCs w:val="1"/>
                <w:i w:val="1"/>
                <w:iCs w:val="1"/>
                <w:color w:val="auto"/>
                <w:w w:val="89"/>
              </w:rPr>
              <w:t>Florida</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Lansing</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Kittery*</w:t>
            </w:r>
          </w:p>
        </w:tc>
        <w:tc>
          <w:tcPr>
            <w:tcW w:w="1880" w:type="dxa"/>
            <w:vAlign w:val="bottom"/>
          </w:tcPr>
          <w:p>
            <w:pPr>
              <w:spacing w:after="0"/>
              <w:rPr>
                <w:sz w:val="12"/>
                <w:szCs w:val="12"/>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Ontario*</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Altamonte Springs</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Matteson</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South Portland</w:t>
            </w:r>
          </w:p>
        </w:tc>
        <w:tc>
          <w:tcPr>
            <w:tcW w:w="1880" w:type="dxa"/>
            <w:vAlign w:val="bottom"/>
          </w:tcPr>
          <w:p>
            <w:pPr>
              <w:jc w:val="center"/>
              <w:ind w:left="932"/>
              <w:spacing w:after="0" w:line="149" w:lineRule="exact"/>
              <w:rPr>
                <w:sz w:val="20"/>
                <w:szCs w:val="20"/>
                <w:color w:val="auto"/>
              </w:rPr>
            </w:pPr>
            <w:r>
              <w:rPr>
                <w:rFonts w:ascii="Arial" w:cs="Arial" w:eastAsia="Arial" w:hAnsi="Arial"/>
                <w:sz w:val="14"/>
                <w:szCs w:val="14"/>
                <w:b w:val="1"/>
                <w:bCs w:val="1"/>
                <w:i w:val="1"/>
                <w:iCs w:val="1"/>
                <w:color w:val="auto"/>
                <w:w w:val="86"/>
              </w:rPr>
              <w:t>Minnesota</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Orange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Boca Raton</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Melrose Park</w:t>
            </w:r>
          </w:p>
        </w:tc>
        <w:tc>
          <w:tcPr>
            <w:tcW w:w="2260" w:type="dxa"/>
            <w:vAlign w:val="bottom"/>
          </w:tcPr>
          <w:p>
            <w:pPr>
              <w:spacing w:after="0"/>
              <w:rPr>
                <w:sz w:val="12"/>
                <w:szCs w:val="12"/>
                <w:color w:val="auto"/>
              </w:rPr>
            </w:pP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Albertville*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Oxnard</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Boynton Beach</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Naperville</w:t>
            </w:r>
          </w:p>
        </w:tc>
        <w:tc>
          <w:tcPr>
            <w:tcW w:w="2260" w:type="dxa"/>
            <w:vAlign w:val="bottom"/>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91"/>
              </w:rPr>
              <w:t>Maryland</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Blaine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Palm Desert</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Brandon</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Niles</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Annapolis</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Burnsville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Pasadena</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Daytona Beach</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North Riverside</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Baltimore (2)</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Duluth</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Pleasant Hill</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Fort Lauderdale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Oakbrook Terrace</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Columbia</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Maplewood</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Riverside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Ft. Myers</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Orland Park</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District Heights</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Richfield</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Roseville</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Gainesville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Peoria</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E. Baltimore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Roseville</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Sacramento (2)</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Hialeah</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Rockford</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Frederick</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West St. Paul</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Salinas</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Jacksonville</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Schaumburg</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Glen Burnie</w:t>
            </w:r>
          </w:p>
        </w:tc>
        <w:tc>
          <w:tcPr>
            <w:tcW w:w="1880" w:type="dxa"/>
            <w:vAlign w:val="bottom"/>
          </w:tcPr>
          <w:p>
            <w:pPr>
              <w:ind w:left="400"/>
              <w:spacing w:after="0" w:line="149" w:lineRule="exact"/>
              <w:rPr>
                <w:sz w:val="20"/>
                <w:szCs w:val="20"/>
                <w:color w:val="auto"/>
              </w:rPr>
            </w:pPr>
            <w:r>
              <w:rPr>
                <w:rFonts w:ascii="Arial" w:cs="Arial" w:eastAsia="Arial" w:hAnsi="Arial"/>
                <w:sz w:val="14"/>
                <w:szCs w:val="14"/>
                <w:color w:val="auto"/>
              </w:rPr>
              <w:t>Woodbury</w:t>
            </w: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San Bernardino</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Lakeland</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Skokie</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Greenbelt</w:t>
            </w:r>
          </w:p>
        </w:tc>
        <w:tc>
          <w:tcPr>
            <w:tcW w:w="1880" w:type="dxa"/>
            <w:vAlign w:val="bottom"/>
          </w:tcPr>
          <w:p>
            <w:pPr>
              <w:spacing w:after="0"/>
              <w:rPr>
                <w:sz w:val="12"/>
                <w:szCs w:val="12"/>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San Diego</w:t>
            </w:r>
          </w:p>
        </w:tc>
        <w:tc>
          <w:tcPr>
            <w:tcW w:w="2380" w:type="dxa"/>
            <w:vAlign w:val="bottom"/>
          </w:tcPr>
          <w:p>
            <w:pPr>
              <w:ind w:left="540"/>
              <w:spacing w:after="0" w:line="149" w:lineRule="exact"/>
              <w:rPr>
                <w:sz w:val="20"/>
                <w:szCs w:val="20"/>
                <w:color w:val="auto"/>
              </w:rPr>
            </w:pPr>
            <w:r>
              <w:rPr>
                <w:rFonts w:ascii="Arial" w:cs="Arial" w:eastAsia="Arial" w:hAnsi="Arial"/>
                <w:sz w:val="14"/>
                <w:szCs w:val="14"/>
                <w:color w:val="auto"/>
              </w:rPr>
              <w:t>Largo</w:t>
            </w:r>
          </w:p>
        </w:tc>
        <w:tc>
          <w:tcPr>
            <w:tcW w:w="2220" w:type="dxa"/>
            <w:vAlign w:val="bottom"/>
          </w:tcPr>
          <w:p>
            <w:pPr>
              <w:ind w:left="340"/>
              <w:spacing w:after="0" w:line="149" w:lineRule="exact"/>
              <w:rPr>
                <w:sz w:val="20"/>
                <w:szCs w:val="20"/>
                <w:color w:val="auto"/>
              </w:rPr>
            </w:pPr>
            <w:r>
              <w:rPr>
                <w:rFonts w:ascii="Arial" w:cs="Arial" w:eastAsia="Arial" w:hAnsi="Arial"/>
                <w:sz w:val="14"/>
                <w:szCs w:val="14"/>
                <w:color w:val="auto"/>
              </w:rPr>
              <w:t>Springfield</w:t>
            </w:r>
          </w:p>
        </w:tc>
        <w:tc>
          <w:tcPr>
            <w:tcW w:w="2260" w:type="dxa"/>
            <w:vAlign w:val="bottom"/>
          </w:tcPr>
          <w:p>
            <w:pPr>
              <w:ind w:left="400"/>
              <w:spacing w:after="0" w:line="149" w:lineRule="exact"/>
              <w:rPr>
                <w:sz w:val="20"/>
                <w:szCs w:val="20"/>
                <w:color w:val="auto"/>
              </w:rPr>
            </w:pPr>
            <w:r>
              <w:rPr>
                <w:rFonts w:ascii="Arial" w:cs="Arial" w:eastAsia="Arial" w:hAnsi="Arial"/>
                <w:sz w:val="14"/>
                <w:szCs w:val="14"/>
                <w:color w:val="auto"/>
              </w:rPr>
              <w:t>Hagerstown*</w:t>
            </w:r>
          </w:p>
        </w:tc>
        <w:tc>
          <w:tcPr>
            <w:tcW w:w="1880" w:type="dxa"/>
            <w:vAlign w:val="bottom"/>
          </w:tcPr>
          <w:p>
            <w:pPr>
              <w:spacing w:after="0"/>
              <w:rPr>
                <w:sz w:val="12"/>
                <w:szCs w:val="12"/>
                <w:color w:val="auto"/>
              </w:rPr>
            </w:pPr>
          </w:p>
        </w:tc>
      </w:tr>
      <w:tr>
        <w:trPr>
          <w:trHeight w:val="172"/>
        </w:trPr>
        <w:tc>
          <w:tcPr>
            <w:tcW w:w="2100" w:type="dxa"/>
            <w:vAlign w:val="bottom"/>
          </w:tcPr>
          <w:p>
            <w:pPr>
              <w:spacing w:after="0"/>
              <w:rPr>
                <w:sz w:val="20"/>
                <w:szCs w:val="20"/>
                <w:color w:val="auto"/>
              </w:rPr>
            </w:pPr>
            <w:r>
              <w:rPr>
                <w:rFonts w:ascii="Arial" w:cs="Arial" w:eastAsia="Arial" w:hAnsi="Arial"/>
                <w:sz w:val="14"/>
                <w:szCs w:val="14"/>
                <w:color w:val="auto"/>
              </w:rPr>
              <w:t>San Jose (2)</w:t>
            </w:r>
          </w:p>
        </w:tc>
        <w:tc>
          <w:tcPr>
            <w:tcW w:w="2380" w:type="dxa"/>
            <w:vAlign w:val="bottom"/>
          </w:tcPr>
          <w:p>
            <w:pPr>
              <w:ind w:left="540"/>
              <w:spacing w:after="0"/>
              <w:rPr>
                <w:sz w:val="20"/>
                <w:szCs w:val="20"/>
                <w:color w:val="auto"/>
              </w:rPr>
            </w:pPr>
            <w:r>
              <w:rPr>
                <w:rFonts w:ascii="Arial" w:cs="Arial" w:eastAsia="Arial" w:hAnsi="Arial"/>
                <w:sz w:val="14"/>
                <w:szCs w:val="14"/>
                <w:color w:val="auto"/>
              </w:rPr>
              <w:t>Lauderdale Lakes</w:t>
            </w:r>
          </w:p>
        </w:tc>
        <w:tc>
          <w:tcPr>
            <w:tcW w:w="2220" w:type="dxa"/>
            <w:vAlign w:val="bottom"/>
          </w:tcPr>
          <w:p>
            <w:pPr>
              <w:ind w:left="340"/>
              <w:spacing w:after="0"/>
              <w:rPr>
                <w:sz w:val="20"/>
                <w:szCs w:val="20"/>
                <w:color w:val="auto"/>
              </w:rPr>
            </w:pPr>
            <w:r>
              <w:rPr>
                <w:rFonts w:ascii="Arial" w:cs="Arial" w:eastAsia="Arial" w:hAnsi="Arial"/>
                <w:sz w:val="14"/>
                <w:szCs w:val="14"/>
                <w:color w:val="auto"/>
              </w:rPr>
              <w:t>St. Charles</w:t>
            </w:r>
          </w:p>
        </w:tc>
        <w:tc>
          <w:tcPr>
            <w:tcW w:w="2260" w:type="dxa"/>
            <w:vAlign w:val="bottom"/>
          </w:tcPr>
          <w:p>
            <w:pPr>
              <w:ind w:left="400"/>
              <w:spacing w:after="0"/>
              <w:rPr>
                <w:sz w:val="20"/>
                <w:szCs w:val="20"/>
                <w:color w:val="auto"/>
              </w:rPr>
            </w:pPr>
            <w:r>
              <w:rPr>
                <w:rFonts w:ascii="Arial" w:cs="Arial" w:eastAsia="Arial" w:hAnsi="Arial"/>
                <w:sz w:val="14"/>
                <w:szCs w:val="14"/>
                <w:color w:val="auto"/>
              </w:rPr>
              <w:t>Largo</w:t>
            </w:r>
          </w:p>
        </w:tc>
        <w:tc>
          <w:tcPr>
            <w:tcW w:w="1880" w:type="dxa"/>
            <w:vAlign w:val="bottom"/>
          </w:tcPr>
          <w:p>
            <w:pPr>
              <w:spacing w:after="0"/>
              <w:rPr>
                <w:sz w:val="14"/>
                <w:szCs w:val="14"/>
                <w:color w:val="auto"/>
              </w:rPr>
            </w:pPr>
          </w:p>
        </w:tc>
      </w:tr>
    </w:tbl>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240" w:top="459" w:right="8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Casual Male Big &amp; Tall Retail and Outlet stores, continued</w:t>
            </w:r>
          </w:p>
        </w:tc>
        <w:tc>
          <w:tcPr>
            <w:tcW w:w="2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93"/>
        </w:trPr>
        <w:tc>
          <w:tcPr>
            <w:tcW w:w="2180" w:type="dxa"/>
            <w:vAlign w:val="bottom"/>
            <w:tcBorders>
              <w:top w:val="single" w:sz="8" w:color="auto"/>
            </w:tcBorders>
          </w:tcPr>
          <w:p>
            <w:pPr>
              <w:jc w:val="center"/>
              <w:ind w:left="292"/>
              <w:spacing w:after="0"/>
              <w:rPr>
                <w:sz w:val="20"/>
                <w:szCs w:val="20"/>
                <w:color w:val="auto"/>
              </w:rPr>
            </w:pPr>
            <w:r>
              <w:rPr>
                <w:rFonts w:ascii="Arial" w:cs="Arial" w:eastAsia="Arial" w:hAnsi="Arial"/>
                <w:sz w:val="14"/>
                <w:szCs w:val="14"/>
                <w:b w:val="1"/>
                <w:bCs w:val="1"/>
                <w:i w:val="1"/>
                <w:iCs w:val="1"/>
                <w:color w:val="auto"/>
                <w:w w:val="82"/>
              </w:rPr>
              <w:t>Mississippi</w:t>
            </w:r>
          </w:p>
        </w:tc>
        <w:tc>
          <w:tcPr>
            <w:tcW w:w="1120" w:type="dxa"/>
            <w:vAlign w:val="bottom"/>
            <w:tcBorders>
              <w:top w:val="single" w:sz="8" w:color="auto"/>
            </w:tcBorders>
          </w:tcPr>
          <w:p>
            <w:pPr>
              <w:spacing w:after="0"/>
              <w:rPr>
                <w:sz w:val="24"/>
                <w:szCs w:val="24"/>
                <w:color w:val="auto"/>
              </w:rPr>
            </w:pPr>
          </w:p>
        </w:tc>
        <w:tc>
          <w:tcPr>
            <w:tcW w:w="1160" w:type="dxa"/>
            <w:vAlign w:val="bottom"/>
          </w:tcPr>
          <w:p>
            <w:pPr>
              <w:jc w:val="center"/>
              <w:ind w:right="352"/>
              <w:spacing w:after="0"/>
              <w:rPr>
                <w:sz w:val="20"/>
                <w:szCs w:val="20"/>
                <w:color w:val="auto"/>
              </w:rPr>
            </w:pPr>
            <w:r>
              <w:rPr>
                <w:rFonts w:ascii="Arial" w:cs="Arial" w:eastAsia="Arial" w:hAnsi="Arial"/>
                <w:sz w:val="14"/>
                <w:szCs w:val="14"/>
                <w:b w:val="1"/>
                <w:bCs w:val="1"/>
                <w:i w:val="1"/>
                <w:iCs w:val="1"/>
                <w:color w:val="auto"/>
                <w:w w:val="84"/>
              </w:rPr>
              <w:t>Nevada</w:t>
            </w:r>
          </w:p>
        </w:tc>
        <w:tc>
          <w:tcPr>
            <w:tcW w:w="2240" w:type="dxa"/>
            <w:vAlign w:val="bottom"/>
          </w:tcPr>
          <w:p>
            <w:pPr>
              <w:jc w:val="center"/>
              <w:ind w:left="592"/>
              <w:spacing w:after="0"/>
              <w:rPr>
                <w:sz w:val="20"/>
                <w:szCs w:val="20"/>
                <w:color w:val="auto"/>
              </w:rPr>
            </w:pPr>
            <w:r>
              <w:rPr>
                <w:rFonts w:ascii="Arial" w:cs="Arial" w:eastAsia="Arial" w:hAnsi="Arial"/>
                <w:sz w:val="14"/>
                <w:szCs w:val="14"/>
                <w:b w:val="1"/>
                <w:bCs w:val="1"/>
                <w:i w:val="1"/>
                <w:iCs w:val="1"/>
                <w:color w:val="auto"/>
                <w:w w:val="81"/>
              </w:rPr>
              <w:t>Ohio</w:t>
            </w:r>
          </w:p>
        </w:tc>
        <w:tc>
          <w:tcPr>
            <w:tcW w:w="2280" w:type="dxa"/>
            <w:vAlign w:val="bottom"/>
          </w:tcPr>
          <w:p>
            <w:pPr>
              <w:jc w:val="center"/>
              <w:ind w:left="592"/>
              <w:spacing w:after="0"/>
              <w:rPr>
                <w:sz w:val="20"/>
                <w:szCs w:val="20"/>
                <w:color w:val="auto"/>
              </w:rPr>
            </w:pPr>
            <w:r>
              <w:rPr>
                <w:rFonts w:ascii="Arial" w:cs="Arial" w:eastAsia="Arial" w:hAnsi="Arial"/>
                <w:sz w:val="14"/>
                <w:szCs w:val="14"/>
                <w:b w:val="1"/>
                <w:bCs w:val="1"/>
                <w:i w:val="1"/>
                <w:iCs w:val="1"/>
                <w:color w:val="auto"/>
                <w:w w:val="86"/>
              </w:rPr>
              <w:t>South Carolina</w:t>
            </w:r>
          </w:p>
        </w:tc>
        <w:tc>
          <w:tcPr>
            <w:tcW w:w="1780" w:type="dxa"/>
            <w:vAlign w:val="bottom"/>
          </w:tcPr>
          <w:p>
            <w:pPr>
              <w:jc w:val="center"/>
              <w:ind w:left="972"/>
              <w:spacing w:after="0"/>
              <w:rPr>
                <w:sz w:val="20"/>
                <w:szCs w:val="20"/>
                <w:color w:val="auto"/>
              </w:rPr>
            </w:pPr>
            <w:r>
              <w:rPr>
                <w:rFonts w:ascii="Arial" w:cs="Arial" w:eastAsia="Arial" w:hAnsi="Arial"/>
                <w:sz w:val="14"/>
                <w:szCs w:val="14"/>
                <w:b w:val="1"/>
                <w:bCs w:val="1"/>
                <w:i w:val="1"/>
                <w:iCs w:val="1"/>
                <w:color w:val="auto"/>
                <w:w w:val="89"/>
              </w:rPr>
              <w:t>Virginia</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Jackson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Henderson</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Akron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Anderson</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Alexandria</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Gulfport*</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Las Vegas (2)</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Boardman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Charleston</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Charlottesville</w:t>
            </w:r>
          </w:p>
        </w:tc>
      </w:tr>
      <w:tr>
        <w:trPr>
          <w:trHeight w:val="149"/>
        </w:trPr>
        <w:tc>
          <w:tcPr>
            <w:tcW w:w="2180" w:type="dxa"/>
            <w:vAlign w:val="bottom"/>
          </w:tcPr>
          <w:p>
            <w:pPr>
              <w:spacing w:after="0"/>
              <w:rPr>
                <w:sz w:val="12"/>
                <w:szCs w:val="12"/>
                <w:color w:val="auto"/>
              </w:rPr>
            </w:pP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Reno</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Burbank*</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Columbia (2)*</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Fairfax</w:t>
            </w:r>
          </w:p>
        </w:tc>
      </w:tr>
      <w:tr>
        <w:trPr>
          <w:trHeight w:val="149"/>
        </w:trPr>
        <w:tc>
          <w:tcPr>
            <w:tcW w:w="2180" w:type="dxa"/>
            <w:vAlign w:val="bottom"/>
          </w:tcPr>
          <w:p>
            <w:pPr>
              <w:jc w:val="center"/>
              <w:ind w:left="292"/>
              <w:spacing w:after="0" w:line="149" w:lineRule="exact"/>
              <w:rPr>
                <w:sz w:val="20"/>
                <w:szCs w:val="20"/>
                <w:color w:val="auto"/>
              </w:rPr>
            </w:pPr>
            <w:r>
              <w:rPr>
                <w:rFonts w:ascii="Arial" w:cs="Arial" w:eastAsia="Arial" w:hAnsi="Arial"/>
                <w:sz w:val="14"/>
                <w:szCs w:val="14"/>
                <w:b w:val="1"/>
                <w:bCs w:val="1"/>
                <w:i w:val="1"/>
                <w:iCs w:val="1"/>
                <w:color w:val="auto"/>
                <w:w w:val="86"/>
              </w:rPr>
              <w:t>Missouri</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Canton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Florence</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Fredericksburg</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Chesterfield</w:t>
            </w:r>
          </w:p>
        </w:tc>
        <w:tc>
          <w:tcPr>
            <w:tcW w:w="1120" w:type="dxa"/>
            <w:vAlign w:val="bottom"/>
          </w:tcPr>
          <w:p>
            <w:pPr>
              <w:spacing w:after="0"/>
              <w:rPr>
                <w:sz w:val="12"/>
                <w:szCs w:val="12"/>
                <w:color w:val="auto"/>
              </w:rPr>
            </w:pPr>
          </w:p>
        </w:tc>
        <w:tc>
          <w:tcPr>
            <w:tcW w:w="1160" w:type="dxa"/>
            <w:vAlign w:val="bottom"/>
          </w:tcPr>
          <w:p>
            <w:pPr>
              <w:jc w:val="center"/>
              <w:ind w:right="352"/>
              <w:spacing w:after="0" w:line="149" w:lineRule="exact"/>
              <w:rPr>
                <w:sz w:val="20"/>
                <w:szCs w:val="20"/>
                <w:color w:val="auto"/>
              </w:rPr>
            </w:pPr>
            <w:r>
              <w:rPr>
                <w:rFonts w:ascii="Arial" w:cs="Arial" w:eastAsia="Arial" w:hAnsi="Arial"/>
                <w:sz w:val="14"/>
                <w:szCs w:val="14"/>
                <w:b w:val="1"/>
                <w:bCs w:val="1"/>
                <w:i w:val="1"/>
                <w:iCs w:val="1"/>
                <w:color w:val="auto"/>
                <w:w w:val="84"/>
              </w:rPr>
              <w:t>New York</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Cincinnati</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Gaffney*</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Hampton</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Columbia</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Albany</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Columbus (5)*</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Greenville</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Lightfoot*</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Independence</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Bayshore L.I.</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Fairlawn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Myrtle Beach*</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Manassas</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Kansas City</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Bronx</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Jeffersonville*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Spartanburg</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Norfolk</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Richmond Heights</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Brooklyn (3)</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Lyndhurst</w:t>
            </w:r>
          </w:p>
        </w:tc>
        <w:tc>
          <w:tcPr>
            <w:tcW w:w="2280" w:type="dxa"/>
            <w:vAlign w:val="bottom"/>
          </w:tcPr>
          <w:p>
            <w:pPr>
              <w:spacing w:after="0"/>
              <w:rPr>
                <w:sz w:val="12"/>
                <w:szCs w:val="12"/>
                <w:color w:val="auto"/>
              </w:rPr>
            </w:pP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Richmond (2)</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St. Ana</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Camillus</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Mansfield</w:t>
            </w:r>
          </w:p>
        </w:tc>
        <w:tc>
          <w:tcPr>
            <w:tcW w:w="2280" w:type="dxa"/>
            <w:vAlign w:val="bottom"/>
          </w:tcPr>
          <w:p>
            <w:pPr>
              <w:jc w:val="center"/>
              <w:ind w:left="612"/>
              <w:spacing w:after="0" w:line="149" w:lineRule="exact"/>
              <w:rPr>
                <w:sz w:val="20"/>
                <w:szCs w:val="20"/>
                <w:color w:val="auto"/>
              </w:rPr>
            </w:pPr>
            <w:r>
              <w:rPr>
                <w:rFonts w:ascii="Arial" w:cs="Arial" w:eastAsia="Arial" w:hAnsi="Arial"/>
                <w:sz w:val="14"/>
                <w:szCs w:val="14"/>
                <w:b w:val="1"/>
                <w:bCs w:val="1"/>
                <w:i w:val="1"/>
                <w:iCs w:val="1"/>
                <w:color w:val="auto"/>
                <w:w w:val="84"/>
              </w:rPr>
              <w:t>South Dakota</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Roanoke</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St. Louis</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Carle Place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Mentor</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Sioux Falls</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Sterling</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St. Peters</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Centerreach</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Miamisburg (2)</w:t>
            </w:r>
          </w:p>
        </w:tc>
        <w:tc>
          <w:tcPr>
            <w:tcW w:w="2280" w:type="dxa"/>
            <w:vAlign w:val="bottom"/>
          </w:tcPr>
          <w:p>
            <w:pPr>
              <w:spacing w:after="0"/>
              <w:rPr>
                <w:sz w:val="12"/>
                <w:szCs w:val="12"/>
                <w:color w:val="auto"/>
              </w:rPr>
            </w:pP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Virginia Beach</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Springfield</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Cheektowaga</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Niles</w:t>
            </w:r>
          </w:p>
        </w:tc>
        <w:tc>
          <w:tcPr>
            <w:tcW w:w="2280" w:type="dxa"/>
            <w:vAlign w:val="bottom"/>
          </w:tcPr>
          <w:p>
            <w:pPr>
              <w:jc w:val="center"/>
              <w:ind w:left="612"/>
              <w:spacing w:after="0" w:line="149" w:lineRule="exact"/>
              <w:rPr>
                <w:sz w:val="20"/>
                <w:szCs w:val="20"/>
                <w:color w:val="auto"/>
              </w:rPr>
            </w:pPr>
            <w:r>
              <w:rPr>
                <w:rFonts w:ascii="Arial" w:cs="Arial" w:eastAsia="Arial" w:hAnsi="Arial"/>
                <w:sz w:val="14"/>
                <w:szCs w:val="14"/>
                <w:b w:val="1"/>
                <w:bCs w:val="1"/>
                <w:i w:val="1"/>
                <w:iCs w:val="1"/>
                <w:color w:val="auto"/>
                <w:w w:val="77"/>
              </w:rPr>
              <w:t>Tennessee</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Woodbridge*</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Branson*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Elmhurst</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North Olmsted</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Antioch</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Osage Beach*</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Fresh Meadows</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North Randall</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Chattanooga</w:t>
            </w:r>
          </w:p>
        </w:tc>
        <w:tc>
          <w:tcPr>
            <w:tcW w:w="1780" w:type="dxa"/>
            <w:vAlign w:val="bottom"/>
          </w:tcPr>
          <w:p>
            <w:pPr>
              <w:jc w:val="center"/>
              <w:ind w:left="972"/>
              <w:spacing w:after="0" w:line="149" w:lineRule="exact"/>
              <w:rPr>
                <w:sz w:val="20"/>
                <w:szCs w:val="20"/>
                <w:color w:val="auto"/>
              </w:rPr>
            </w:pPr>
            <w:r>
              <w:rPr>
                <w:rFonts w:ascii="Arial" w:cs="Arial" w:eastAsia="Arial" w:hAnsi="Arial"/>
                <w:sz w:val="14"/>
                <w:szCs w:val="14"/>
                <w:b w:val="1"/>
                <w:bCs w:val="1"/>
                <w:i w:val="1"/>
                <w:iCs w:val="1"/>
                <w:color w:val="auto"/>
                <w:w w:val="82"/>
              </w:rPr>
              <w:t>Washington</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Warrentown*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Greece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Springdale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Jackson</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Auburn*</w:t>
            </w:r>
          </w:p>
        </w:tc>
      </w:tr>
      <w:tr>
        <w:trPr>
          <w:trHeight w:val="149"/>
        </w:trPr>
        <w:tc>
          <w:tcPr>
            <w:tcW w:w="2180" w:type="dxa"/>
            <w:vAlign w:val="bottom"/>
          </w:tcPr>
          <w:p>
            <w:pPr>
              <w:spacing w:after="0"/>
              <w:rPr>
                <w:sz w:val="12"/>
                <w:szCs w:val="12"/>
                <w:color w:val="auto"/>
              </w:rPr>
            </w:pP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Greenburgh</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Toledo</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Knoxville</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Bellevue</w:t>
            </w:r>
          </w:p>
        </w:tc>
      </w:tr>
      <w:tr>
        <w:trPr>
          <w:trHeight w:val="149"/>
        </w:trPr>
        <w:tc>
          <w:tcPr>
            <w:tcW w:w="2180" w:type="dxa"/>
            <w:vAlign w:val="bottom"/>
          </w:tcPr>
          <w:p>
            <w:pPr>
              <w:jc w:val="center"/>
              <w:ind w:left="292"/>
              <w:spacing w:after="0" w:line="149" w:lineRule="exact"/>
              <w:rPr>
                <w:sz w:val="20"/>
                <w:szCs w:val="20"/>
                <w:color w:val="auto"/>
              </w:rPr>
            </w:pPr>
            <w:r>
              <w:rPr>
                <w:rFonts w:ascii="Arial" w:cs="Arial" w:eastAsia="Arial" w:hAnsi="Arial"/>
                <w:sz w:val="14"/>
                <w:szCs w:val="14"/>
                <w:b w:val="1"/>
                <w:bCs w:val="1"/>
                <w:i w:val="1"/>
                <w:iCs w:val="1"/>
                <w:color w:val="auto"/>
                <w:w w:val="85"/>
              </w:rPr>
              <w:t>Nebraska</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Irondequoit</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Trotwood</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Lakeland*</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Lynnwood</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Lincoln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Johnson City</w:t>
            </w:r>
          </w:p>
        </w:tc>
        <w:tc>
          <w:tcPr>
            <w:tcW w:w="2240" w:type="dxa"/>
            <w:vAlign w:val="bottom"/>
          </w:tcPr>
          <w:p>
            <w:pPr>
              <w:spacing w:after="0"/>
              <w:rPr>
                <w:sz w:val="12"/>
                <w:szCs w:val="12"/>
                <w:color w:val="auto"/>
              </w:rPr>
            </w:pP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Memphis (2)</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Seattle</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Omaha (3)</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Lake George*</w:t>
            </w:r>
          </w:p>
        </w:tc>
        <w:tc>
          <w:tcPr>
            <w:tcW w:w="2240" w:type="dxa"/>
            <w:vAlign w:val="bottom"/>
          </w:tcPr>
          <w:p>
            <w:pPr>
              <w:jc w:val="center"/>
              <w:ind w:left="592"/>
              <w:spacing w:after="0" w:line="149" w:lineRule="exact"/>
              <w:rPr>
                <w:sz w:val="20"/>
                <w:szCs w:val="20"/>
                <w:color w:val="auto"/>
              </w:rPr>
            </w:pPr>
            <w:r>
              <w:rPr>
                <w:rFonts w:ascii="Arial" w:cs="Arial" w:eastAsia="Arial" w:hAnsi="Arial"/>
                <w:sz w:val="14"/>
                <w:szCs w:val="14"/>
                <w:b w:val="1"/>
                <w:bCs w:val="1"/>
                <w:i w:val="1"/>
                <w:iCs w:val="1"/>
                <w:color w:val="auto"/>
                <w:w w:val="85"/>
              </w:rPr>
              <w:t>Oklahoma</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No. Memphis</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Spokane</w:t>
            </w:r>
          </w:p>
        </w:tc>
      </w:tr>
      <w:tr>
        <w:trPr>
          <w:trHeight w:val="149"/>
        </w:trPr>
        <w:tc>
          <w:tcPr>
            <w:tcW w:w="2180" w:type="dxa"/>
            <w:vAlign w:val="bottom"/>
          </w:tcPr>
          <w:p>
            <w:pPr>
              <w:spacing w:after="0"/>
              <w:rPr>
                <w:sz w:val="12"/>
                <w:szCs w:val="12"/>
                <w:color w:val="auto"/>
              </w:rPr>
            </w:pP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Massapequa</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Oklahoma City (2)</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Pigeon Forge*</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Tacoma</w:t>
            </w:r>
          </w:p>
        </w:tc>
      </w:tr>
      <w:tr>
        <w:trPr>
          <w:trHeight w:val="149"/>
        </w:trPr>
        <w:tc>
          <w:tcPr>
            <w:tcW w:w="2180" w:type="dxa"/>
            <w:vAlign w:val="bottom"/>
          </w:tcPr>
          <w:p>
            <w:pPr>
              <w:jc w:val="center"/>
              <w:ind w:left="292"/>
              <w:spacing w:after="0" w:line="149" w:lineRule="exact"/>
              <w:rPr>
                <w:sz w:val="20"/>
                <w:szCs w:val="20"/>
                <w:color w:val="auto"/>
              </w:rPr>
            </w:pPr>
            <w:r>
              <w:rPr>
                <w:rFonts w:ascii="Arial" w:cs="Arial" w:eastAsia="Arial" w:hAnsi="Arial"/>
                <w:sz w:val="14"/>
                <w:szCs w:val="14"/>
                <w:b w:val="1"/>
                <w:bCs w:val="1"/>
                <w:i w:val="1"/>
                <w:iCs w:val="1"/>
                <w:color w:val="auto"/>
                <w:w w:val="85"/>
              </w:rPr>
              <w:t>New Hampshire</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Nanuet</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Tulsa</w:t>
            </w:r>
          </w:p>
        </w:tc>
        <w:tc>
          <w:tcPr>
            <w:tcW w:w="228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Salem</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New York</w:t>
            </w:r>
          </w:p>
        </w:tc>
        <w:tc>
          <w:tcPr>
            <w:tcW w:w="2240" w:type="dxa"/>
            <w:vAlign w:val="bottom"/>
          </w:tcPr>
          <w:p>
            <w:pPr>
              <w:spacing w:after="0"/>
              <w:rPr>
                <w:sz w:val="12"/>
                <w:szCs w:val="12"/>
                <w:color w:val="auto"/>
              </w:rPr>
            </w:pPr>
          </w:p>
        </w:tc>
        <w:tc>
          <w:tcPr>
            <w:tcW w:w="2280" w:type="dxa"/>
            <w:vAlign w:val="bottom"/>
          </w:tcPr>
          <w:p>
            <w:pPr>
              <w:jc w:val="center"/>
              <w:ind w:left="612"/>
              <w:spacing w:after="0" w:line="149" w:lineRule="exact"/>
              <w:rPr>
                <w:sz w:val="20"/>
                <w:szCs w:val="20"/>
                <w:color w:val="auto"/>
              </w:rPr>
            </w:pPr>
            <w:r>
              <w:rPr>
                <w:rFonts w:ascii="Arial" w:cs="Arial" w:eastAsia="Arial" w:hAnsi="Arial"/>
                <w:sz w:val="14"/>
                <w:szCs w:val="14"/>
                <w:b w:val="1"/>
                <w:bCs w:val="1"/>
                <w:i w:val="1"/>
                <w:iCs w:val="1"/>
                <w:color w:val="auto"/>
                <w:w w:val="80"/>
              </w:rPr>
              <w:t>Texas</w:t>
            </w:r>
          </w:p>
        </w:tc>
        <w:tc>
          <w:tcPr>
            <w:tcW w:w="1780" w:type="dxa"/>
            <w:vAlign w:val="bottom"/>
          </w:tcPr>
          <w:p>
            <w:pPr>
              <w:jc w:val="center"/>
              <w:ind w:left="972"/>
              <w:spacing w:after="0" w:line="149" w:lineRule="exact"/>
              <w:rPr>
                <w:sz w:val="20"/>
                <w:szCs w:val="20"/>
                <w:color w:val="auto"/>
              </w:rPr>
            </w:pPr>
            <w:r>
              <w:rPr>
                <w:rFonts w:ascii="Arial" w:cs="Arial" w:eastAsia="Arial" w:hAnsi="Arial"/>
                <w:sz w:val="14"/>
                <w:szCs w:val="14"/>
                <w:b w:val="1"/>
                <w:bCs w:val="1"/>
                <w:i w:val="1"/>
                <w:iCs w:val="1"/>
                <w:color w:val="auto"/>
                <w:w w:val="82"/>
              </w:rPr>
              <w:t>Wisconsin</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Manchester</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Niagara Falls*</w:t>
            </w:r>
          </w:p>
        </w:tc>
        <w:tc>
          <w:tcPr>
            <w:tcW w:w="2240" w:type="dxa"/>
            <w:vAlign w:val="bottom"/>
          </w:tcPr>
          <w:p>
            <w:pPr>
              <w:jc w:val="center"/>
              <w:ind w:left="592"/>
              <w:spacing w:after="0" w:line="149" w:lineRule="exact"/>
              <w:rPr>
                <w:sz w:val="20"/>
                <w:szCs w:val="20"/>
                <w:color w:val="auto"/>
              </w:rPr>
            </w:pPr>
            <w:r>
              <w:rPr>
                <w:rFonts w:ascii="Arial" w:cs="Arial" w:eastAsia="Arial" w:hAnsi="Arial"/>
                <w:sz w:val="14"/>
                <w:szCs w:val="14"/>
                <w:b w:val="1"/>
                <w:bCs w:val="1"/>
                <w:i w:val="1"/>
                <w:iCs w:val="1"/>
                <w:color w:val="auto"/>
                <w:w w:val="84"/>
              </w:rPr>
              <w:t>Oregon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Amarillo</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Brookfield</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Tilton*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Northport</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Beaverton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Arlington</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Brown Deer</w:t>
            </w:r>
          </w:p>
        </w:tc>
      </w:tr>
      <w:tr>
        <w:trPr>
          <w:trHeight w:val="149"/>
        </w:trPr>
        <w:tc>
          <w:tcPr>
            <w:tcW w:w="2180" w:type="dxa"/>
            <w:vAlign w:val="bottom"/>
          </w:tcPr>
          <w:p>
            <w:pPr>
              <w:spacing w:after="0"/>
              <w:rPr>
                <w:sz w:val="12"/>
                <w:szCs w:val="12"/>
                <w:color w:val="auto"/>
              </w:rPr>
            </w:pP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Patchogue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Eugene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Austin</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Grand Chute</w:t>
            </w:r>
          </w:p>
        </w:tc>
      </w:tr>
      <w:tr>
        <w:trPr>
          <w:trHeight w:val="149"/>
        </w:trPr>
        <w:tc>
          <w:tcPr>
            <w:tcW w:w="2180" w:type="dxa"/>
            <w:vAlign w:val="bottom"/>
          </w:tcPr>
          <w:p>
            <w:pPr>
              <w:jc w:val="center"/>
              <w:ind w:left="272"/>
              <w:spacing w:after="0" w:line="149" w:lineRule="exact"/>
              <w:rPr>
                <w:sz w:val="20"/>
                <w:szCs w:val="20"/>
                <w:color w:val="auto"/>
              </w:rPr>
            </w:pPr>
            <w:r>
              <w:rPr>
                <w:rFonts w:ascii="Arial" w:cs="Arial" w:eastAsia="Arial" w:hAnsi="Arial"/>
                <w:sz w:val="14"/>
                <w:szCs w:val="14"/>
                <w:b w:val="1"/>
                <w:bCs w:val="1"/>
                <w:i w:val="1"/>
                <w:iCs w:val="1"/>
                <w:color w:val="auto"/>
                <w:w w:val="83"/>
              </w:rPr>
              <w:t>New Jersey</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Poughkeepsie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Lincoln City*</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Beaumont</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Green Bay</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Bloomfield</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Riverhead*</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Portland</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College Station</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Greenfield</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Cherry Hill</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Rochester</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Salem</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Conroe*</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Johnson Creek*</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Deptford</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Staten Island</w:t>
            </w:r>
          </w:p>
        </w:tc>
        <w:tc>
          <w:tcPr>
            <w:tcW w:w="2240" w:type="dxa"/>
            <w:vAlign w:val="bottom"/>
          </w:tcPr>
          <w:p>
            <w:pPr>
              <w:spacing w:after="0"/>
              <w:rPr>
                <w:sz w:val="12"/>
                <w:szCs w:val="12"/>
                <w:color w:val="auto"/>
              </w:rPr>
            </w:pP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Corpus Christi</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Kenosha*</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E. Brunswick</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Tonawanda</w:t>
            </w:r>
          </w:p>
        </w:tc>
        <w:tc>
          <w:tcPr>
            <w:tcW w:w="2240" w:type="dxa"/>
            <w:vAlign w:val="bottom"/>
          </w:tcPr>
          <w:p>
            <w:pPr>
              <w:jc w:val="center"/>
              <w:ind w:left="592"/>
              <w:spacing w:after="0" w:line="149" w:lineRule="exact"/>
              <w:rPr>
                <w:sz w:val="20"/>
                <w:szCs w:val="20"/>
                <w:color w:val="auto"/>
              </w:rPr>
            </w:pPr>
            <w:r>
              <w:rPr>
                <w:rFonts w:ascii="Arial" w:cs="Arial" w:eastAsia="Arial" w:hAnsi="Arial"/>
                <w:sz w:val="14"/>
                <w:szCs w:val="14"/>
                <w:b w:val="1"/>
                <w:bCs w:val="1"/>
                <w:i w:val="1"/>
                <w:iCs w:val="1"/>
                <w:color w:val="auto"/>
                <w:w w:val="82"/>
              </w:rPr>
              <w:t>Pennsylvania</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Dallas (2)</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Madison</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East Hanover</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Valley Stream</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Altoona</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El Paso</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Mosinee*</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East Rutherford</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Victor</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Bridgeville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Fort Worth</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Eatontown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Waterloo*</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Erie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Hillsboro*</w:t>
            </w:r>
          </w:p>
        </w:tc>
        <w:tc>
          <w:tcPr>
            <w:tcW w:w="1780" w:type="dxa"/>
            <w:vAlign w:val="bottom"/>
          </w:tcPr>
          <w:p>
            <w:pPr>
              <w:jc w:val="center"/>
              <w:ind w:left="972"/>
              <w:spacing w:after="0" w:line="149" w:lineRule="exact"/>
              <w:rPr>
                <w:sz w:val="20"/>
                <w:szCs w:val="20"/>
                <w:color w:val="auto"/>
              </w:rPr>
            </w:pPr>
            <w:r>
              <w:rPr>
                <w:rFonts w:ascii="Arial" w:cs="Arial" w:eastAsia="Arial" w:hAnsi="Arial"/>
                <w:sz w:val="14"/>
                <w:szCs w:val="14"/>
                <w:b w:val="1"/>
                <w:bCs w:val="1"/>
                <w:i w:val="1"/>
                <w:iCs w:val="1"/>
                <w:color w:val="auto"/>
                <w:w w:val="83"/>
              </w:rPr>
              <w:t>West Virginia</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Hazlet</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Yonkers</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Franklin Mills</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Houston (6)</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Barboursville</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Jackson*</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Gettysburg*</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Humble</w:t>
            </w:r>
          </w:p>
        </w:tc>
        <w:tc>
          <w:tcPr>
            <w:tcW w:w="1780" w:type="dxa"/>
            <w:vAlign w:val="bottom"/>
          </w:tcPr>
          <w:p>
            <w:pPr>
              <w:ind w:left="380"/>
              <w:spacing w:after="0" w:line="149" w:lineRule="exact"/>
              <w:rPr>
                <w:sz w:val="20"/>
                <w:szCs w:val="20"/>
                <w:color w:val="auto"/>
              </w:rPr>
            </w:pPr>
            <w:r>
              <w:rPr>
                <w:rFonts w:ascii="Arial" w:cs="Arial" w:eastAsia="Arial" w:hAnsi="Arial"/>
                <w:sz w:val="14"/>
                <w:szCs w:val="14"/>
                <w:color w:val="auto"/>
              </w:rPr>
              <w:t>South Charleston</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Lawrenceville</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Grove City*</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Hurst</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Linden</w:t>
            </w:r>
          </w:p>
        </w:tc>
        <w:tc>
          <w:tcPr>
            <w:tcW w:w="228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i w:val="1"/>
                <w:iCs w:val="1"/>
                <w:color w:val="auto"/>
                <w:w w:val="88"/>
              </w:rPr>
              <w:t>North Carolina</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Harrisburg</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Irving</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May’s Landing</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Asheville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King Of Prussia</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Laredo</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Menlo Park</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Burlington*</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Lancaster*</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Lewisville</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Paramus</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Charlotte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Langhorne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Lubbock</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Riverton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Fayetteville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Philadelphia (3)*</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Mesquite</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Secaucus</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Greensboro</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Pittsburgh (2)</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Midland</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Somerville</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Greenville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Scranton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Pasadena</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Succasunna</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Pineville</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Springfield</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Plano</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Toms River</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Raleigh</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Tannersville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San Antonio (3)</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Totowa</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Smithfield*</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West Mifflin</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San Marcos*</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Union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Wilmington</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Whitehall</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Selma</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West Berlin</w:t>
            </w: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Winston-Salem</w:t>
            </w: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Wilkes Barre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Shenandoah</w:t>
            </w:r>
          </w:p>
        </w:tc>
        <w:tc>
          <w:tcPr>
            <w:tcW w:w="1780" w:type="dxa"/>
            <w:vAlign w:val="bottom"/>
          </w:tcPr>
          <w:p>
            <w:pPr>
              <w:spacing w:after="0"/>
              <w:rPr>
                <w:sz w:val="12"/>
                <w:szCs w:val="12"/>
                <w:color w:val="auto"/>
              </w:rPr>
            </w:pPr>
          </w:p>
        </w:tc>
      </w:tr>
      <w:tr>
        <w:trPr>
          <w:trHeight w:val="149"/>
        </w:trPr>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Willow Grove</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Sunset Valley</w:t>
            </w:r>
          </w:p>
        </w:tc>
        <w:tc>
          <w:tcPr>
            <w:tcW w:w="1780" w:type="dxa"/>
            <w:vAlign w:val="bottom"/>
          </w:tcPr>
          <w:p>
            <w:pPr>
              <w:spacing w:after="0"/>
              <w:rPr>
                <w:sz w:val="12"/>
                <w:szCs w:val="12"/>
                <w:color w:val="auto"/>
              </w:rPr>
            </w:pPr>
          </w:p>
        </w:tc>
      </w:tr>
      <w:tr>
        <w:trPr>
          <w:trHeight w:val="149"/>
        </w:trPr>
        <w:tc>
          <w:tcPr>
            <w:tcW w:w="2180" w:type="dxa"/>
            <w:vAlign w:val="bottom"/>
          </w:tcPr>
          <w:p>
            <w:pPr>
              <w:jc w:val="center"/>
              <w:ind w:left="292"/>
              <w:spacing w:after="0" w:line="149" w:lineRule="exact"/>
              <w:rPr>
                <w:sz w:val="20"/>
                <w:szCs w:val="20"/>
                <w:color w:val="auto"/>
              </w:rPr>
            </w:pPr>
            <w:r>
              <w:rPr>
                <w:rFonts w:ascii="Arial" w:cs="Arial" w:eastAsia="Arial" w:hAnsi="Arial"/>
                <w:sz w:val="14"/>
                <w:szCs w:val="14"/>
                <w:b w:val="1"/>
                <w:bCs w:val="1"/>
                <w:i w:val="1"/>
                <w:iCs w:val="1"/>
                <w:color w:val="auto"/>
                <w:w w:val="87"/>
              </w:rPr>
              <w:t>New Mexico</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Wyomissing</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Tyler</w:t>
            </w:r>
          </w:p>
        </w:tc>
        <w:tc>
          <w:tcPr>
            <w:tcW w:w="1780" w:type="dxa"/>
            <w:vAlign w:val="bottom"/>
          </w:tcPr>
          <w:p>
            <w:pPr>
              <w:spacing w:after="0"/>
              <w:rPr>
                <w:sz w:val="12"/>
                <w:szCs w:val="12"/>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Albuquerque (2)</w:t>
            </w: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York</w:t>
            </w: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Waco</w:t>
            </w:r>
          </w:p>
        </w:tc>
        <w:tc>
          <w:tcPr>
            <w:tcW w:w="1780" w:type="dxa"/>
            <w:vAlign w:val="bottom"/>
          </w:tcPr>
          <w:p>
            <w:pPr>
              <w:spacing w:after="0"/>
              <w:rPr>
                <w:sz w:val="12"/>
                <w:szCs w:val="12"/>
                <w:color w:val="auto"/>
              </w:rPr>
            </w:pPr>
          </w:p>
        </w:tc>
      </w:tr>
      <w:tr>
        <w:trPr>
          <w:trHeight w:val="149"/>
        </w:trPr>
        <w:tc>
          <w:tcPr>
            <w:tcW w:w="2180" w:type="dxa"/>
            <w:vAlign w:val="bottom"/>
          </w:tcPr>
          <w:p>
            <w:pPr>
              <w:spacing w:after="0"/>
              <w:rPr>
                <w:sz w:val="12"/>
                <w:szCs w:val="12"/>
                <w:color w:val="auto"/>
              </w:rPr>
            </w:pPr>
          </w:p>
        </w:tc>
        <w:tc>
          <w:tcPr>
            <w:tcW w:w="2280" w:type="dxa"/>
            <w:vAlign w:val="bottom"/>
            <w:gridSpan w:val="2"/>
          </w:tcPr>
          <w:p>
            <w:pPr>
              <w:jc w:val="center"/>
              <w:ind w:left="652"/>
              <w:spacing w:after="0" w:line="149" w:lineRule="exact"/>
              <w:rPr>
                <w:sz w:val="20"/>
                <w:szCs w:val="20"/>
                <w:color w:val="auto"/>
              </w:rPr>
            </w:pPr>
            <w:r>
              <w:rPr>
                <w:rFonts w:ascii="Arial" w:cs="Arial" w:eastAsia="Arial" w:hAnsi="Arial"/>
                <w:sz w:val="14"/>
                <w:szCs w:val="14"/>
                <w:b w:val="1"/>
                <w:bCs w:val="1"/>
                <w:i w:val="1"/>
                <w:iCs w:val="1"/>
                <w:color w:val="auto"/>
                <w:w w:val="86"/>
              </w:rPr>
              <w:t>North Dakota</w:t>
            </w:r>
          </w:p>
        </w:tc>
        <w:tc>
          <w:tcPr>
            <w:tcW w:w="2240" w:type="dxa"/>
            <w:vAlign w:val="bottom"/>
          </w:tcPr>
          <w:p>
            <w:pPr>
              <w:spacing w:after="0"/>
              <w:rPr>
                <w:sz w:val="12"/>
                <w:szCs w:val="12"/>
                <w:color w:val="auto"/>
              </w:rPr>
            </w:pPr>
          </w:p>
        </w:tc>
        <w:tc>
          <w:tcPr>
            <w:tcW w:w="2280" w:type="dxa"/>
            <w:vAlign w:val="bottom"/>
          </w:tcPr>
          <w:p>
            <w:pPr>
              <w:ind w:left="400"/>
              <w:spacing w:after="0" w:line="149" w:lineRule="exact"/>
              <w:rPr>
                <w:sz w:val="20"/>
                <w:szCs w:val="20"/>
                <w:color w:val="auto"/>
              </w:rPr>
            </w:pPr>
            <w:r>
              <w:rPr>
                <w:rFonts w:ascii="Arial" w:cs="Arial" w:eastAsia="Arial" w:hAnsi="Arial"/>
                <w:sz w:val="14"/>
                <w:szCs w:val="14"/>
                <w:color w:val="auto"/>
              </w:rPr>
              <w:t>Webster</w:t>
            </w:r>
          </w:p>
        </w:tc>
        <w:tc>
          <w:tcPr>
            <w:tcW w:w="1780" w:type="dxa"/>
            <w:vAlign w:val="bottom"/>
          </w:tcPr>
          <w:p>
            <w:pPr>
              <w:spacing w:after="0"/>
              <w:rPr>
                <w:sz w:val="12"/>
                <w:szCs w:val="12"/>
                <w:color w:val="auto"/>
              </w:rPr>
            </w:pPr>
          </w:p>
        </w:tc>
      </w:tr>
      <w:tr>
        <w:trPr>
          <w:trHeight w:val="149"/>
        </w:trPr>
        <w:tc>
          <w:tcPr>
            <w:tcW w:w="2180" w:type="dxa"/>
            <w:vAlign w:val="bottom"/>
          </w:tcPr>
          <w:p>
            <w:pPr>
              <w:spacing w:after="0"/>
              <w:rPr>
                <w:sz w:val="12"/>
                <w:szCs w:val="12"/>
                <w:color w:val="auto"/>
              </w:rPr>
            </w:pPr>
          </w:p>
        </w:tc>
        <w:tc>
          <w:tcPr>
            <w:tcW w:w="22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Fargo</w:t>
            </w:r>
          </w:p>
        </w:tc>
        <w:tc>
          <w:tcPr>
            <w:tcW w:w="2240" w:type="dxa"/>
            <w:vAlign w:val="bottom"/>
          </w:tcPr>
          <w:p>
            <w:pPr>
              <w:jc w:val="center"/>
              <w:ind w:left="592"/>
              <w:spacing w:after="0" w:line="149" w:lineRule="exact"/>
              <w:rPr>
                <w:sz w:val="20"/>
                <w:szCs w:val="20"/>
                <w:color w:val="auto"/>
              </w:rPr>
            </w:pPr>
            <w:r>
              <w:rPr>
                <w:rFonts w:ascii="Arial" w:cs="Arial" w:eastAsia="Arial" w:hAnsi="Arial"/>
                <w:sz w:val="14"/>
                <w:szCs w:val="14"/>
                <w:b w:val="1"/>
                <w:bCs w:val="1"/>
                <w:i w:val="1"/>
                <w:iCs w:val="1"/>
                <w:color w:val="auto"/>
                <w:w w:val="84"/>
              </w:rPr>
              <w:t>Rhode Island</w:t>
            </w:r>
          </w:p>
        </w:tc>
        <w:tc>
          <w:tcPr>
            <w:tcW w:w="228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9"/>
        </w:trPr>
        <w:tc>
          <w:tcPr>
            <w:tcW w:w="2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40" w:type="dxa"/>
            <w:vAlign w:val="bottom"/>
          </w:tcPr>
          <w:p>
            <w:pPr>
              <w:ind w:left="360"/>
              <w:spacing w:after="0" w:line="149" w:lineRule="exact"/>
              <w:rPr>
                <w:sz w:val="20"/>
                <w:szCs w:val="20"/>
                <w:color w:val="auto"/>
              </w:rPr>
            </w:pPr>
            <w:r>
              <w:rPr>
                <w:rFonts w:ascii="Arial" w:cs="Arial" w:eastAsia="Arial" w:hAnsi="Arial"/>
                <w:sz w:val="14"/>
                <w:szCs w:val="14"/>
                <w:color w:val="auto"/>
              </w:rPr>
              <w:t>Warwick</w:t>
            </w:r>
          </w:p>
        </w:tc>
        <w:tc>
          <w:tcPr>
            <w:tcW w:w="2280" w:type="dxa"/>
            <w:vAlign w:val="bottom"/>
          </w:tcPr>
          <w:p>
            <w:pPr>
              <w:jc w:val="center"/>
              <w:ind w:left="612"/>
              <w:spacing w:after="0" w:line="149" w:lineRule="exact"/>
              <w:rPr>
                <w:sz w:val="20"/>
                <w:szCs w:val="20"/>
                <w:color w:val="auto"/>
              </w:rPr>
            </w:pPr>
            <w:r>
              <w:rPr>
                <w:rFonts w:ascii="Arial" w:cs="Arial" w:eastAsia="Arial" w:hAnsi="Arial"/>
                <w:sz w:val="14"/>
                <w:szCs w:val="14"/>
                <w:b w:val="1"/>
                <w:bCs w:val="1"/>
                <w:i w:val="1"/>
                <w:iCs w:val="1"/>
                <w:color w:val="auto"/>
                <w:w w:val="84"/>
              </w:rPr>
              <w:t>Vermont</w:t>
            </w:r>
          </w:p>
        </w:tc>
        <w:tc>
          <w:tcPr>
            <w:tcW w:w="1780" w:type="dxa"/>
            <w:vAlign w:val="bottom"/>
          </w:tcPr>
          <w:p>
            <w:pPr>
              <w:spacing w:after="0"/>
              <w:rPr>
                <w:sz w:val="12"/>
                <w:szCs w:val="12"/>
                <w:color w:val="auto"/>
              </w:rPr>
            </w:pPr>
          </w:p>
        </w:tc>
      </w:tr>
      <w:tr>
        <w:trPr>
          <w:trHeight w:val="172"/>
        </w:trPr>
        <w:tc>
          <w:tcPr>
            <w:tcW w:w="2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80" w:type="dxa"/>
            <w:vAlign w:val="bottom"/>
          </w:tcPr>
          <w:p>
            <w:pPr>
              <w:ind w:left="400"/>
              <w:spacing w:after="0"/>
              <w:rPr>
                <w:sz w:val="20"/>
                <w:szCs w:val="20"/>
                <w:color w:val="auto"/>
              </w:rPr>
            </w:pPr>
            <w:r>
              <w:rPr>
                <w:rFonts w:ascii="Arial" w:cs="Arial" w:eastAsia="Arial" w:hAnsi="Arial"/>
                <w:sz w:val="14"/>
                <w:szCs w:val="14"/>
                <w:color w:val="auto"/>
              </w:rPr>
              <w:t>S. Burlington</w:t>
            </w:r>
          </w:p>
        </w:tc>
        <w:tc>
          <w:tcPr>
            <w:tcW w:w="1780" w:type="dxa"/>
            <w:vAlign w:val="bottom"/>
          </w:tcPr>
          <w:p>
            <w:pPr>
              <w:spacing w:after="0"/>
              <w:rPr>
                <w:sz w:val="14"/>
                <w:szCs w:val="14"/>
                <w:color w:val="auto"/>
              </w:rPr>
            </w:pPr>
          </w:p>
        </w:tc>
      </w:tr>
    </w:tbl>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60"/>
          </w:cols>
          <w:pgMar w:left="240" w:top="459" w:right="8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Rochester Big &amp; Tall stores</w:t>
            </w:r>
          </w:p>
        </w:tc>
        <w:tc>
          <w:tcPr>
            <w:tcW w:w="2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Sears Canada Stores</w:t>
            </w:r>
          </w:p>
        </w:tc>
      </w:tr>
      <w:tr>
        <w:trPr>
          <w:trHeight w:val="110"/>
        </w:trPr>
        <w:tc>
          <w:tcPr>
            <w:tcW w:w="1880" w:type="dxa"/>
            <w:vAlign w:val="bottom"/>
            <w:tcBorders>
              <w:bottom w:val="single" w:sz="8" w:color="auto"/>
            </w:tcBorders>
          </w:tcPr>
          <w:p>
            <w:pPr>
              <w:spacing w:after="0"/>
              <w:rPr>
                <w:sz w:val="9"/>
                <w:szCs w:val="9"/>
                <w:color w:val="auto"/>
              </w:rPr>
            </w:pPr>
          </w:p>
        </w:tc>
        <w:tc>
          <w:tcPr>
            <w:tcW w:w="692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r>
      <w:tr>
        <w:trPr>
          <w:trHeight w:val="318"/>
        </w:trPr>
        <w:tc>
          <w:tcPr>
            <w:tcW w:w="18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49"/>
        </w:trPr>
        <w:tc>
          <w:tcPr>
            <w:tcW w:w="880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b w:val="1"/>
                <w:bCs w:val="1"/>
                <w:i w:val="1"/>
                <w:iCs w:val="1"/>
                <w:color w:val="auto"/>
              </w:rPr>
              <w:t>Southwest</w:t>
            </w:r>
          </w:p>
        </w:tc>
        <w:tc>
          <w:tcPr>
            <w:tcW w:w="26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Alberta</w:t>
            </w: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Phoenix, AR</w:t>
            </w: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Calgary – Downtown</w:t>
            </w:r>
          </w:p>
        </w:tc>
      </w:tr>
      <w:tr>
        <w:trPr>
          <w:trHeight w:val="176"/>
        </w:trPr>
        <w:tc>
          <w:tcPr>
            <w:tcW w:w="8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Beverley Hills, CA</w:t>
            </w:r>
          </w:p>
        </w:tc>
        <w:tc>
          <w:tcPr>
            <w:tcW w:w="26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Calgary- 14</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Ave</w:t>
            </w: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Costa Mesa, CA</w:t>
            </w: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Calgary – South Centre</w:t>
            </w: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Fresno, CA</w:t>
            </w: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Edmonton – Kingsway</w:t>
            </w: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Sacramento, CA</w:t>
            </w: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Edmonton – Southgate</w:t>
            </w: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Francisco (2), CA</w:t>
            </w:r>
          </w:p>
        </w:tc>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San Jose, CA</w:t>
            </w:r>
          </w:p>
        </w:tc>
        <w:tc>
          <w:tcPr>
            <w:tcW w:w="2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British Columbia</w:t>
            </w: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Mateo, CA</w:t>
            </w: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Vancouver</w:t>
            </w: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Walnut Creek, CA</w:t>
            </w: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 NV</w:t>
            </w:r>
          </w:p>
        </w:tc>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Dallas, TX</w:t>
            </w:r>
          </w:p>
        </w:tc>
        <w:tc>
          <w:tcPr>
            <w:tcW w:w="2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Ontario</w:t>
            </w: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Houston, TX</w:t>
            </w: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Kitchener</w:t>
            </w:r>
          </w:p>
        </w:tc>
      </w:tr>
      <w:tr>
        <w:trPr>
          <w:trHeight w:val="149"/>
        </w:trPr>
        <w:tc>
          <w:tcPr>
            <w:tcW w:w="188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Windsor</w:t>
            </w:r>
          </w:p>
        </w:tc>
      </w:tr>
      <w:tr>
        <w:trPr>
          <w:trHeight w:val="149"/>
        </w:trPr>
        <w:tc>
          <w:tcPr>
            <w:tcW w:w="1880" w:type="dxa"/>
            <w:vAlign w:val="bottom"/>
            <w:shd w:val="clear" w:color="auto" w:fill="CCEEFF"/>
          </w:tcPr>
          <w:p>
            <w:pPr>
              <w:spacing w:after="0"/>
              <w:rPr>
                <w:sz w:val="12"/>
                <w:szCs w:val="12"/>
                <w:color w:val="auto"/>
              </w:rPr>
            </w:pPr>
          </w:p>
        </w:tc>
        <w:tc>
          <w:tcPr>
            <w:tcW w:w="692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Pickering</w:t>
            </w:r>
          </w:p>
        </w:tc>
      </w:tr>
      <w:tr>
        <w:trPr>
          <w:trHeight w:val="149"/>
        </w:trPr>
        <w:tc>
          <w:tcPr>
            <w:tcW w:w="8800" w:type="dxa"/>
            <w:vAlign w:val="bottom"/>
            <w:gridSpan w:val="2"/>
          </w:tcPr>
          <w:p>
            <w:pPr>
              <w:ind w:left="880"/>
              <w:spacing w:after="0" w:line="149" w:lineRule="exact"/>
              <w:rPr>
                <w:sz w:val="20"/>
                <w:szCs w:val="20"/>
                <w:color w:val="auto"/>
              </w:rPr>
            </w:pPr>
            <w:r>
              <w:rPr>
                <w:rFonts w:ascii="Arial" w:cs="Arial" w:eastAsia="Arial" w:hAnsi="Arial"/>
                <w:sz w:val="14"/>
                <w:szCs w:val="14"/>
                <w:b w:val="1"/>
                <w:bCs w:val="1"/>
                <w:i w:val="1"/>
                <w:iCs w:val="1"/>
                <w:color w:val="auto"/>
              </w:rPr>
              <w:t>Southeast</w:t>
            </w: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London</w:t>
            </w: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Aventura, FL</w:t>
            </w: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Toronto</w:t>
            </w: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Atlanta, GA</w:t>
            </w: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Etobicoke</w:t>
            </w: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w:t>
            </w: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Scarbough</w:t>
            </w:r>
          </w:p>
        </w:tc>
      </w:tr>
      <w:tr>
        <w:trPr>
          <w:trHeight w:val="257"/>
        </w:trPr>
        <w:tc>
          <w:tcPr>
            <w:tcW w:w="8800" w:type="dxa"/>
            <w:vAlign w:val="bottom"/>
            <w:gridSpan w:val="2"/>
          </w:tcPr>
          <w:p>
            <w:pPr>
              <w:ind w:left="880"/>
              <w:spacing w:after="0"/>
              <w:rPr>
                <w:sz w:val="20"/>
                <w:szCs w:val="20"/>
                <w:color w:val="auto"/>
              </w:rPr>
            </w:pPr>
            <w:r>
              <w:rPr>
                <w:rFonts w:ascii="Arial" w:cs="Arial" w:eastAsia="Arial" w:hAnsi="Arial"/>
                <w:sz w:val="14"/>
                <w:szCs w:val="14"/>
                <w:b w:val="1"/>
                <w:bCs w:val="1"/>
                <w:i w:val="1"/>
                <w:iCs w:val="1"/>
                <w:color w:val="auto"/>
              </w:rPr>
              <w:t>North</w:t>
            </w:r>
          </w:p>
        </w:tc>
        <w:tc>
          <w:tcPr>
            <w:tcW w:w="14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Boston, MA</w:t>
            </w: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9"/>
        </w:trPr>
        <w:tc>
          <w:tcPr>
            <w:tcW w:w="8800" w:type="dxa"/>
            <w:vAlign w:val="bottom"/>
            <w:gridSpan w:val="2"/>
          </w:tcPr>
          <w:p>
            <w:pPr>
              <w:spacing w:after="0" w:line="149" w:lineRule="exact"/>
              <w:rPr>
                <w:sz w:val="20"/>
                <w:szCs w:val="20"/>
                <w:color w:val="auto"/>
              </w:rPr>
            </w:pPr>
            <w:r>
              <w:rPr>
                <w:rFonts w:ascii="Arial" w:cs="Arial" w:eastAsia="Arial" w:hAnsi="Arial"/>
                <w:sz w:val="14"/>
                <w:szCs w:val="14"/>
                <w:color w:val="auto"/>
              </w:rPr>
              <w:t>Seattle, WA</w:t>
            </w: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Southfield, MI</w:t>
            </w:r>
          </w:p>
        </w:tc>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57"/>
        </w:trPr>
        <w:tc>
          <w:tcPr>
            <w:tcW w:w="8800" w:type="dxa"/>
            <w:vAlign w:val="bottom"/>
            <w:gridSpan w:val="2"/>
          </w:tcPr>
          <w:p>
            <w:pPr>
              <w:ind w:left="880"/>
              <w:spacing w:after="0"/>
              <w:rPr>
                <w:sz w:val="20"/>
                <w:szCs w:val="20"/>
                <w:color w:val="auto"/>
              </w:rPr>
            </w:pPr>
            <w:r>
              <w:rPr>
                <w:rFonts w:ascii="Arial" w:cs="Arial" w:eastAsia="Arial" w:hAnsi="Arial"/>
                <w:sz w:val="14"/>
                <w:szCs w:val="14"/>
                <w:b w:val="1"/>
                <w:bCs w:val="1"/>
                <w:i w:val="1"/>
                <w:iCs w:val="1"/>
                <w:color w:val="auto"/>
              </w:rPr>
              <w:t>International</w:t>
            </w:r>
          </w:p>
        </w:tc>
        <w:tc>
          <w:tcPr>
            <w:tcW w:w="14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49"/>
        </w:trPr>
        <w:tc>
          <w:tcPr>
            <w:tcW w:w="8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London, England</w:t>
            </w:r>
          </w:p>
        </w:tc>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i w:val="1"/>
          <w:iCs w:val="1"/>
          <w:color w:val="auto"/>
        </w:rPr>
        <w:t>Legal Proceedings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2003, a class action lawsuit was filed against the Company in California Superior Court. The complaint alleged, among other things, that the Company failed to pay overtime compensation and to provide meal and rest breaks to the Company’s California store managers for the period May 14, 2002 through the present. Subsequently, in a lawsuit filed in United States District Court, Northern District of California, the case was expanded to include all Casual Male managers nationwide. The lawsuit seeks unpaid overtime, meal and rest period penalties, waiting time penalties and injunctive relief under the Fair Labor Standards Act (“FLSA”) and the California Labor Code. The California claims were consolidated into the federal court action and the state court lawsuit was dismissed. No class has been certified, and the parties are currently conducting initial discovery and preparing for mediation. Casual Male hopes to resolve this case at mediation. However, if that is not possible, the Company has strong factual and legal defenses and plans to defend the claims vigorously. There can be no assurances, however, that such claims will not be successful in whole or in part.</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i w:val="1"/>
          <w:iCs w:val="1"/>
          <w:color w:val="auto"/>
        </w:rPr>
        <w:t>Submission of Matters to a Vote of Security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the Company’s security holders during the fourth quarter of fiscal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i w:val="1"/>
          <w:iCs w:val="1"/>
          <w:color w:val="auto"/>
        </w:rPr>
        <w:t>Market for the Registrant’s Common Equity and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for trading on the NASDAQ National Market under the symbol “CMRG.”</w:t>
      </w:r>
    </w:p>
    <w:p>
      <w:pPr>
        <w:spacing w:after="0" w:line="15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per share closing sales prices for the Common Stock, as reported on the Nasdaq consolidated reporting system.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w:t>
            </w:r>
          </w:p>
        </w:tc>
        <w:tc>
          <w:tcPr>
            <w:tcW w:w="4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2004</w:t>
            </w:r>
          </w:p>
        </w:tc>
        <w:tc>
          <w:tcPr>
            <w:tcW w:w="45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High</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Low</w:t>
            </w:r>
          </w:p>
        </w:tc>
        <w:tc>
          <w:tcPr>
            <w:tcW w:w="2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First Quarter</w:t>
            </w:r>
          </w:p>
        </w:tc>
        <w:tc>
          <w:tcPr>
            <w:tcW w:w="45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4.43</w:t>
            </w:r>
          </w:p>
        </w:tc>
        <w:tc>
          <w:tcPr>
            <w:tcW w:w="600" w:type="dxa"/>
            <w:vAlign w:val="bottom"/>
          </w:tcPr>
          <w:p>
            <w:pPr>
              <w:jc w:val="right"/>
              <w:spacing w:after="0"/>
              <w:rPr>
                <w:sz w:val="20"/>
                <w:szCs w:val="20"/>
                <w:color w:val="auto"/>
              </w:rPr>
            </w:pPr>
            <w:r>
              <w:rPr>
                <w:rFonts w:ascii="Arial" w:cs="Arial" w:eastAsia="Arial" w:hAnsi="Arial"/>
                <w:sz w:val="18"/>
                <w:szCs w:val="18"/>
                <w:color w:val="auto"/>
              </w:rPr>
              <w:t>$ 2.28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5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Third Quarter</w:t>
            </w:r>
          </w:p>
        </w:tc>
        <w:tc>
          <w:tcPr>
            <w:tcW w:w="452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8.99</w:t>
            </w: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5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r>
      <w:tr>
        <w:trPr>
          <w:trHeight w:val="424"/>
        </w:trPr>
        <w:tc>
          <w:tcPr>
            <w:tcW w:w="5720" w:type="dxa"/>
            <w:vAlign w:val="bottom"/>
            <w:gridSpan w:val="2"/>
          </w:tcPr>
          <w:p>
            <w:pPr>
              <w:spacing w:after="0"/>
              <w:rPr>
                <w:sz w:val="20"/>
                <w:szCs w:val="20"/>
                <w:color w:val="auto"/>
              </w:rPr>
            </w:pPr>
            <w:r>
              <w:rPr>
                <w:rFonts w:ascii="Arial" w:cs="Arial" w:eastAsia="Arial" w:hAnsi="Arial"/>
                <w:sz w:val="18"/>
                <w:szCs w:val="18"/>
                <w:color w:val="auto"/>
              </w:rPr>
              <w:t>Fiscal Year Ended</w:t>
            </w:r>
          </w:p>
        </w:tc>
        <w:tc>
          <w:tcPr>
            <w:tcW w:w="4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January 29, 2005</w:t>
            </w:r>
          </w:p>
        </w:tc>
        <w:tc>
          <w:tcPr>
            <w:tcW w:w="4520" w:type="dxa"/>
            <w:vAlign w:val="bottom"/>
          </w:tcPr>
          <w:p>
            <w:pPr>
              <w:spacing w:after="0"/>
              <w:rPr>
                <w:sz w:val="20"/>
                <w:szCs w:val="20"/>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High</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Low</w:t>
            </w:r>
          </w:p>
        </w:tc>
      </w:tr>
      <w:tr>
        <w:trPr>
          <w:trHeight w:val="211"/>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8"/>
              </w:rPr>
              <w:t>10.57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Second Quarter</w:t>
            </w:r>
          </w:p>
        </w:tc>
        <w:tc>
          <w:tcPr>
            <w:tcW w:w="452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9.95</w:t>
            </w:r>
          </w:p>
        </w:tc>
        <w:tc>
          <w:tcPr>
            <w:tcW w:w="60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5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Fourth Quarter</w:t>
            </w:r>
          </w:p>
        </w:tc>
        <w:tc>
          <w:tcPr>
            <w:tcW w:w="452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5.77</w:t>
            </w:r>
          </w:p>
        </w:tc>
        <w:tc>
          <w:tcPr>
            <w:tcW w:w="60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of April 7, 2005, based upon data provided by independent shareholder communication services and the transfer agent for the Common Stock, there were approximately 272 holders of record of Common Stock.</w:t>
      </w:r>
    </w:p>
    <w:p>
      <w:pPr>
        <w:spacing w:after="0" w:line="118"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The Company has not paid and does not anticipate paying cash dividends on its Common Stock. In addition, financial covenants in the Company’s loan agreement may restrict dividend payments. For a description of these financial covenants see Note C to the Notes to the Consolidated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i w:val="1"/>
          <w:iCs w:val="1"/>
          <w:color w:val="auto"/>
        </w:rPr>
        <w:t>Selected Financial Data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Data-Historical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color w:val="auto"/>
                <w:w w:val="91"/>
              </w:rPr>
              <w:t xml:space="preserve">Fiscal Years Ended </w:t>
            </w:r>
            <w:r>
              <w:rPr>
                <w:rFonts w:ascii="Arial" w:cs="Arial" w:eastAsia="Arial" w:hAnsi="Arial"/>
                <w:sz w:val="22"/>
                <w:szCs w:val="22"/>
                <w:color w:val="auto"/>
                <w:w w:val="91"/>
                <w:vertAlign w:val="superscript"/>
              </w:rPr>
              <w:t>(1),(2)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w w:val="84"/>
              </w:rPr>
              <w:t>January 29,</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color w:val="auto"/>
                <w:w w:val="87"/>
              </w:rPr>
              <w:t>January 31,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4"/>
                <w:szCs w:val="14"/>
                <w:color w:val="auto"/>
                <w:w w:val="89"/>
              </w:rPr>
              <w:t>February 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color w:val="auto"/>
              </w:rPr>
              <w:t>February 2,</w:t>
            </w:r>
          </w:p>
        </w:tc>
        <w:tc>
          <w:tcPr>
            <w:tcW w:w="100" w:type="dxa"/>
            <w:vAlign w:val="bottom"/>
          </w:tcPr>
          <w:p>
            <w:pPr>
              <w:spacing w:after="0"/>
              <w:rPr>
                <w:sz w:val="21"/>
                <w:szCs w:val="21"/>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February 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33"/>
              <w:spacing w:after="0" w:line="144" w:lineRule="exact"/>
              <w:rPr>
                <w:sz w:val="20"/>
                <w:szCs w:val="20"/>
                <w:color w:val="auto"/>
              </w:rPr>
            </w:pPr>
            <w:r>
              <w:rPr>
                <w:rFonts w:ascii="Arial" w:cs="Arial" w:eastAsia="Arial" w:hAnsi="Arial"/>
                <w:sz w:val="14"/>
                <w:szCs w:val="14"/>
                <w:color w:val="auto"/>
              </w:rPr>
              <w:t>2005</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53"/>
              <w:spacing w:after="0" w:line="144" w:lineRule="exact"/>
              <w:rPr>
                <w:sz w:val="20"/>
                <w:szCs w:val="20"/>
                <w:color w:val="auto"/>
              </w:rPr>
            </w:pPr>
            <w:r>
              <w:rPr>
                <w:rFonts w:ascii="Arial" w:cs="Arial" w:eastAsia="Arial" w:hAnsi="Arial"/>
                <w:sz w:val="14"/>
                <w:szCs w:val="14"/>
                <w:color w:val="auto"/>
              </w:rPr>
              <w:t>2004</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53"/>
              <w:spacing w:after="0" w:line="144" w:lineRule="exact"/>
              <w:rPr>
                <w:sz w:val="20"/>
                <w:szCs w:val="20"/>
                <w:color w:val="auto"/>
              </w:rPr>
            </w:pPr>
            <w:r>
              <w:rPr>
                <w:rFonts w:ascii="Arial" w:cs="Arial" w:eastAsia="Arial" w:hAnsi="Arial"/>
                <w:sz w:val="14"/>
                <w:szCs w:val="14"/>
                <w:color w:val="auto"/>
              </w:rPr>
              <w:t>2003</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ind w:left="220"/>
              <w:spacing w:after="0" w:line="144" w:lineRule="exact"/>
              <w:rPr>
                <w:sz w:val="20"/>
                <w:szCs w:val="20"/>
                <w:color w:val="auto"/>
              </w:rPr>
            </w:pPr>
            <w:r>
              <w:rPr>
                <w:rFonts w:ascii="Arial" w:cs="Arial" w:eastAsia="Arial" w:hAnsi="Arial"/>
                <w:sz w:val="14"/>
                <w:szCs w:val="14"/>
                <w:color w:val="auto"/>
              </w:rPr>
              <w:t>2002</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220"/>
              <w:spacing w:after="0" w:line="144" w:lineRule="exact"/>
              <w:rPr>
                <w:sz w:val="20"/>
                <w:szCs w:val="20"/>
                <w:color w:val="auto"/>
              </w:rPr>
            </w:pPr>
            <w:r>
              <w:rPr>
                <w:rFonts w:ascii="Arial" w:cs="Arial" w:eastAsia="Arial" w:hAnsi="Arial"/>
                <w:sz w:val="14"/>
                <w:szCs w:val="14"/>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4"/>
              </w:rPr>
              <w:t>(Fiscal 2004)</w:t>
            </w:r>
            <w:r>
              <w:rPr>
                <w:rFonts w:ascii="Arial" w:cs="Arial" w:eastAsia="Arial" w:hAnsi="Arial"/>
                <w:sz w:val="22"/>
                <w:szCs w:val="22"/>
                <w:color w:val="auto"/>
                <w:w w:val="84"/>
                <w:vertAlign w:val="superscript"/>
              </w:rPr>
              <w:t>(3)</w:t>
            </w:r>
          </w:p>
        </w:tc>
        <w:tc>
          <w:tcPr>
            <w:tcW w:w="84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5"/>
              </w:rPr>
              <w:t xml:space="preserve">(Fiscal 2003) </w:t>
            </w:r>
            <w:r>
              <w:rPr>
                <w:rFonts w:ascii="Arial" w:cs="Arial" w:eastAsia="Arial" w:hAnsi="Arial"/>
                <w:sz w:val="22"/>
                <w:szCs w:val="22"/>
                <w:color w:val="auto"/>
                <w:w w:val="85"/>
                <w:vertAlign w:val="superscript"/>
              </w:rPr>
              <w:t>(3)</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5"/>
              </w:rPr>
              <w:t xml:space="preserve">(Fiscal 2002) </w:t>
            </w:r>
            <w:r>
              <w:rPr>
                <w:rFonts w:ascii="Arial" w:cs="Arial" w:eastAsia="Arial" w:hAnsi="Arial"/>
                <w:sz w:val="22"/>
                <w:szCs w:val="22"/>
                <w:color w:val="auto"/>
                <w:w w:val="85"/>
                <w:vertAlign w:val="superscript"/>
              </w:rPr>
              <w:t>(3)</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3"/>
              </w:rPr>
              <w:t xml:space="preserve">(Fiscal 2001) </w:t>
            </w:r>
            <w:r>
              <w:rPr>
                <w:rFonts w:ascii="Arial" w:cs="Arial" w:eastAsia="Arial" w:hAnsi="Arial"/>
                <w:sz w:val="22"/>
                <w:szCs w:val="22"/>
                <w:color w:val="auto"/>
                <w:w w:val="83"/>
                <w:vertAlign w:val="superscript"/>
              </w:rPr>
              <w:t>(3)</w:t>
            </w:r>
          </w:p>
        </w:tc>
        <w:tc>
          <w:tcPr>
            <w:tcW w:w="840" w:type="dxa"/>
            <w:vAlign w:val="bottom"/>
          </w:tcPr>
          <w:p>
            <w:pPr>
              <w:spacing w:after="0"/>
              <w:rPr>
                <w:sz w:val="24"/>
                <w:szCs w:val="2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83"/>
              </w:rPr>
              <w:t xml:space="preserve">(Fiscal 2000) </w:t>
            </w:r>
            <w:r>
              <w:rPr>
                <w:rFonts w:ascii="Arial" w:cs="Arial" w:eastAsia="Arial" w:hAnsi="Arial"/>
                <w:sz w:val="22"/>
                <w:szCs w:val="22"/>
                <w:color w:val="auto"/>
                <w:w w:val="83"/>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120" w:type="dxa"/>
            <w:vAlign w:val="bottom"/>
            <w:gridSpan w:val="10"/>
          </w:tcPr>
          <w:p>
            <w:pPr>
              <w:jc w:val="right"/>
              <w:ind w:right="980"/>
              <w:spacing w:after="0"/>
              <w:rPr>
                <w:sz w:val="20"/>
                <w:szCs w:val="20"/>
                <w:color w:val="auto"/>
              </w:rPr>
            </w:pPr>
            <w:r>
              <w:rPr>
                <w:rFonts w:ascii="Arial" w:cs="Arial" w:eastAsia="Arial" w:hAnsi="Arial"/>
                <w:sz w:val="14"/>
                <w:szCs w:val="14"/>
                <w:color w:val="auto"/>
                <w:w w:val="87"/>
              </w:rPr>
              <w:t>(In millions, except per share, weighted average shares and operating data)</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STATEMENT DATA: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Sales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365.0</w:t>
            </w:r>
          </w:p>
        </w:tc>
        <w:tc>
          <w:tcPr>
            <w:tcW w:w="8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339.3</w:t>
            </w:r>
          </w:p>
        </w:tc>
        <w:tc>
          <w:tcPr>
            <w:tcW w:w="460" w:type="dxa"/>
            <w:vAlign w:val="bottom"/>
          </w:tcPr>
          <w:p>
            <w:pPr>
              <w:spacing w:after="0"/>
              <w:rPr>
                <w:sz w:val="12"/>
                <w:szCs w:val="12"/>
                <w:color w:val="auto"/>
              </w:rPr>
            </w:pPr>
          </w:p>
        </w:tc>
        <w:tc>
          <w:tcPr>
            <w:tcW w:w="4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247.6</w:t>
            </w:r>
          </w:p>
        </w:tc>
        <w:tc>
          <w:tcPr>
            <w:tcW w:w="840" w:type="dxa"/>
            <w:vAlign w:val="bottom"/>
          </w:tcPr>
          <w:p>
            <w:pPr>
              <w:spacing w:after="0"/>
              <w:rPr>
                <w:sz w:val="12"/>
                <w:szCs w:val="12"/>
                <w:color w:val="auto"/>
              </w:rPr>
            </w:pP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 net of occupancy costs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132.5</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80.3</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Provision for impairment of assets, store closings and</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4"/>
                <w:szCs w:val="14"/>
                <w:color w:val="auto"/>
              </w:rPr>
              <w:t>5.1</w:t>
            </w:r>
            <w:r>
              <w:rPr>
                <w:rFonts w:ascii="Arial" w:cs="Arial" w:eastAsia="Arial" w:hAnsi="Arial"/>
                <w:sz w:val="22"/>
                <w:szCs w:val="22"/>
                <w:color w:val="auto"/>
                <w:vertAlign w:val="superscript"/>
              </w:rPr>
              <w:t>(6)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severance</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3"/>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100" w:type="dxa"/>
            <w:vAlign w:val="bottom"/>
          </w:tcPr>
          <w:p>
            <w:pPr>
              <w:spacing w:after="0"/>
              <w:rPr>
                <w:sz w:val="15"/>
                <w:szCs w:val="15"/>
                <w:color w:val="auto"/>
              </w:rPr>
            </w:pPr>
          </w:p>
        </w:tc>
        <w:tc>
          <w:tcPr>
            <w:tcW w:w="1600" w:type="dxa"/>
            <w:vAlign w:val="bottom"/>
            <w:gridSpan w:val="2"/>
          </w:tcPr>
          <w:p>
            <w:pPr>
              <w:jc w:val="right"/>
              <w:ind w:right="504"/>
              <w:spacing w:after="0" w:line="176" w:lineRule="exact"/>
              <w:rPr>
                <w:sz w:val="20"/>
                <w:szCs w:val="20"/>
                <w:color w:val="auto"/>
              </w:rPr>
            </w:pPr>
            <w:r>
              <w:rPr>
                <w:rFonts w:ascii="Arial" w:cs="Arial" w:eastAsia="Arial" w:hAnsi="Arial"/>
                <w:sz w:val="13"/>
                <w:szCs w:val="13"/>
                <w:color w:val="auto"/>
              </w:rPr>
              <w:t xml:space="preserve">(0.3)  </w:t>
            </w:r>
            <w:r>
              <w:rPr>
                <w:rFonts w:ascii="Arial" w:cs="Arial" w:eastAsia="Arial" w:hAnsi="Arial"/>
                <w:sz w:val="20"/>
                <w:szCs w:val="20"/>
                <w:color w:val="auto"/>
                <w:vertAlign w:val="superscript"/>
              </w:rPr>
              <w:t>(4)</w:t>
            </w:r>
          </w:p>
        </w:tc>
        <w:tc>
          <w:tcPr>
            <w:tcW w:w="100" w:type="dxa"/>
            <w:vAlign w:val="bottom"/>
          </w:tcPr>
          <w:p>
            <w:pPr>
              <w:spacing w:after="0"/>
              <w:rPr>
                <w:sz w:val="15"/>
                <w:szCs w:val="15"/>
                <w:color w:val="auto"/>
              </w:rPr>
            </w:pPr>
          </w:p>
        </w:tc>
        <w:tc>
          <w:tcPr>
            <w:tcW w:w="1260" w:type="dxa"/>
            <w:vAlign w:val="bottom"/>
            <w:gridSpan w:val="2"/>
          </w:tcPr>
          <w:p>
            <w:pPr>
              <w:jc w:val="right"/>
              <w:ind w:right="340"/>
              <w:spacing w:after="0" w:line="176" w:lineRule="exact"/>
              <w:rPr>
                <w:sz w:val="20"/>
                <w:szCs w:val="20"/>
                <w:color w:val="auto"/>
              </w:rPr>
            </w:pPr>
            <w:r>
              <w:rPr>
                <w:rFonts w:ascii="Arial" w:cs="Arial" w:eastAsia="Arial" w:hAnsi="Arial"/>
                <w:sz w:val="13"/>
                <w:szCs w:val="13"/>
                <w:color w:val="auto"/>
              </w:rPr>
              <w:t xml:space="preserve">14.1  </w:t>
            </w:r>
            <w:r>
              <w:rPr>
                <w:rFonts w:ascii="Arial" w:cs="Arial" w:eastAsia="Arial" w:hAnsi="Arial"/>
                <w:sz w:val="20"/>
                <w:szCs w:val="20"/>
                <w:color w:val="auto"/>
                <w:vertAlign w:val="superscript"/>
              </w:rPr>
              <w:t>(5)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from continuing operations before</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minority interest and taxes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(8.2)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tcPr>
          <w:p>
            <w:pPr>
              <w:spacing w:after="0"/>
              <w:rPr>
                <w:sz w:val="12"/>
                <w:szCs w:val="12"/>
                <w:color w:val="auto"/>
              </w:rPr>
            </w:pPr>
          </w:p>
        </w:tc>
        <w:tc>
          <w:tcPr>
            <w:tcW w:w="1600" w:type="dxa"/>
            <w:vAlign w:val="bottom"/>
            <w:gridSpan w:val="2"/>
          </w:tcPr>
          <w:p>
            <w:pPr>
              <w:jc w:val="right"/>
              <w:ind w:right="744"/>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720"/>
              <w:spacing w:after="0" w:line="176" w:lineRule="exact"/>
              <w:rPr>
                <w:sz w:val="20"/>
                <w:szCs w:val="20"/>
                <w:color w:val="auto"/>
              </w:rPr>
            </w:pPr>
            <w:r>
              <w:rPr>
                <w:rFonts w:ascii="Arial" w:cs="Arial" w:eastAsia="Arial" w:hAnsi="Arial"/>
                <w:sz w:val="20"/>
                <w:szCs w:val="20"/>
                <w:color w:val="auto"/>
                <w:vertAlign w:val="subscript"/>
              </w:rPr>
              <w:t>8.0</w:t>
            </w:r>
            <w:r>
              <w:rPr>
                <w:rFonts w:ascii="Arial" w:cs="Arial" w:eastAsia="Arial" w:hAnsi="Arial"/>
                <w:sz w:val="9"/>
                <w:szCs w:val="9"/>
                <w:color w:val="auto"/>
              </w:rPr>
              <w:t xml:space="preserve">  (6)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(8.5)</w:t>
            </w:r>
          </w:p>
        </w:tc>
        <w:tc>
          <w:tcPr>
            <w:tcW w:w="4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(4.0)</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Income (loss) from discontinued operations</w:t>
            </w:r>
          </w:p>
        </w:tc>
        <w:tc>
          <w:tcPr>
            <w:tcW w:w="100" w:type="dxa"/>
            <w:vAlign w:val="bottom"/>
          </w:tcPr>
          <w:p>
            <w:pPr>
              <w:spacing w:after="0"/>
              <w:rPr>
                <w:sz w:val="24"/>
                <w:szCs w:val="24"/>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0.5</w:t>
            </w:r>
          </w:p>
        </w:tc>
        <w:tc>
          <w:tcPr>
            <w:tcW w:w="840" w:type="dxa"/>
            <w:vAlign w:val="bottom"/>
          </w:tcPr>
          <w:p>
            <w:pPr>
              <w:jc w:val="right"/>
              <w:ind w:right="664"/>
              <w:spacing w:after="0"/>
              <w:rPr>
                <w:sz w:val="20"/>
                <w:szCs w:val="20"/>
                <w:color w:val="auto"/>
              </w:rPr>
            </w:pPr>
            <w:r>
              <w:rPr>
                <w:rFonts w:ascii="Arial" w:cs="Arial" w:eastAsia="Arial" w:hAnsi="Arial"/>
                <w:sz w:val="11"/>
                <w:szCs w:val="11"/>
                <w:color w:val="auto"/>
                <w:w w:val="74"/>
              </w:rPr>
              <w:t>(4)</w:t>
            </w:r>
          </w:p>
        </w:tc>
        <w:tc>
          <w:tcPr>
            <w:tcW w:w="10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 xml:space="preserve">(3.6)  </w:t>
            </w:r>
            <w:r>
              <w:rPr>
                <w:rFonts w:ascii="Arial" w:cs="Arial" w:eastAsia="Arial" w:hAnsi="Arial"/>
                <w:sz w:val="22"/>
                <w:szCs w:val="22"/>
                <w:color w:val="auto"/>
                <w:vertAlign w:val="superscript"/>
              </w:rPr>
              <w:t>(5)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color w:val="auto"/>
              </w:rPr>
              <w:t xml:space="preserve">(34.8)  </w:t>
            </w:r>
            <w:r>
              <w:rPr>
                <w:rFonts w:ascii="Arial" w:cs="Arial" w:eastAsia="Arial" w:hAnsi="Arial"/>
                <w:sz w:val="22"/>
                <w:szCs w:val="22"/>
                <w:color w:val="auto"/>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color w:val="auto"/>
              </w:rPr>
              <w:t xml:space="preserve">(7.9)  </w:t>
            </w:r>
            <w:r>
              <w:rPr>
                <w:rFonts w:ascii="Arial" w:cs="Arial" w:eastAsia="Arial" w:hAnsi="Arial"/>
                <w:sz w:val="22"/>
                <w:szCs w:val="22"/>
                <w:color w:val="auto"/>
                <w:vertAlign w:val="superscript"/>
              </w:rPr>
              <w:t>(7)</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1.5</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1"/>
                <w:szCs w:val="11"/>
                <w:color w:val="auto"/>
                <w:w w:val="74"/>
              </w:rPr>
              <w:t>(4)</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(38.8)</w:t>
            </w:r>
          </w:p>
        </w:tc>
        <w:tc>
          <w:tcPr>
            <w:tcW w:w="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per share from continuing operations -</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basic and diluted</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0.03</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(0.24)</w:t>
            </w:r>
          </w:p>
        </w:tc>
        <w:tc>
          <w:tcPr>
            <w:tcW w:w="48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800"/>
              <w:spacing w:after="0" w:line="159" w:lineRule="exact"/>
              <w:rPr>
                <w:sz w:val="20"/>
                <w:szCs w:val="20"/>
                <w:color w:val="auto"/>
              </w:rPr>
            </w:pPr>
            <w:r>
              <w:rPr>
                <w:rFonts w:ascii="Arial" w:cs="Arial" w:eastAsia="Arial" w:hAnsi="Arial"/>
                <w:sz w:val="14"/>
                <w:szCs w:val="14"/>
                <w:color w:val="auto"/>
              </w:rPr>
              <w:t>(0.16)</w:t>
            </w:r>
          </w:p>
        </w:tc>
        <w:tc>
          <w:tcPr>
            <w:tcW w:w="1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Net income (loss) per share- basic and diluted</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8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(0.34)</w:t>
            </w:r>
          </w:p>
        </w:tc>
        <w:tc>
          <w:tcPr>
            <w:tcW w:w="4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(1.54)</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(0.54)</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outstanding:</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ind w:left="120"/>
              <w:spacing w:after="0" w:line="149" w:lineRule="exact"/>
              <w:rPr>
                <w:sz w:val="20"/>
                <w:szCs w:val="20"/>
                <w:color w:val="auto"/>
              </w:rPr>
            </w:pPr>
            <w:r>
              <w:rPr>
                <w:rFonts w:ascii="Arial" w:cs="Arial" w:eastAsia="Arial" w:hAnsi="Arial"/>
                <w:sz w:val="14"/>
                <w:szCs w:val="14"/>
                <w:color w:val="auto"/>
              </w:rPr>
              <w:t>for net income (loss) per share-basic</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34,511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35,702</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25,117</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14,486</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Borders>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for net income(loss) per share-diluted</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36,733</w:t>
            </w:r>
          </w:p>
        </w:tc>
        <w:tc>
          <w:tcPr>
            <w:tcW w:w="8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35,702</w:t>
            </w:r>
          </w:p>
        </w:tc>
        <w:tc>
          <w:tcPr>
            <w:tcW w:w="4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25,117</w:t>
            </w:r>
          </w:p>
        </w:tc>
        <w:tc>
          <w:tcPr>
            <w:tcW w:w="8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14,486</w:t>
            </w:r>
          </w:p>
        </w:tc>
        <w:tc>
          <w:tcPr>
            <w:tcW w:w="8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600" w:type="dxa"/>
            <w:vAlign w:val="bottom"/>
            <w:gridSpan w:val="2"/>
          </w:tcPr>
          <w:p>
            <w:pPr>
              <w:spacing w:after="0"/>
              <w:rPr>
                <w:sz w:val="20"/>
                <w:szCs w:val="20"/>
                <w:color w:val="auto"/>
              </w:rPr>
            </w:pPr>
            <w:r>
              <w:rPr>
                <w:rFonts w:ascii="Arial" w:cs="Arial" w:eastAsia="Arial" w:hAnsi="Arial"/>
                <w:sz w:val="14"/>
                <w:szCs w:val="14"/>
                <w:color w:val="auto"/>
              </w:rPr>
              <w:t>BALANCE SHEET DATA:</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4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(4.0)</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79.9</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103.2</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267.8</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272.7</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266.9</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 term debt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80.8</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91.1</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42.4</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3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DATA: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Net sales per square foot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8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460" w:type="dxa"/>
            <w:vAlign w:val="bottom"/>
          </w:tcPr>
          <w:p>
            <w:pPr>
              <w:spacing w:after="0"/>
              <w:rPr>
                <w:sz w:val="12"/>
                <w:szCs w:val="12"/>
                <w:color w:val="auto"/>
              </w:rPr>
            </w:pPr>
          </w:p>
        </w:tc>
        <w:tc>
          <w:tcPr>
            <w:tcW w:w="4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840" w:type="dxa"/>
            <w:vAlign w:val="bottom"/>
          </w:tcPr>
          <w:p>
            <w:pPr>
              <w:spacing w:after="0"/>
              <w:rPr>
                <w:sz w:val="12"/>
                <w:szCs w:val="12"/>
                <w:color w:val="auto"/>
              </w:rPr>
            </w:pP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195</w:t>
            </w:r>
          </w:p>
        </w:tc>
        <w:tc>
          <w:tcPr>
            <w:tcW w:w="8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stores open at fiscal year end</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102</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-1742440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-1742440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-1742440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-1742440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-1742440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-1742440</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-1742440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-1742440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-1742440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-1742440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-1742440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-1742440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-1742440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-1742440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-1742440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fiscal year is a 52 or 53 week period ending on the Saturday closest to January 31. The fiscal year ended February 3, 2001 included 53 weeks.</w:t>
      </w:r>
    </w:p>
    <w:p>
      <w:pPr>
        <w:spacing w:after="0" w:line="55" w:lineRule="exact"/>
        <w:rPr>
          <w:rFonts w:ascii="Arial" w:cs="Arial" w:eastAsia="Arial" w:hAnsi="Arial"/>
          <w:sz w:val="14"/>
          <w:szCs w:val="14"/>
          <w:color w:val="auto"/>
        </w:rPr>
      </w:pPr>
    </w:p>
    <w:p>
      <w:pPr>
        <w:ind w:left="340" w:right="560" w:hanging="332"/>
        <w:spacing w:after="0" w:line="239"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results for fiscal 2004 include the effect, since October 30, 2004, of the acquisition of Rochester Big &amp; Tall Clothing. The results for fiscal 2002 include the effect, since May 14, 2002, of the acquisition of Casual Male Corporation and certain of its subsidiaries.</w:t>
      </w:r>
    </w:p>
    <w:p>
      <w:pPr>
        <w:spacing w:after="0" w:line="39" w:lineRule="exact"/>
        <w:rPr>
          <w:rFonts w:ascii="Arial" w:cs="Arial" w:eastAsia="Arial" w:hAnsi="Arial"/>
          <w:sz w:val="14"/>
          <w:szCs w:val="14"/>
          <w:color w:val="auto"/>
        </w:rPr>
      </w:pPr>
    </w:p>
    <w:p>
      <w:pPr>
        <w:ind w:left="340" w:right="280" w:hanging="332"/>
        <w:spacing w:after="0" w:line="21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2"/>
          <w:szCs w:val="12"/>
          <w:color w:val="auto"/>
        </w:rPr>
        <w:t>In fiscal 2004, the Company completed the closure of its Levi’s</w:t>
      </w:r>
      <w:r>
        <w:rPr>
          <w:rFonts w:ascii="Arial" w:cs="Arial" w:eastAsia="Arial" w:hAnsi="Arial"/>
          <w:sz w:val="20"/>
          <w:szCs w:val="20"/>
          <w:color w:val="auto"/>
          <w:vertAlign w:val="superscript"/>
        </w:rPr>
        <w:t>®</w:t>
      </w:r>
      <w:r>
        <w:rPr>
          <w:rFonts w:ascii="Arial" w:cs="Arial" w:eastAsia="Arial" w:hAnsi="Arial"/>
          <w:sz w:val="12"/>
          <w:szCs w:val="12"/>
          <w:color w:val="auto"/>
        </w:rPr>
        <w:t>/Dockers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business through the sale of 32 stores and the closure of the remaining 26 stores. In accordance with Statement of Financial Accounting Standards (“SFAS”) No. 144, “Accounting for the Impairment or Disposal of Long-Lived Assets,” the Company has shown the results of its Levi’s</w:t>
      </w:r>
      <w:r>
        <w:rPr>
          <w:rFonts w:ascii="Arial" w:cs="Arial" w:eastAsia="Arial" w:hAnsi="Arial"/>
          <w:sz w:val="20"/>
          <w:szCs w:val="20"/>
          <w:color w:val="auto"/>
          <w:vertAlign w:val="superscript"/>
        </w:rPr>
        <w:t>®</w:t>
      </w:r>
      <w:r>
        <w:rPr>
          <w:rFonts w:ascii="Arial" w:cs="Arial" w:eastAsia="Arial" w:hAnsi="Arial"/>
          <w:sz w:val="12"/>
          <w:szCs w:val="12"/>
          <w:color w:val="auto"/>
        </w:rPr>
        <w:t>/Dockers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business for all periods as discontinued operations. Accordingly, certain prior-year amounts on the Income Statement Data have been reclassified to discontinued operations to conform to the current-year presentation. Since the Company’s business consisted only of the Levi’s</w:t>
      </w:r>
      <w:r>
        <w:rPr>
          <w:rFonts w:ascii="Arial" w:cs="Arial" w:eastAsia="Arial" w:hAnsi="Arial"/>
          <w:sz w:val="20"/>
          <w:szCs w:val="20"/>
          <w:color w:val="auto"/>
          <w:vertAlign w:val="superscript"/>
        </w:rPr>
        <w:t>®</w:t>
      </w:r>
      <w:r>
        <w:rPr>
          <w:rFonts w:ascii="Arial" w:cs="Arial" w:eastAsia="Arial" w:hAnsi="Arial"/>
          <w:sz w:val="12"/>
          <w:szCs w:val="12"/>
          <w:color w:val="auto"/>
        </w:rPr>
        <w:t>/Dockers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business in fiscal 2001 and fiscal 2000 there were no continuing operations on a restated basis for those fiscal years.</w:t>
      </w:r>
    </w:p>
    <w:p>
      <w:pPr>
        <w:ind w:left="340" w:right="420" w:hanging="332"/>
        <w:spacing w:after="0" w:line="184"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2"/>
          <w:szCs w:val="12"/>
          <w:color w:val="auto"/>
        </w:rPr>
        <w:t>The results for fiscal 2004 include other income of $0.3 million related to the $3.1 million gain on the Company’s sale of its 50.5% interest in the Ecko Unltd.</w:t>
      </w:r>
      <w:r>
        <w:rPr>
          <w:rFonts w:ascii="Arial" w:cs="Arial" w:eastAsia="Arial" w:hAnsi="Arial"/>
          <w:sz w:val="19"/>
          <w:szCs w:val="19"/>
          <w:color w:val="auto"/>
          <w:vertAlign w:val="superscript"/>
        </w:rPr>
        <w:t>®</w:t>
      </w:r>
      <w:r>
        <w:rPr>
          <w:rFonts w:ascii="Arial" w:cs="Arial" w:eastAsia="Arial" w:hAnsi="Arial"/>
          <w:sz w:val="12"/>
          <w:szCs w:val="12"/>
          <w:color w:val="auto"/>
        </w:rPr>
        <w:t xml:space="preserve"> stores to Ecko.Complex, LLC, offset partially by approximately $1.9 million of costs incurred in the second quarter of fiscal 2004</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60"/>
        <w:spacing w:after="0" w:line="262" w:lineRule="auto"/>
        <w:rPr>
          <w:sz w:val="20"/>
          <w:szCs w:val="20"/>
          <w:color w:val="auto"/>
        </w:rPr>
      </w:pPr>
      <w:r>
        <w:rPr>
          <w:rFonts w:ascii="Arial" w:cs="Arial" w:eastAsia="Arial" w:hAnsi="Arial"/>
          <w:sz w:val="12"/>
          <w:szCs w:val="12"/>
          <w:color w:val="auto"/>
        </w:rPr>
        <w:t>related to the Company’s prepayment of its 12% Senior Subordinated Notes, due 2010, in addition to a write-off of approximately $0.9 million related to previously incurred costs associated with the Company’s intended spin-off of its subsidiary LP Innovations, Inc. which was postponed in fiscal 2004. Discontinued operations for fiscal 2004 include a gain of $1.2 million recognized from the sale of</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Company’s 32 Levi’s</w:t>
      </w:r>
      <w:r>
        <w:rPr>
          <w:rFonts w:ascii="Arial" w:cs="Arial" w:eastAsia="Arial" w:hAnsi="Arial"/>
          <w:sz w:val="22"/>
          <w:szCs w:val="22"/>
          <w:color w:val="auto"/>
          <w:vertAlign w:val="superscript"/>
        </w:rPr>
        <w:t>®</w:t>
      </w:r>
      <w:r>
        <w:rPr>
          <w:rFonts w:ascii="Arial" w:cs="Arial" w:eastAsia="Arial" w:hAnsi="Arial"/>
          <w:sz w:val="14"/>
          <w:szCs w:val="14"/>
          <w:color w:val="auto"/>
        </w:rPr>
        <w:t>/Dockers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outlet stores and reversal of approximately $2.5 million of restructuring reserves associated with these stores.</w:t>
      </w:r>
    </w:p>
    <w:p>
      <w:pPr>
        <w:spacing w:after="0" w:line="11" w:lineRule="exact"/>
        <w:rPr>
          <w:sz w:val="20"/>
          <w:szCs w:val="20"/>
          <w:color w:val="auto"/>
        </w:rPr>
      </w:pPr>
    </w:p>
    <w:p>
      <w:pPr>
        <w:ind w:left="340" w:right="140" w:hanging="332"/>
        <w:spacing w:after="0" w:line="297"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results for fiscal 2003 include a charge of approximately $14.1 million, primarily related to the write-off of costs and prepayment penalties incurred in connection with the Company’s prepayment of its long-term debt. Included in discontinued operations for fiscal 2003 is the reversal of $646,000 of restructuring liabilities related to excess reserves established for landlord settlements.</w:t>
      </w:r>
    </w:p>
    <w:p>
      <w:pPr>
        <w:spacing w:after="0" w:line="6" w:lineRule="exact"/>
        <w:rPr>
          <w:rFonts w:ascii="Arial" w:cs="Arial" w:eastAsia="Arial" w:hAnsi="Arial"/>
          <w:sz w:val="12"/>
          <w:szCs w:val="12"/>
          <w:color w:val="auto"/>
        </w:rPr>
      </w:pPr>
    </w:p>
    <w:p>
      <w:pPr>
        <w:ind w:left="340" w:right="80" w:hanging="332"/>
        <w:spacing w:after="0" w:line="183"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4"/>
          <w:szCs w:val="14"/>
          <w:color w:val="auto"/>
        </w:rPr>
        <w:t>The results for fiscal 2002 include $33.3 million in charges taken in the second and fourth quarters of fiscal 2002 related to the downsizing of the Levi’s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and 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business, the integration of Casual Male and the exiting of the Company’s Candies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outlet store business. Of the $33.3 million in charges, approximately $28.2 million is included as part of discontinued operations. As a result of the restructuring and its impact on the operating profitability of the Company, results for fiscal 2002 also included a non-cash charge of $8.0 million to further reduce the carrying value of certain deferred tax assets.</w:t>
      </w:r>
    </w:p>
    <w:p>
      <w:pPr>
        <w:spacing w:after="0" w:line="45" w:lineRule="exact"/>
        <w:rPr>
          <w:rFonts w:ascii="Arial" w:cs="Arial" w:eastAsia="Arial" w:hAnsi="Arial"/>
          <w:sz w:val="27"/>
          <w:szCs w:val="27"/>
          <w:color w:val="auto"/>
          <w:vertAlign w:val="superscript"/>
        </w:rPr>
      </w:pPr>
    </w:p>
    <w:p>
      <w:pPr>
        <w:ind w:left="340" w:right="40" w:hanging="332"/>
        <w:spacing w:after="0" w:line="233"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discontinued operations for fiscal 2001 is a special non-cash charge of $8.1 million recorded by the Company in the fourth quarter of fiscal 2001 to reduce the carrying value of certain deferred tax assets. Due to the general weakness of the economy during fiscal 2001, which resulted in reduced earnings as compared to the prior year, the full realizability of certain tax assets could not be assured. Accordingly the Company established additional reserves against those assets.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Selected 5 Year Financial Data for the Big &amp; Tall Apparel Business</w:t>
      </w:r>
    </w:p>
    <w:p>
      <w:pPr>
        <w:spacing w:after="0" w:line="15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following table provides historical financial information for the Big &amp; Tall Apparel Business for the past five fiscal years, and includes the operating results from the Company’s Casual Male business and since October 29, 2004, the operating results of Rochester. Information for the Company’s Casual Male business prior to May 14, 2002 is according to the financial records of Casual Male Corp., the predecessor company.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color w:val="auto"/>
                <w:w w:val="98"/>
              </w:rPr>
              <w:t>Fiscal Years Ended</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85"/>
              </w:rPr>
              <w:t>January 29,</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5"/>
              </w:rPr>
              <w:t>January 31,</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272"/>
              <w:spacing w:after="0"/>
              <w:rPr>
                <w:sz w:val="20"/>
                <w:szCs w:val="20"/>
                <w:color w:val="auto"/>
              </w:rPr>
            </w:pPr>
            <w:r>
              <w:rPr>
                <w:rFonts w:ascii="Arial" w:cs="Arial" w:eastAsia="Arial" w:hAnsi="Arial"/>
                <w:sz w:val="18"/>
                <w:szCs w:val="18"/>
                <w:color w:val="auto"/>
                <w:w w:val="86"/>
              </w:rPr>
              <w:t>February 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9"/>
              </w:rPr>
              <w:t>February 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92"/>
              <w:spacing w:after="0"/>
              <w:rPr>
                <w:sz w:val="20"/>
                <w:szCs w:val="20"/>
                <w:color w:val="auto"/>
              </w:rPr>
            </w:pPr>
            <w:r>
              <w:rPr>
                <w:rFonts w:ascii="Arial" w:cs="Arial" w:eastAsia="Arial" w:hAnsi="Arial"/>
                <w:sz w:val="18"/>
                <w:szCs w:val="18"/>
                <w:color w:val="auto"/>
                <w:w w:val="89"/>
              </w:rPr>
              <w:t>2005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9"/>
              </w:rPr>
              <w:t>2004</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272"/>
              <w:spacing w:after="0"/>
              <w:rPr>
                <w:sz w:val="20"/>
                <w:szCs w:val="20"/>
                <w:color w:val="auto"/>
              </w:rPr>
            </w:pPr>
            <w:r>
              <w:rPr>
                <w:rFonts w:ascii="Arial" w:cs="Arial" w:eastAsia="Arial" w:hAnsi="Arial"/>
                <w:sz w:val="18"/>
                <w:szCs w:val="18"/>
                <w:color w:val="auto"/>
                <w:w w:val="89"/>
              </w:rPr>
              <w:t>2003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84"/>
              </w:rPr>
              <w:t>2002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right="192"/>
              <w:spacing w:after="0"/>
              <w:rPr>
                <w:sz w:val="20"/>
                <w:szCs w:val="20"/>
                <w:color w:val="auto"/>
              </w:rPr>
            </w:pPr>
            <w:r>
              <w:rPr>
                <w:rFonts w:ascii="Arial" w:cs="Arial" w:eastAsia="Arial" w:hAnsi="Arial"/>
                <w:sz w:val="18"/>
                <w:szCs w:val="18"/>
                <w:color w:val="auto"/>
                <w:w w:val="88"/>
              </w:rPr>
              <w:t>(Fiscal 2004)</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right="212"/>
              <w:spacing w:after="0"/>
              <w:rPr>
                <w:sz w:val="20"/>
                <w:szCs w:val="20"/>
                <w:color w:val="auto"/>
              </w:rPr>
            </w:pPr>
            <w:r>
              <w:rPr>
                <w:rFonts w:ascii="Arial" w:cs="Arial" w:eastAsia="Arial" w:hAnsi="Arial"/>
                <w:sz w:val="18"/>
                <w:szCs w:val="18"/>
                <w:color w:val="auto"/>
                <w:w w:val="88"/>
              </w:rPr>
              <w:t>(Fiscal 2003)</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right="252"/>
              <w:spacing w:after="0" w:line="224" w:lineRule="exact"/>
              <w:rPr>
                <w:sz w:val="20"/>
                <w:szCs w:val="20"/>
                <w:color w:val="auto"/>
              </w:rPr>
            </w:pPr>
            <w:r>
              <w:rPr>
                <w:rFonts w:ascii="Arial" w:cs="Arial" w:eastAsia="Arial" w:hAnsi="Arial"/>
                <w:sz w:val="18"/>
                <w:szCs w:val="18"/>
                <w:color w:val="auto"/>
                <w:w w:val="86"/>
              </w:rPr>
              <w:t xml:space="preserve">(Fiscal 2002) </w:t>
            </w:r>
            <w:r>
              <w:rPr>
                <w:rFonts w:ascii="Arial" w:cs="Arial" w:eastAsia="Arial" w:hAnsi="Arial"/>
                <w:sz w:val="22"/>
                <w:szCs w:val="22"/>
                <w:color w:val="auto"/>
                <w:w w:val="86"/>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212"/>
              <w:spacing w:after="0" w:line="224" w:lineRule="exact"/>
              <w:rPr>
                <w:sz w:val="20"/>
                <w:szCs w:val="20"/>
                <w:color w:val="auto"/>
              </w:rPr>
            </w:pPr>
            <w:r>
              <w:rPr>
                <w:rFonts w:ascii="Arial" w:cs="Arial" w:eastAsia="Arial" w:hAnsi="Arial"/>
                <w:sz w:val="18"/>
                <w:szCs w:val="18"/>
                <w:color w:val="auto"/>
                <w:w w:val="86"/>
              </w:rPr>
              <w:t>(Fiscal 2001)</w:t>
            </w:r>
            <w:r>
              <w:rPr>
                <w:rFonts w:ascii="Arial" w:cs="Arial" w:eastAsia="Arial" w:hAnsi="Arial"/>
                <w:sz w:val="22"/>
                <w:szCs w:val="22"/>
                <w:color w:val="auto"/>
                <w:w w:val="86"/>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(Fiscal 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i w:val="1"/>
                <w:iCs w:val="1"/>
                <w:color w:val="auto"/>
              </w:rPr>
              <w:t>(in millions, except store count)</w:t>
            </w: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120" w:type="dxa"/>
            <w:vAlign w:val="bottom"/>
            <w:gridSpan w:val="2"/>
          </w:tcPr>
          <w:p>
            <w:pPr>
              <w:spacing w:after="0"/>
              <w:rPr>
                <w:sz w:val="20"/>
                <w:szCs w:val="20"/>
                <w:color w:val="auto"/>
              </w:rPr>
            </w:pPr>
            <w:r>
              <w:rPr>
                <w:rFonts w:ascii="Arial" w:cs="Arial" w:eastAsia="Arial" w:hAnsi="Arial"/>
                <w:sz w:val="18"/>
                <w:szCs w:val="18"/>
                <w:color w:val="auto"/>
              </w:rPr>
              <w:t>Sales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352.4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319.2</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329.2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332.4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146.5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132.5</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140.1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142.3</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127.9</w:t>
            </w:r>
          </w:p>
        </w:tc>
        <w:tc>
          <w:tcPr>
            <w:tcW w:w="380" w:type="dxa"/>
            <w:vAlign w:val="bottom"/>
          </w:tcPr>
          <w:p>
            <w:pPr>
              <w:spacing w:after="0"/>
              <w:rPr>
                <w:sz w:val="18"/>
                <w:szCs w:val="18"/>
                <w:color w:val="auto"/>
              </w:rPr>
            </w:pP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109.3</w:t>
            </w:r>
          </w:p>
        </w:tc>
        <w:tc>
          <w:tcPr>
            <w:tcW w:w="360" w:type="dxa"/>
            <w:vAlign w:val="bottom"/>
          </w:tcPr>
          <w:p>
            <w:pPr>
              <w:spacing w:after="0"/>
              <w:rPr>
                <w:sz w:val="18"/>
                <w:szCs w:val="18"/>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116.0</w:t>
            </w:r>
          </w:p>
        </w:tc>
        <w:tc>
          <w:tcPr>
            <w:tcW w:w="300" w:type="dxa"/>
            <w:vAlign w:val="bottom"/>
          </w:tcPr>
          <w:p>
            <w:pPr>
              <w:spacing w:after="0"/>
              <w:rPr>
                <w:sz w:val="18"/>
                <w:szCs w:val="18"/>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123.3</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16.5</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11.6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Store count</w:t>
            </w: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527</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481</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12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August 2001, Casual Male Corp. initiated a store-closing plan in conjunction with its bankruptcy proceedings. The Company has excluded the operating results, if any, of these store closings for Fiscal 2002 and Fiscal 2001.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80"/>
        <w:spacing w:after="0" w:line="42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FORWARD LOOKING STATEMENTS</w:t>
      </w:r>
    </w:p>
    <w:p>
      <w:pPr>
        <w:ind w:right="60"/>
        <w:spacing w:after="0" w:line="294" w:lineRule="auto"/>
        <w:rPr>
          <w:sz w:val="20"/>
          <w:szCs w:val="20"/>
          <w:color w:val="auto"/>
        </w:rPr>
      </w:pPr>
      <w:r>
        <w:rPr>
          <w:rFonts w:ascii="Arial" w:cs="Arial" w:eastAsia="Arial" w:hAnsi="Arial"/>
          <w:sz w:val="16"/>
          <w:szCs w:val="16"/>
          <w:color w:val="auto"/>
        </w:rPr>
        <w:t>As noted above, this Annual Report on Form 10-K, including, without limitation, this Item 7, contains “forward-looking statements” within the meaning of the United States Private Securities Litigation Reform Act of 1995. Actual results or developments could differ materially from those projected in such statements as a result of numerous factors, including, without limitation those risks and uncertainties set forth in the Company’s Current Report on Form 8-K, previously filed with the SEC on April 8, 2005,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During fiscal 2004, the Company continued to make significant progress on completing its three-year turnaround plan for its Casual Male business which it acquired in fiscal 2002. The Company’s objective since acquiring the Casual Male business was to become the premier retailer in the big &amp; tall industry by (1) improving upon operating efficiencies with lower operating costs and replacement of Casual Male’s antiquated systemic infrastructure, (2) updating Casual Male’s merchandise assortments with a balanced mix of branded and private label merchandise addressing the wardrobe needs of its niche consumer base and (3) divesting the Company’s other businesses to enable strategic focus towards the Company’s core business. The Company made substantial steps this year towards achieving its overall goal by clearly defining the Company and its business. In the past year, the Company completed the divestiture of its other non-core businesses and as of January 29, 2005 solely operated as a big &amp; tall men’s apparel retailer. Expanding upon its core big &amp; tall men’s apparel presence and providing added leverage to its existing operating and infrastructure base, the Company also acquired Rochester Big &amp; Tall Clothing (“Rochester”), a 22 store chain with operations in major cities in the United States, including a store in London, England, and opened 13 Casual Male shops located within Sears Canada stores. At the same time, Casual Male updated its merchandise assortments with a blend of fashion-appropriate branded merchandise balancing its private label assortments. In addition, the Company successfully implemented the first phase of its infrastructure improvements by replacing its legacy merchandise and distribution systems with industry best practice applications.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Although the Company’s operating margin suffered during the year, dropping from 5.2% to 2.7% due primarily to investments made in marketing, the Company believes that it has positioned itself for significantly improved results in future periods. During the fourth quarter of fiscal 2004, operating income from its core big &amp; tall men’s apparel business improved over 20% from the prior year. The Company expects its operating income to continue to grow as its gross margins improve as a result of improved inventory management methods resulting from its updated systemic operating capabilities.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Foreman Launch</w:t>
      </w:r>
    </w:p>
    <w:p>
      <w:pPr>
        <w:spacing w:after="0" w:line="1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As part of its strategy to add branded merchandise to its assortments, during the first quarter of fiscal 2004, the Company launched its George Foreman clothing collections, which performed to the Company’s expectations, representing approximately 28% of revenues in its first year. Based on the success of the product lines, in the second quarter of fiscal 2004, the Company renegotiated its license agreements with George Foreman resulting in the opportunity to extend the relationship through 2018. In addition, the amendments provided the Company with the opportunity to expand the product lines internationally. These agreements are discussed in detail in Note H to the Notes to the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Rochester Acquisition</w:t>
      </w:r>
    </w:p>
    <w:p>
      <w:pPr>
        <w:spacing w:after="0" w:line="1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On October 29, 2004, the Company completed the acquisition of substantially all of the assets of Rochester Big &amp; Tall Clothing (the “Rochester Acquisition”). The purchase price was $15.0 million in cash and the assumption of bank and subordinated debt of approximately $5.0 million, in addition to the assumption of identified operating liabilities such as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accounts payable and accrued liabilities. There is a potential payment over a three-year period of an additional $4.0 million, which is subject to an earn-out provision. The Company financed the transaction with a $7.5 million term loan from Bank of America Retail Group, Inc. (formerly known as Fleet Retail Group, Inc.) together with borrowings on its existing credit facility, which was amended in connection with the acquisition. See “Liquidity and Capital Resources” for more discussion on the Company’s credit facility.</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expects that the acquisition of the Rochester business, which includes 22 retail stores, a catalog business and a growing e-commerce business, will provide an incremental $70 million of revenue to the Company on an annualized basis. The Rochester stores cater to the high-end customer generating average transactions of over $400 as compared to the average $75 per transaction for the Company’s Casual Male business, which offers high quality merchandise at affordable prices. As a result, the Company expects that the average annual revenues of a Rochester store for fiscal 2005 will approximate $2.3 million in sales as compared with $650,000 for an average Casual Male store.</w:t>
      </w:r>
    </w:p>
    <w:p>
      <w:pPr>
        <w:spacing w:after="0" w:line="10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believes that the Rochester business has significant growth opportunities and, together with the operating and cost synergies that will be realized as a result of the acquisition, the Company expects the Rochester stores to be accretive to the Company’s overall profitability.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Ecko Joint Venture Interest and Markdown Allowance Agreement</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With a strategic plan in place to grow its Casual Male business, the Company decided to exit its joint venture with Ecko.Complex, LLC (“Ecko”). From March 2002 and through July 30, 2004, the Company operated a joint venture with Ecko under which the Company, a 50.5% partner, owned and managed retail outlet stores bearing the name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featuring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merchandise. For financial reporting purposes, Ecko’s 49.5% ownership in the joint venture was included in the Company’s consolidated financial statements as a minority interest, through July 30, 2004.</w:t>
      </w:r>
    </w:p>
    <w:p>
      <w:pPr>
        <w:spacing w:after="0" w:line="13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July 30, 2004, the Company sold to Ecko its 50.5% interest in the joint venture for a purchase price of $800,000 in cash and a secured promissory note in the principal amount of $6.2 million. The secured promissory note accrued interest at 8% annually and was secured by all of the membership interests of the former joint venture and substantially all of its assets. This note required Ecko to make monthly principal payments to the Company of $516,667 plus interest, commencing August 31, 2004. As of January 29, 2005, the promissory note had been paid in full. Through January 2005, the Company received fees based on a percentage of sales for providing transitional services to the joint venture related to its operating and accounting systems.</w:t>
      </w:r>
    </w:p>
    <w:p>
      <w:pPr>
        <w:spacing w:after="0" w:line="102"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Pursuant to a mark-down allowance agreement entered into on July 30, 2004, Ecko also executed and delivered an additional secured promissory note for $1.0 million as a markdown allowance with respect to purchases of certain goods made by the Company from Ecko. The secured promissory note accrued interest at 8% annually and was also secured by all of the membership interests of the former joint venture and substantially all of its assets. This note required Ecko to make monthly principal payments in the amount of $83,333 plus interest commencing August 31, 2004. As of January 29, 2005, Ecko had paid the note in full.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Levi’s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/Dockers</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Business</w:t>
      </w:r>
    </w:p>
    <w:p>
      <w:pPr>
        <w:ind w:right="40"/>
        <w:spacing w:after="0" w:line="270" w:lineRule="auto"/>
        <w:rPr>
          <w:sz w:val="20"/>
          <w:szCs w:val="20"/>
          <w:color w:val="auto"/>
        </w:rPr>
      </w:pPr>
      <w:r>
        <w:rPr>
          <w:rFonts w:ascii="Arial" w:cs="Arial" w:eastAsia="Arial" w:hAnsi="Arial"/>
          <w:sz w:val="16"/>
          <w:szCs w:val="16"/>
          <w:color w:val="auto"/>
        </w:rPr>
        <w:t>Since fiscal 2002, the Company has been in the process of winding down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with the intention to eventually exit the business completely. In fiscal 2004, the Company completed this through the closure of 26 stores and the sale of its remaining 32 store locations. On November 24, 2004, the Company entered into an Asset Purchase Agreement with Hub Holding Corp., an affiliate of Sun Capital Partners, Inc. (“Hub Holding”), pursuant to which the Company sold the 32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to Hub Holding. The sale price was approximately $12.8 million in cash. Subsequently, in January 2005, the Company also received $325,000 as part of an earn out payment based on the stores’ financial performance through January 31, 2005. In connection with the sale, Hub Holding assumed all outstanding accounts payable and accrued liabilities incurred in the ordinary course of business, including the remaining lease obligations for these 32 store locations. The Company recognized a gain on the sale of $1.2 million, which was included in discontinued operations for the fourth quarter and fiscal year 2004. In addition, results from discontinued operations included income of approximately $2.5 million related to the reversal of restructuring reserves established in fiscal 2002 related to the closure of these stores which were no longer needed as a result of the sale. See Note J, “Discontinued Operations” to the Notes to the Consolidated Financial Statements for additional information.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Since the Casual Male acquisition, the Company has operated its business as two reportable business segments: (i) the Casual Male business and (ii) Other Branded Apparel businesses. The Company’s Other Branded Apparel business has historically included the results of operations of the Company’s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business and the Company’s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joint venture. With the completion of the Company’s closure and sale of its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outlets in fiscal 2004 and the sale of its interest in the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joint venture, going forward the Company will operate under one business segment, “Big &amp; Tall Apparel.” This segment will include the operations of the Company’s Casual Male and Rochester businesses. For purposes of discussion, Other Branded Apparel will only reflect the operations of the Company’s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joint venture. See Note N of the Notes to Consolidated Financial Statements for complete disclosure of the financial results of each segment.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CLOSINGS/DISCONTINUED OPERATIONS</w:t>
      </w:r>
    </w:p>
    <w:p>
      <w:pPr>
        <w:spacing w:after="0" w:line="2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 xml:space="preserve">In accordance with the provisions of Statement of Financial Accounting Standard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(“SFAS No. 144”), results of operations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 which have been closed over the past three fiscal years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presented as discontinued operations. The discontinued operations of these stores include related write-downs for the impairment of assets and costs to liquidate inventory. Accordingly, the Company has reclassified all prior year results for such closed stores to conform with the current period presentation of discontinued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Since the Company’s Big &amp; Tall Apparel business is the only continuing segment of the Company’s operations, the following discussion of the results of operations will first review the segment results of the Big &amp; Tall Apparel business and will conclude with a consolidated review of the Company’s results. In addition, because the actual results for the Big &amp; Tall Apparel only include the results of operations for its Casual Male business from May 14, 2002, the date of acquisition, the following discussion will also include pro forma results for fiscal 2002, assuming that the acquisition of Casual Male occurred on February 3, 2002. Management believes that this additional information is necessary in order to provide a complete and balanced discussion of the results of operations for this segment for fiscal 2004 as compared to fiscal 2003 and 2002. Management also believes that the inclusion of this information helps investors gain a better understanding of the Company’s core operating results and future prospects, consistent with how management measures and forecasts the Company’s performance, especially when comparing such results to previous periods or forecasts. The following pro forma financial tables were prepared based on available information using assumptions that the Company’s management believes are reasonable. The pro forma results do not purport to represent the actual results of operations that would have occurred if the Casual Male acquisition had occurred on February 3, 2002, and are not necessarily indicative of the results that may be achieved in the future.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 &amp; TALL APPAREL BUSINESS – SEGMENT OVERVIEW</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discussion includes the results of operations for the Company’s Casual Male business and, since October 30, 2004, the results of operations from its recently acquired Rochester business, as well as the Company’s catalog and e-commerce businesses.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For the fiscal year:</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900"/>
              <w:spacing w:after="0"/>
              <w:rPr>
                <w:sz w:val="20"/>
                <w:szCs w:val="20"/>
                <w:color w:val="auto"/>
              </w:rPr>
            </w:pPr>
            <w:r>
              <w:rPr>
                <w:rFonts w:ascii="Arial" w:cs="Arial" w:eastAsia="Arial" w:hAnsi="Arial"/>
                <w:sz w:val="18"/>
                <w:szCs w:val="18"/>
                <w:color w:val="auto"/>
                <w:w w:val="99"/>
              </w:rPr>
              <w:t>Actual</w:t>
            </w:r>
          </w:p>
        </w:tc>
        <w:tc>
          <w:tcPr>
            <w:tcW w:w="140" w:type="dxa"/>
            <w:vAlign w:val="bottom"/>
          </w:tcPr>
          <w:p>
            <w:pPr>
              <w:spacing w:after="0"/>
              <w:rPr>
                <w:sz w:val="18"/>
                <w:szCs w:val="18"/>
                <w:color w:val="auto"/>
              </w:rPr>
            </w:pPr>
          </w:p>
        </w:tc>
        <w:tc>
          <w:tcPr>
            <w:tcW w:w="1420" w:type="dxa"/>
            <w:vAlign w:val="bottom"/>
            <w:gridSpan w:val="2"/>
          </w:tcPr>
          <w:p>
            <w:pPr>
              <w:jc w:val="right"/>
              <w:ind w:right="920"/>
              <w:spacing w:after="0"/>
              <w:rPr>
                <w:sz w:val="20"/>
                <w:szCs w:val="20"/>
                <w:color w:val="auto"/>
              </w:rPr>
            </w:pPr>
            <w:r>
              <w:rPr>
                <w:rFonts w:ascii="Arial" w:cs="Arial" w:eastAsia="Arial" w:hAnsi="Arial"/>
                <w:sz w:val="18"/>
                <w:szCs w:val="18"/>
                <w:color w:val="auto"/>
                <w:w w:val="95"/>
              </w:rPr>
              <w:t>Actual</w:t>
            </w: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9"/>
              </w:rPr>
              <w:t>Actual</w:t>
            </w:r>
          </w:p>
        </w:tc>
        <w:tc>
          <w:tcPr>
            <w:tcW w:w="56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color w:val="auto"/>
              </w:rPr>
              <w:t>Pro Forma</w:t>
            </w: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rPr>
              <w:t>Fiscal 2004</w:t>
            </w:r>
          </w:p>
        </w:tc>
        <w:tc>
          <w:tcPr>
            <w:tcW w:w="1560" w:type="dxa"/>
            <w:vAlign w:val="bottom"/>
            <w:gridSpan w:val="3"/>
          </w:tcPr>
          <w:p>
            <w:pPr>
              <w:spacing w:after="0"/>
              <w:rPr>
                <w:sz w:val="20"/>
                <w:szCs w:val="20"/>
                <w:color w:val="auto"/>
              </w:rPr>
            </w:pPr>
            <w:r>
              <w:rPr>
                <w:rFonts w:ascii="Arial" w:cs="Arial" w:eastAsia="Arial" w:hAnsi="Arial"/>
                <w:sz w:val="18"/>
                <w:szCs w:val="18"/>
                <w:color w:val="auto"/>
              </w:rPr>
              <w:t>Fiscal 2003</w:t>
            </w:r>
          </w:p>
        </w:tc>
        <w:tc>
          <w:tcPr>
            <w:tcW w:w="9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Fiscal 2002</w:t>
            </w:r>
          </w:p>
        </w:tc>
        <w:tc>
          <w:tcPr>
            <w:tcW w:w="56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Fiscal 2002</w:t>
            </w:r>
          </w:p>
        </w:tc>
        <w:tc>
          <w:tcPr>
            <w:tcW w:w="0" w:type="dxa"/>
            <w:vAlign w:val="bottom"/>
          </w:tcPr>
          <w:p>
            <w:pPr>
              <w:spacing w:after="0"/>
              <w:rPr>
                <w:sz w:val="1"/>
                <w:szCs w:val="1"/>
                <w:color w:val="auto"/>
              </w:rPr>
            </w:pPr>
          </w:p>
        </w:tc>
      </w:tr>
      <w:tr>
        <w:trPr>
          <w:trHeight w:val="116"/>
        </w:trPr>
        <w:tc>
          <w:tcPr>
            <w:tcW w:w="410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(in millions)</w:t>
            </w:r>
          </w:p>
        </w:tc>
        <w:tc>
          <w:tcPr>
            <w:tcW w:w="1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10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6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458"/>
        </w:trPr>
        <w:tc>
          <w:tcPr>
            <w:tcW w:w="4100" w:type="dxa"/>
            <w:vAlign w:val="bottom"/>
          </w:tcPr>
          <w:p>
            <w:pPr>
              <w:ind w:left="120"/>
              <w:spacing w:after="0"/>
              <w:rPr>
                <w:sz w:val="20"/>
                <w:szCs w:val="20"/>
                <w:color w:val="auto"/>
              </w:rPr>
            </w:pPr>
            <w:r>
              <w:rPr>
                <w:rFonts w:ascii="Arial" w:cs="Arial" w:eastAsia="Arial" w:hAnsi="Arial"/>
                <w:sz w:val="18"/>
                <w:szCs w:val="18"/>
                <w:color w:val="auto"/>
              </w:rPr>
              <w:t>Gross margin</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146.5</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102.7</w:t>
            </w:r>
          </w:p>
        </w:tc>
        <w:tc>
          <w:tcPr>
            <w:tcW w:w="16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Gross margin rate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i w:val="1"/>
                <w:iCs w:val="1"/>
                <w:color w:val="auto"/>
              </w:rPr>
              <w:t>41.6%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i w:val="1"/>
                <w:iCs w:val="1"/>
                <w:color w:val="auto"/>
              </w:rPr>
              <w:t>41.5%</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42.3%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42.6%</w:t>
            </w:r>
          </w:p>
        </w:tc>
        <w:tc>
          <w:tcPr>
            <w:tcW w:w="0" w:type="dxa"/>
            <w:vAlign w:val="bottom"/>
          </w:tcPr>
          <w:p>
            <w:pPr>
              <w:spacing w:after="0"/>
              <w:rPr>
                <w:sz w:val="1"/>
                <w:szCs w:val="1"/>
                <w:color w:val="auto"/>
              </w:rPr>
            </w:pPr>
          </w:p>
        </w:tc>
      </w:tr>
      <w:tr>
        <w:trPr>
          <w:trHeight w:val="458"/>
        </w:trPr>
        <w:tc>
          <w:tcPr>
            <w:tcW w:w="41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127.9</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100" w:type="dxa"/>
            <w:vAlign w:val="bottom"/>
          </w:tcPr>
          <w:p>
            <w:pPr>
              <w:spacing w:after="0"/>
              <w:rPr>
                <w:sz w:val="9"/>
                <w:szCs w:val="9"/>
                <w:color w:val="auto"/>
              </w:rPr>
            </w:pPr>
          </w:p>
        </w:tc>
        <w:tc>
          <w:tcPr>
            <w:tcW w:w="182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1"/>
        </w:trPr>
        <w:tc>
          <w:tcPr>
            <w:tcW w:w="4100" w:type="dxa"/>
            <w:vAlign w:val="bottom"/>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-420370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-420370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-420370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-420370</wp:posOffset>
            </wp:positionV>
            <wp:extent cx="55308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-420370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-420370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-420370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-420370</wp:posOffset>
            </wp:positionV>
            <wp:extent cx="55308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For the fourth quarter ended:</w:t>
            </w:r>
          </w:p>
        </w:tc>
        <w:tc>
          <w:tcPr>
            <w:tcW w:w="14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Actual</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Actual</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Actual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1"/>
              </w:rPr>
              <w:t>Fiscal 2004</w:t>
            </w:r>
          </w:p>
        </w:tc>
        <w:tc>
          <w:tcPr>
            <w:tcW w:w="5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1"/>
              </w:rPr>
              <w:t>Fiscal 2003</w:t>
            </w:r>
          </w:p>
        </w:tc>
        <w:tc>
          <w:tcPr>
            <w:tcW w:w="5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Fiscal 2002</w:t>
            </w:r>
          </w:p>
        </w:tc>
        <w:tc>
          <w:tcPr>
            <w:tcW w:w="0" w:type="dxa"/>
            <w:vAlign w:val="bottom"/>
          </w:tcPr>
          <w:p>
            <w:pPr>
              <w:spacing w:after="0"/>
              <w:rPr>
                <w:sz w:val="1"/>
                <w:szCs w:val="1"/>
                <w:color w:val="auto"/>
              </w:rPr>
            </w:pPr>
          </w:p>
        </w:tc>
      </w:tr>
      <w:tr>
        <w:trPr>
          <w:trHeight w:val="110"/>
        </w:trPr>
        <w:tc>
          <w:tcPr>
            <w:tcW w:w="75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7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60" w:type="dxa"/>
            <w:vAlign w:val="bottom"/>
            <w:gridSpan w:val="3"/>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Gross margin rate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60" w:type="dxa"/>
            <w:vAlign w:val="bottom"/>
            <w:gridSpan w:val="3"/>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5956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Sales</w:t>
      </w:r>
      <w:r>
        <w:rPr>
          <w:rFonts w:ascii="Arial" w:cs="Arial" w:eastAsia="Arial" w:hAnsi="Arial"/>
          <w:sz w:val="18"/>
          <w:szCs w:val="18"/>
          <w:color w:val="auto"/>
        </w:rPr>
        <w:t>. Sales for fiscal 2004 were $352.4 as compared to $319.2 million in fiscal 2003. The increase of $33.2 million was due to the addition of the Company’s Rochester business which contributed $21.1 million to total sales in fiscal 2004 and a comparable store sales increase for fiscal 2004 of 4.4%. This 4.4% comparable store sales increase includes comparable sales for the Rochester stores, since the date of acquisition of October 30, 2004, against their same store base from the prior year. Comparable store sales include retail stores that have been open for at least one full fiscal year together with the e-commerce and catalog sales.</w:t>
      </w:r>
    </w:p>
    <w:p>
      <w:pPr>
        <w:spacing w:after="0" w:line="1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Over the past eighteen months the Company has shifted its Casual Male merchandise from being predominantly private label, with its Harbor Bay label representing approximately 70% in the past, to carrying mostly well-known brands, which include its George Foreman clothing collections. Branded merchandise, together with the George Foreman merchandise, represented approximately 89% of the revenues. The Company believes that this shift to a blend of branded merchandise with private label merchandise greatly contributed to the Company’s 4.4% comparable store increases, while at the same time maintaining similar merchandise margins. In addition, the Company’s e-commerce business continued its significant growth during the year with an increase of more than 55%, which was in addition to a similar increase in fiscal 2003.</w:t>
      </w:r>
    </w:p>
    <w:p>
      <w:pPr>
        <w:spacing w:after="0" w:line="107"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During fiscal 2004, the Company also completed the phase-out of its Repp catalog and e-commerce business. The Company was able to convert approximately 20% of those customers to its Casual Male catalog and e-commerce site. With the acquisition of Rochester Big &amp; Tall and its growing e-commerce and catalog operations, the Company expects to grow the higher end segment of the men’s big &amp; tall apparel business.</w:t>
      </w:r>
    </w:p>
    <w:p>
      <w:pPr>
        <w:spacing w:after="0" w:line="9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Sales for fiscal 2003 were $319.2 million as compared to sales of $242.7 million in fiscal 2002. This increase in sales of $76.5 million was due to the fact that fiscal 2003 represented a full year of revenue as compared to fiscal 2002, which reflected revenue only from May 14, 2002, the date of the Casual Male acquisition. Compared to pro forma sales for fiscal 2002 of $329.2 million, total sales for fiscal 2003 decreased 3.0% and comparable store sales decreased 1.3%. In addition, the Company discontinued its Repp catalog title during fiscal 2003, which resulted in an approximate 2% loss of sales as compared to fiscal 2002.</w:t>
      </w:r>
    </w:p>
    <w:p>
      <w:pPr>
        <w:spacing w:after="0" w:line="84"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The Big &amp; Tall Apparel business gross margin rate for fiscal 2004 was 41.6% as compared to 41.5% for fiscal 2003 and 42.3% for fiscal 2002. This increase of 0.1 percentage points over fiscal 2003 was due to a stable merchandise margin for the Casual Male business and the addition of the Rochester stores, which had slightly higher gross margins.</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fiscal 2003, the Company was able to maintain strong merchandise margins throughout fiscal 2003 as a result of stable initial margins and strong inventory management in spite of sales shortfalls. However, the gross margin rate in fiscal 2003 dropped primarily due to the sales decrease and the de-leveraging of its occupancy costs.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With improved inventory management capabilities provided from its newly installed systems, the Company expects to grow its gross margins in fiscal 2005.</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Selling, General and Administrative Expenses</w:t>
      </w:r>
      <w:r>
        <w:rPr>
          <w:rFonts w:ascii="Arial" w:cs="Arial" w:eastAsia="Arial" w:hAnsi="Arial"/>
          <w:sz w:val="18"/>
          <w:szCs w:val="18"/>
          <w:color w:val="auto"/>
        </w:rPr>
        <w:t>. Selling, general and administrative expenses (“SG&amp;A”) as a percentage of sales for fiscal 2004, 2003 and 2002 (on a pro-forma basis) were 36.3%, 34.2%, and 35.2%, respectively. The SG&amp;A rate during 2004 increased by over 200 basis points as a result of the marketing investments associated with the launch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George Foreman brand. In the first quarter of fiscal 2004, the Company launched a nationwide campaign to announce the introduction of its George Foreman clothing collection and to re-introduce Casual Male Big &amp; Tall. The Company incurred approximately $4.5 million of additional marketing funds toward this advertising campaign in the first half of fiscal 2004. As the Company shifted its marketing strategy to direct marketing campaigns in the latter half of fiscal 2004 the Company incurred further marketing investments. For the year, the Company increased its marketing costs by approximately $6.5 million, representing much of the increase in Casual Male’s SG&amp;A costs for fiscal 2004. These marketing initiatives are discussed under “Business – Marketing.”</w:t>
      </w:r>
    </w:p>
    <w:p>
      <w:pPr>
        <w:spacing w:after="0" w:line="1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previous two years, Casual Male’s SG&amp;A expenses, excluding SG&amp;A costs associated with Rochester and the marketing investment discussed above, dropped by approximately 2% and since the acquisition in May 2002, Casual Male’s SG&amp;A, excluding marketing expenses, has dropped by almost 20% on an average store basis from Casual Male’s SG&amp;A levels prior to the acquisition. In addition, as the Rochester business becomes integrated into the Company’s upgraded and enhanced infrastructure, the Company estimates that approximately $3.0 to $4.0 million in additional cost savings will be recognized over the next eighteen months.</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increase in SG&amp;A costs as a percentage of sales of 1.6 percentage points for fiscal 2003 (34.2% of sales) as compared to actual costs in fiscal 2002 (32.6% of sales) is primarily due to the weighted impact of a full year’s of expenses which includes the first quarter, which historically runs at a higher percentage of sales then the remainder of the year. In addition, in the fourth quarter of fiscal 2003, the Company also started to increase its marketing spend in connection with its new merchandising initiatives and its George Foreman product lines.</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fiscal 2005, the Company expects that its SG&amp;A on an average store basis will remain constant as a result of its continued cost savings from its infrastructure initiatives, which were discussed more fully under “Business- Management Information Systems.”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u w:val="single" w:color="auto"/>
          <w:color w:val="auto"/>
        </w:rPr>
        <w:t>Operating Income</w:t>
      </w:r>
      <w:r>
        <w:rPr>
          <w:rFonts w:ascii="Arial" w:cs="Arial" w:eastAsia="Arial" w:hAnsi="Arial"/>
          <w:sz w:val="18"/>
          <w:szCs w:val="18"/>
          <w:color w:val="auto"/>
        </w:rPr>
        <w:t>. The Big &amp; Tall Apparel business had operating income of $9.4 million in fiscal 2004 as compared to $16.5 million in fiscal 2003 and $17.6 million in fiscal 2002. On a pro forma basis, operating income for fiscal 2002 was $15.6 million, which includes an operating loss for the first quarter of fiscal 2002. The decrease in operating income in fiscal 2004 as compared to fiscal 2003 was principally due to increased SG&amp;A costs attributable to advertising costs incurred in connection with the national launch of the George Foreman collections. For the fourth quarter of fiscal 2004, the Big &amp; Tall Apparel business produced an increase in operating income of approximately 26% on a sales increase of approximately 25%. Reflected in the results for fiscal 2004 and fiscal 2003 are the overhead costs associated with the Company, on a consolidated basis, which therefore includes overhead costs to operate its Other Branded Apparel businesses. In fiscal 2002, because the Casual Male business and the then Designs business were separate, the SG&amp;A overhead was specifically allocated to each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BRANDED APPAREL BUSINESS – SEGMENT OVERVIEW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segment information includes the results of operations for the Company’s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it operated through July 30, 2004.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w w:val="89"/>
              </w:rPr>
              <w:t>Fiscal 2004</w:t>
            </w:r>
          </w:p>
        </w:tc>
        <w:tc>
          <w:tcPr>
            <w:tcW w:w="140" w:type="dxa"/>
            <w:vAlign w:val="bottom"/>
          </w:tcPr>
          <w:p>
            <w:pPr>
              <w:spacing w:after="0"/>
              <w:rPr>
                <w:sz w:val="19"/>
                <w:szCs w:val="19"/>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Fiscal 2003</w:t>
            </w:r>
          </w:p>
        </w:tc>
        <w:tc>
          <w:tcPr>
            <w:tcW w:w="120" w:type="dxa"/>
            <w:vAlign w:val="bottom"/>
          </w:tcPr>
          <w:p>
            <w:pPr>
              <w:spacing w:after="0"/>
              <w:rPr>
                <w:sz w:val="19"/>
                <w:szCs w:val="19"/>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Fiscal 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gross margin rate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37.8%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74168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1680" cy="29845"/>
                    </a:xfrm>
                    <a:prstGeom prst="rect">
                      <a:avLst/>
                    </a:prstGeom>
                    <a:noFill/>
                  </pic:spPr>
                </pic:pic>
              </a:graphicData>
            </a:graphic>
          </wp:anchor>
        </w:drawing>
      </w:r>
    </w:p>
    <w:p>
      <w:pPr>
        <w:spacing w:after="0" w:line="225"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color w:val="auto"/>
        </w:rPr>
        <w:t>In fiscal 2002, the Company started its joint venture with Ecko.Complex, LLC to open and operate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In fiscal 2002, the Company generated partial year revenues of $4.9 million for the six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it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opened that fiscal year. In fiscal 2003, the Company opened an additional 15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and generated revenues of $20.1 million with an operating profit of $0.6 million. In fiscal 2004, the Company made a strategic decision to focus on the growth of its Casual Male business and to exit out of its joint venture with Ecko. The results for fiscal 2004 include sales of $12.6 million for the first six months of the year and an operating loss of $1.4 million. The $3.1 million gain recognized on the sale is included in “Other income (expense)” on the Consolidated Statement of Operations for the fiscal 2004.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Pro Forma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340"/>
              <w:spacing w:after="0"/>
              <w:rPr>
                <w:sz w:val="20"/>
                <w:szCs w:val="20"/>
                <w:color w:val="auto"/>
              </w:rPr>
            </w:pPr>
            <w:r>
              <w:rPr>
                <w:rFonts w:ascii="Arial" w:cs="Arial" w:eastAsia="Arial" w:hAnsi="Arial"/>
                <w:sz w:val="18"/>
                <w:szCs w:val="18"/>
                <w:color w:val="auto"/>
              </w:rPr>
              <w:t>Fiscal 2004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Fiscal 2003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Fiscal 2002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Fiscal 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gross margin rate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2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 store closing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severance</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-95885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-95885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-95885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-95885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-95885</wp:posOffset>
            </wp:positionV>
            <wp:extent cx="286829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6829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2004 to Fiscal 2003</w:t>
      </w:r>
    </w:p>
    <w:p>
      <w:pPr>
        <w:spacing w:after="0" w:line="9" w:lineRule="exact"/>
        <w:rPr>
          <w:sz w:val="20"/>
          <w:szCs w:val="20"/>
          <w:color w:val="auto"/>
        </w:rPr>
      </w:pPr>
    </w:p>
    <w:p>
      <w:pPr>
        <w:jc w:val="both"/>
        <w:ind w:right="360"/>
        <w:spacing w:after="0" w:line="290" w:lineRule="auto"/>
        <w:rPr>
          <w:sz w:val="20"/>
          <w:szCs w:val="20"/>
          <w:color w:val="auto"/>
        </w:rPr>
      </w:pPr>
      <w:r>
        <w:rPr>
          <w:rFonts w:ascii="Arial" w:cs="Arial" w:eastAsia="Arial" w:hAnsi="Arial"/>
          <w:sz w:val="17"/>
          <w:szCs w:val="17"/>
          <w:color w:val="auto"/>
        </w:rPr>
        <w:t>Sales for fiscal 2004 increased $25.7 million, or 7.6%, as compared to fiscal 2003. This increase was due to a comparable store sales increase from its Casual Male business of 4.4% and the addition of the Rochester business since October 30, 2004, the date of acquisition. These increases were partially offset by the decrease due to the partial year revenues from the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which were sold on July 30, 2004.</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2003 to Fiscal 2002</w:t>
      </w:r>
    </w:p>
    <w:p>
      <w:pPr>
        <w:spacing w:after="0" w:line="1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Sales for fiscal 2003 increased $91.7 million, or 37.0%, as compared to fiscal 2002. This increase was due to a full year of revenue from the Casual Male business as compared to fiscal 2002, which only had revenue from Casual Male since May 14, 2002. On a pro forma basis, as compared to fiscal 2002 sales of $334.1 million, sales for fiscal 2003 increased $5.2 million principally due to an increase in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offset by a comparable stores sales decrease for fiscal 2003 of 1.3% for the Casual Male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Gross margin rates for fiscal 2004, 2003 and 2002 were 41.2%, 41.3% and 42.3%, respectively. During fiscal 2003, gross margin rates dropped by 100 basis points primarily due to the de-leveraging effect of occupancy costs resulting from the drop in sales during that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5" w:lineRule="exact"/>
        <w:rPr>
          <w:sz w:val="20"/>
          <w:szCs w:val="20"/>
          <w:color w:val="auto"/>
        </w:rPr>
      </w:pPr>
    </w:p>
    <w:p>
      <w:pPr>
        <w:ind w:right="420"/>
        <w:spacing w:after="0" w:line="331" w:lineRule="auto"/>
        <w:rPr>
          <w:sz w:val="20"/>
          <w:szCs w:val="20"/>
          <w:color w:val="auto"/>
        </w:rPr>
      </w:pPr>
      <w:r>
        <w:rPr>
          <w:rFonts w:ascii="Arial" w:cs="Arial" w:eastAsia="Arial" w:hAnsi="Arial"/>
          <w:sz w:val="15"/>
          <w:szCs w:val="15"/>
          <w:color w:val="auto"/>
        </w:rPr>
        <w:t>SG&amp;A expenses as a percentage of sales were 36.3%, 34.1% and 32.4% for fiscal 2004, 2003 and 2002, respectively. During the first half of fiscal 2004, the Company spent approximately $4.5 million in advertising costs to launch its national George Foreman clothing collections. The Company believes these additional advertising funds were necessary to introduce to the marketplace the George Foreman line and re-introduce the public to the Casual Male stores.</w:t>
      </w:r>
    </w:p>
    <w:p>
      <w:pPr>
        <w:spacing w:after="0" w:line="77"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The increase in SG&amp;A expenses in fiscal 2003 was related to the impact of the Casual Male cost structure for a full fiscal year, increased cost structure to support the additional 15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opened during the year and increased promotional advertising in the Company’s Casual Male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5"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auto"/>
        </w:rPr>
        <w:t>In fiscal 2002, the Company recorded a total of $33.3 million in restructuring charges. Of the total restructuring charges of $33.3 million: (i) $28.2 million related to the closure of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and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accordingly, is included as a component of discontinued operations; and (ii) $5.1 million related to the integration costs associated with the Casual Male acquisition and, accordingly, is included in results from continuing operations for fiscal 2002.</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the same time the Company also recorded a charge of $8.0 million related to the impairment of certain tax assets, which is shown under “Provision for income taxes” in the Consolidated Statement of Operations for fiscal 2002. The impairment of the Company’s tax assets does not affect its ability to utilize the $99.6 million federal net operating loss carryforwards to offset future taxable income, subject to certain annual limitations.</w:t>
      </w:r>
    </w:p>
    <w:p>
      <w:pPr>
        <w:spacing w:after="0" w:line="93" w:lineRule="exact"/>
        <w:rPr>
          <w:sz w:val="20"/>
          <w:szCs w:val="20"/>
          <w:color w:val="auto"/>
        </w:rPr>
      </w:pPr>
    </w:p>
    <w:p>
      <w:pPr>
        <w:ind w:right="300"/>
        <w:spacing w:after="0" w:line="228" w:lineRule="auto"/>
        <w:rPr>
          <w:sz w:val="20"/>
          <w:szCs w:val="20"/>
          <w:color w:val="auto"/>
        </w:rPr>
      </w:pPr>
      <w:r>
        <w:rPr>
          <w:rFonts w:ascii="Arial" w:cs="Arial" w:eastAsia="Arial" w:hAnsi="Arial"/>
          <w:sz w:val="18"/>
          <w:szCs w:val="18"/>
          <w:color w:val="auto"/>
        </w:rPr>
        <w:t>In connection with the sale of its remaining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the Company reversed approximately $2.5 million of restructuring reserves which were no longer necessary. The $2.5 million is included in discontinued operations for fiscal 2004.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ASSETS</w:t>
      </w:r>
    </w:p>
    <w:p>
      <w:pPr>
        <w:spacing w:after="0" w:line="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Company periodically assesses long-lived assets for impairment under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fiscal 2002, the Company recorded an impairment charge of $14.4 million, which was included as part of the $33.3 million in restructuring charges recorded in fiscal 2002. See “Restructuring Charges” above. Approximately $10.3 million of the $14.4 million impairment is included as a component of discontinued operations for fiscal 2002. The remaining $4.1 million is included in continuing operations as part of the “Provision for impairment, store closings and severance” for fiscal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Depreciation and amortization expense was $9.9 million for fiscal 2004, $7.5 million for fiscal 2003 and $6.1 million for fiscal 2002. The increase in depreciation and amortization in fiscal 2004 is directly attributable to the capital expenditures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incurred over the past two fiscal years associated with improving its infrastructure as well as new store growth and the remodeling of some of its older locations. The increase in depreciation and amortization in fiscal 2003 over fiscal 2002 related to the annualization of depreciation for the Company’s acquired Casual Male business. Depreciation and amortization costs associated with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has been reclassed to discontinued operations for all fiscal years.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following table summarizes the results of operations from the Company’s discontinued operations for the past three fiscal years. Included in discontinued operations are the results of operations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fiscal 2002 also includes the results of operations for the Company’s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closed at the end of fiscal 2002. Below is a summary of the results of operations for these closed stores for the past three fiscal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760" w:type="dxa"/>
            <w:vAlign w:val="bottom"/>
            <w:gridSpan w:val="3"/>
          </w:tcPr>
          <w:p>
            <w:pPr>
              <w:spacing w:after="0"/>
              <w:rPr>
                <w:sz w:val="20"/>
                <w:szCs w:val="20"/>
                <w:color w:val="auto"/>
              </w:rPr>
            </w:pPr>
            <w:r>
              <w:rPr>
                <w:rFonts w:ascii="Arial" w:cs="Arial" w:eastAsia="Arial" w:hAnsi="Arial"/>
                <w:sz w:val="18"/>
                <w:szCs w:val="18"/>
                <w:color w:val="auto"/>
              </w:rPr>
              <w:t xml:space="preserve">Fiscal 2004 </w:t>
            </w:r>
            <w:r>
              <w:rPr>
                <w:rFonts w:ascii="Arial" w:cs="Arial" w:eastAsia="Arial" w:hAnsi="Arial"/>
                <w:sz w:val="22"/>
                <w:szCs w:val="22"/>
                <w:color w:val="auto"/>
                <w:vertAlign w:val="superscript"/>
              </w:rPr>
              <w:t>(1)</w:t>
            </w:r>
          </w:p>
        </w:tc>
        <w:tc>
          <w:tcPr>
            <w:tcW w:w="1740" w:type="dxa"/>
            <w:vAlign w:val="bottom"/>
            <w:gridSpan w:val="3"/>
          </w:tcPr>
          <w:p>
            <w:pPr>
              <w:spacing w:after="0"/>
              <w:rPr>
                <w:sz w:val="20"/>
                <w:szCs w:val="20"/>
                <w:color w:val="auto"/>
              </w:rPr>
            </w:pPr>
            <w:r>
              <w:rPr>
                <w:rFonts w:ascii="Arial" w:cs="Arial" w:eastAsia="Arial" w:hAnsi="Arial"/>
                <w:sz w:val="18"/>
                <w:szCs w:val="18"/>
                <w:color w:val="auto"/>
              </w:rPr>
              <w:t xml:space="preserve">Fiscal 2003 </w:t>
            </w:r>
            <w:r>
              <w:rPr>
                <w:rFonts w:ascii="Arial" w:cs="Arial" w:eastAsia="Arial" w:hAnsi="Arial"/>
                <w:sz w:val="22"/>
                <w:szCs w:val="22"/>
                <w:color w:val="auto"/>
                <w:vertAlign w:val="superscript"/>
              </w:rPr>
              <w:t>(2)</w:t>
            </w:r>
          </w:p>
        </w:tc>
        <w:tc>
          <w:tcPr>
            <w:tcW w:w="2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0"/>
              </w:rPr>
              <w:t xml:space="preserve">Fiscal 2002 </w:t>
            </w:r>
            <w:r>
              <w:rPr>
                <w:rFonts w:ascii="Arial" w:cs="Arial" w:eastAsia="Arial" w:hAnsi="Arial"/>
                <w:sz w:val="22"/>
                <w:szCs w:val="22"/>
                <w:color w:val="auto"/>
                <w:w w:val="90"/>
                <w:vertAlign w:val="superscript"/>
              </w:rPr>
              <w:t>(3)</w:t>
            </w:r>
          </w:p>
        </w:tc>
        <w:tc>
          <w:tcPr>
            <w:tcW w:w="0" w:type="dxa"/>
            <w:vAlign w:val="bottom"/>
          </w:tcPr>
          <w:p>
            <w:pPr>
              <w:spacing w:after="0"/>
              <w:rPr>
                <w:sz w:val="1"/>
                <w:szCs w:val="1"/>
                <w:color w:val="auto"/>
              </w:rPr>
            </w:pPr>
          </w:p>
        </w:tc>
      </w:tr>
      <w:tr>
        <w:trPr>
          <w:trHeight w:val="103"/>
        </w:trPr>
        <w:tc>
          <w:tcPr>
            <w:tcW w:w="68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15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840" w:type="dxa"/>
            <w:vAlign w:val="bottom"/>
            <w:gridSpan w:val="2"/>
            <w:vMerge w:val="continue"/>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122.4</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Gross margin</w:t>
            </w:r>
          </w:p>
        </w:tc>
        <w:tc>
          <w:tcPr>
            <w:tcW w:w="15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12.7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5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Provision (reversal) for impairment of assets, store closings</w:t>
            </w:r>
          </w:p>
        </w:tc>
        <w:tc>
          <w:tcPr>
            <w:tcW w:w="15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and severance</w:t>
            </w:r>
          </w:p>
        </w:tc>
        <w:tc>
          <w:tcPr>
            <w:tcW w:w="150" w:type="dxa"/>
            <w:vAlign w:val="bottom"/>
          </w:tcPr>
          <w:p>
            <w:pPr>
              <w:spacing w:after="0"/>
              <w:rPr>
                <w:sz w:val="19"/>
                <w:szCs w:val="19"/>
                <w:color w:val="auto"/>
              </w:rPr>
            </w:pPr>
          </w:p>
        </w:tc>
        <w:tc>
          <w:tcPr>
            <w:tcW w:w="161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61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66421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7" w:lineRule="exact"/>
        <w:rPr>
          <w:sz w:val="20"/>
          <w:szCs w:val="20"/>
          <w:color w:val="auto"/>
        </w:rPr>
      </w:pPr>
    </w:p>
    <w:p>
      <w:pPr>
        <w:ind w:left="340" w:right="220" w:hanging="332"/>
        <w:spacing w:after="0" w:line="188"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3"/>
          <w:szCs w:val="13"/>
          <w:color w:val="auto"/>
        </w:rPr>
        <w:t>Fiscal 2004 includes a gain of $1.2 million that the Company recognized in connection with the sale of 32 of its Levi’s</w:t>
      </w:r>
      <w:r>
        <w:rPr>
          <w:rFonts w:ascii="Arial" w:cs="Arial" w:eastAsia="Arial" w:hAnsi="Arial"/>
          <w:sz w:val="21"/>
          <w:szCs w:val="21"/>
          <w:color w:val="auto"/>
          <w:vertAlign w:val="superscript"/>
        </w:rPr>
        <w:t>®</w:t>
      </w:r>
      <w:r>
        <w:rPr>
          <w:rFonts w:ascii="Arial" w:cs="Arial" w:eastAsia="Arial" w:hAnsi="Arial"/>
          <w:sz w:val="13"/>
          <w:szCs w:val="13"/>
          <w:color w:val="auto"/>
        </w:rPr>
        <w:t>/Dockers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outlet stores in the fourth quarter. Results also include income of $2.5 million recognized in the second and fourth quarters as a result of the reversal of excess restructuring reserves.</w:t>
      </w:r>
    </w:p>
    <w:p>
      <w:pPr>
        <w:spacing w:after="0" w:line="45" w:lineRule="exact"/>
        <w:rPr>
          <w:rFonts w:ascii="Arial" w:cs="Arial" w:eastAsia="Arial" w:hAnsi="Arial"/>
          <w:sz w:val="26"/>
          <w:szCs w:val="26"/>
          <w:color w:val="auto"/>
          <w:vertAlign w:val="superscript"/>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Fiscal 2003 includes income of $646,000 as a result of revised accruals for certain landlord settlements.</w:t>
      </w:r>
    </w:p>
    <w:p>
      <w:pPr>
        <w:spacing w:after="0" w:line="50" w:lineRule="exact"/>
        <w:rPr>
          <w:rFonts w:ascii="Arial" w:cs="Arial" w:eastAsia="Arial" w:hAnsi="Arial"/>
          <w:sz w:val="14"/>
          <w:szCs w:val="14"/>
          <w:color w:val="auto"/>
        </w:rPr>
      </w:pPr>
    </w:p>
    <w:p>
      <w:pPr>
        <w:ind w:left="340" w:right="340" w:hanging="332"/>
        <w:spacing w:after="0" w:line="190" w:lineRule="auto"/>
        <w:tabs>
          <w:tab w:leader="none" w:pos="340" w:val="left"/>
        </w:tabs>
        <w:numPr>
          <w:ilvl w:val="0"/>
          <w:numId w:val="11"/>
        </w:numPr>
        <w:rPr>
          <w:rFonts w:ascii="Arial" w:cs="Arial" w:eastAsia="Arial" w:hAnsi="Arial"/>
          <w:sz w:val="27"/>
          <w:szCs w:val="27"/>
          <w:color w:val="auto"/>
          <w:vertAlign w:val="superscript"/>
        </w:rPr>
      </w:pPr>
      <w:r>
        <w:rPr>
          <w:rFonts w:ascii="Arial" w:cs="Arial" w:eastAsia="Arial" w:hAnsi="Arial"/>
          <w:sz w:val="14"/>
          <w:szCs w:val="14"/>
          <w:color w:val="auto"/>
        </w:rPr>
        <w:t>Fiscal 2002 includes $28.2 million in charges, related to discontinued operations, recorded by the Company related to the exiting of its Levi’s</w:t>
      </w:r>
      <w:r>
        <w:rPr>
          <w:rFonts w:ascii="Arial" w:cs="Arial" w:eastAsia="Arial" w:hAnsi="Arial"/>
          <w:sz w:val="22"/>
          <w:szCs w:val="22"/>
          <w:color w:val="auto"/>
          <w:vertAlign w:val="superscript"/>
        </w:rPr>
        <w:t>®</w:t>
      </w:r>
      <w:r>
        <w:rPr>
          <w:rFonts w:ascii="Arial" w:cs="Arial" w:eastAsia="Arial" w:hAnsi="Arial"/>
          <w:sz w:val="14"/>
          <w:szCs w:val="14"/>
          <w:color w:val="auto"/>
        </w:rPr>
        <w:t>/Dockers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and Candie’s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businesses. Of the total $28.2 million, approximately $16.3 million is included in gross margin as markdown costs, the remaining $11.9 million is included in “Provision (reversal) for impairment of assets, store closings and severance.”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u w:val="single" w:color="auto"/>
          <w:color w:val="auto"/>
        </w:rPr>
        <w:t>Fiscal 2004</w:t>
      </w:r>
      <w:r>
        <w:rPr>
          <w:rFonts w:ascii="Arial" w:cs="Arial" w:eastAsia="Arial" w:hAnsi="Arial"/>
          <w:sz w:val="16"/>
          <w:szCs w:val="16"/>
          <w:color w:val="auto"/>
        </w:rPr>
        <w:t>. In the second quarter of fiscal 2004, the Company completed the repayment of approximately $7.8 million of its 12% senior subordinated notes due 2010. In connection with the prepayment, the Company incurred approximately $1.9 million of expense associated with the prepayment penalties and the write-off of the unamortized value associated with warrants issued in connection with the debt. In addition, the Company also wrote off approximately $0.9 million of expenses due to the postponed spin-off of its majority-owned subsidiary, LP Innovations, Inc. (“LPI”). These costs were offset by a gain recognized in the second quarter of fiscal 2004 of $3.1 million associated with the Company’s sale of its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joint venture to Ecko.</w:t>
      </w:r>
    </w:p>
    <w:p>
      <w:pPr>
        <w:spacing w:after="0" w:line="2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u w:val="single" w:color="auto"/>
          <w:color w:val="auto"/>
        </w:rPr>
        <w:t>Fiscal 2003</w:t>
      </w:r>
      <w:r>
        <w:rPr>
          <w:rFonts w:ascii="Arial" w:cs="Arial" w:eastAsia="Arial" w:hAnsi="Arial"/>
          <w:sz w:val="16"/>
          <w:szCs w:val="16"/>
          <w:color w:val="auto"/>
        </w:rPr>
        <w:t>. During the second half of fiscal 2003, the Company incurred approximately $13.8 million of expenses related to its early prepayment of its senior subordinated notes due 2007 and 2010 and its term loan with Back Bay Capital. Of the total expenses of $13.8 million, approximately $13.3 million was recorded in the fourth quarter of fiscal 2003. The majority of these expenses related to prepayment charges of approximately $1.6 million and write-off of deferred costs of $11.7 million, primarily related to the acceleration of deferred expense for the value of warrants issued in connection with the above debt.</w:t>
      </w:r>
    </w:p>
    <w:p>
      <w:pPr>
        <w:spacing w:after="0" w:line="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fourth quarter of fiscal 2003, the Company also recognized $355,000 of expenses related to costs incurred by the Company related to its intention to spin-off LPI.</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interest expense was $8.0 million in fiscal 2004 compared to $11.2 million in fiscal 2003 and $9.1 million in fiscal 2002. During the fourth quarter of fiscal 2003, the Company issued $100 million in convertible notes, the proceeds of which were used to repay much of the Company’s higher interest rate long term debt that the Company incurred in fiscal 2002 in connection with the Casual Male acquisition. This resulted in significant interest cost savings in fiscal 2004.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increase in fiscal 2003 as compared to fiscal 2002 was due to the annualization of interest cost associated with the issuance of approximately $80.2 million of debt incurred to finance the Company’s Casual Male acquisition in May 2002. Included in interest expense for fiscal 2004, fiscal 2003 and fiscal 2002 was accretion on stock warrants of $0.1 million, $1.4 million and $1.1 million, respectively. As part of the Company’s prepayment of its long-term debt, all of the value associated with the stock warrants, which were issued in connection with the long-term debt, were written off and are included in “Other income (expense)” on the Consolidated Statement of Operations for fiscal 2004 and fiscal 2003.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Pursuant to accounting rules, realization of the Company’s deferred tax assets, which relate principally to federal net operating loss carryforwards which expire from 2017 through 2023, is dependent on generating sufficient taxable income in the near term. In the fourth quarter of fiscal 2002 the Company recorded a charge of $8.0 million, thereby establishing a full valuation allowance against its deferred tax assets. The impairment of the Company’s tax assets does not affect its ability to utilize its net operating loss carryforwards to offset any future taxable income, subject to certain annual limitations.</w:t>
      </w:r>
    </w:p>
    <w:p>
      <w:pPr>
        <w:spacing w:after="0" w:line="10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of January 29, 2005, the Company has net operating loss carryforwards of $99.6 million for federal income tax purposes and $81.7 million for state income tax purposes that are available to offset future taxable income, subject to certain annual usage limitations, through fiscal year 2024. Additionally, the Company has alternative minimum tax credit carryforwards of $1.2 million, which are available to further reduce income taxes over an indefinite period. As a result of the Casual Male acquisition and the issuance of $82.5 million of additional equity in fiscal 2002, the utilization of approximately $33.7 million of the total $99.6 million of the net operating loss is limited to approximately $4.8 million each fiscal year.</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40" w:type="dxa"/>
            <w:vAlign w:val="bottom"/>
            <w:gridSpan w:val="2"/>
          </w:tcPr>
          <w:p>
            <w:pPr>
              <w:spacing w:after="0"/>
              <w:rPr>
                <w:sz w:val="20"/>
                <w:szCs w:val="20"/>
                <w:color w:val="auto"/>
              </w:rPr>
            </w:pPr>
            <w:r>
              <w:rPr>
                <w:rFonts w:ascii="Arial" w:cs="Arial" w:eastAsia="Arial" w:hAnsi="Arial"/>
                <w:sz w:val="18"/>
                <w:szCs w:val="18"/>
                <w:i w:val="1"/>
                <w:iCs w:val="1"/>
                <w:color w:val="auto"/>
              </w:rPr>
              <w:t>NET INCOME (LOSS)</w:t>
            </w:r>
          </w:p>
        </w:tc>
        <w:tc>
          <w:tcPr>
            <w:tcW w:w="170" w:type="dxa"/>
            <w:vAlign w:val="bottom"/>
          </w:tcPr>
          <w:p>
            <w:pPr>
              <w:spacing w:after="0"/>
              <w:rPr>
                <w:sz w:val="19"/>
                <w:szCs w:val="19"/>
                <w:color w:val="auto"/>
              </w:rPr>
            </w:pPr>
          </w:p>
        </w:tc>
        <w:tc>
          <w:tcPr>
            <w:tcW w:w="83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85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8"/>
                <w:szCs w:val="18"/>
                <w:color w:val="auto"/>
              </w:rPr>
              <w:t xml:space="preserve">Fiscal 2004 </w:t>
            </w:r>
            <w:r>
              <w:rPr>
                <w:rFonts w:ascii="Arial" w:cs="Arial" w:eastAsia="Arial" w:hAnsi="Arial"/>
                <w:sz w:val="22"/>
                <w:szCs w:val="22"/>
                <w:color w:val="auto"/>
                <w:vertAlign w:val="superscript"/>
              </w:rPr>
              <w:t>(1)</w:t>
            </w:r>
          </w:p>
        </w:tc>
        <w:tc>
          <w:tcPr>
            <w:tcW w:w="1800" w:type="dxa"/>
            <w:vAlign w:val="bottom"/>
            <w:gridSpan w:val="3"/>
          </w:tcPr>
          <w:p>
            <w:pPr>
              <w:spacing w:after="0"/>
              <w:rPr>
                <w:sz w:val="20"/>
                <w:szCs w:val="20"/>
                <w:color w:val="auto"/>
              </w:rPr>
            </w:pPr>
            <w:r>
              <w:rPr>
                <w:rFonts w:ascii="Arial" w:cs="Arial" w:eastAsia="Arial" w:hAnsi="Arial"/>
                <w:sz w:val="18"/>
                <w:szCs w:val="18"/>
                <w:color w:val="auto"/>
              </w:rPr>
              <w:t xml:space="preserve">Fiscal 2003 </w:t>
            </w:r>
            <w:r>
              <w:rPr>
                <w:rFonts w:ascii="Arial" w:cs="Arial" w:eastAsia="Arial" w:hAnsi="Arial"/>
                <w:sz w:val="22"/>
                <w:szCs w:val="22"/>
                <w:color w:val="auto"/>
                <w:vertAlign w:val="superscript"/>
              </w:rPr>
              <w:t>(2)</w:t>
            </w:r>
          </w:p>
        </w:tc>
        <w:tc>
          <w:tcPr>
            <w:tcW w:w="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w w:val="90"/>
              </w:rPr>
              <w:t xml:space="preserve">Fiscal 2002 </w:t>
            </w:r>
            <w:r>
              <w:rPr>
                <w:rFonts w:ascii="Arial" w:cs="Arial" w:eastAsia="Arial" w:hAnsi="Arial"/>
                <w:sz w:val="22"/>
                <w:szCs w:val="22"/>
                <w:color w:val="auto"/>
                <w:w w:val="90"/>
                <w:vertAlign w:val="superscript"/>
              </w:rPr>
              <w:t>(3)</w:t>
            </w:r>
          </w:p>
        </w:tc>
        <w:tc>
          <w:tcPr>
            <w:tcW w:w="0" w:type="dxa"/>
            <w:vAlign w:val="bottom"/>
          </w:tcPr>
          <w:p>
            <w:pPr>
              <w:spacing w:after="0"/>
              <w:rPr>
                <w:sz w:val="1"/>
                <w:szCs w:val="1"/>
                <w:color w:val="auto"/>
              </w:rPr>
            </w:pPr>
          </w:p>
        </w:tc>
      </w:tr>
      <w:tr>
        <w:trPr>
          <w:trHeight w:val="103"/>
        </w:trPr>
        <w:tc>
          <w:tcPr>
            <w:tcW w:w="6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17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gridSpan w:val="2"/>
            <w:vMerge w:val="continue"/>
          </w:tcPr>
          <w:p>
            <w:pPr>
              <w:spacing w:after="0"/>
              <w:rPr>
                <w:sz w:val="8"/>
                <w:szCs w:val="8"/>
                <w:color w:val="auto"/>
              </w:rPr>
            </w:pPr>
          </w:p>
        </w:tc>
        <w:tc>
          <w:tcPr>
            <w:tcW w:w="17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Big &amp; Tall Apparel business</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9.4</w:t>
            </w:r>
          </w:p>
        </w:tc>
        <w:tc>
          <w:tcPr>
            <w:tcW w:w="8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800" w:type="dxa"/>
            <w:vAlign w:val="bottom"/>
          </w:tcPr>
          <w:p>
            <w:pPr>
              <w:spacing w:after="0"/>
              <w:rPr>
                <w:sz w:val="18"/>
                <w:szCs w:val="18"/>
                <w:color w:val="auto"/>
              </w:rPr>
            </w:pPr>
          </w:p>
        </w:tc>
        <w:tc>
          <w:tcPr>
            <w:tcW w:w="17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5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Branded Apparel businesses</w:t>
            </w:r>
          </w:p>
        </w:tc>
        <w:tc>
          <w:tcPr>
            <w:tcW w:w="17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170" w:type="dxa"/>
            <w:vAlign w:val="bottom"/>
          </w:tcPr>
          <w:p>
            <w:pPr>
              <w:spacing w:after="0"/>
              <w:rPr>
                <w:sz w:val="19"/>
                <w:szCs w:val="19"/>
                <w:color w:val="auto"/>
              </w:rPr>
            </w:pPr>
          </w:p>
        </w:tc>
        <w:tc>
          <w:tcPr>
            <w:tcW w:w="163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1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7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67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0" w:type="dxa"/>
            <w:vAlign w:val="bottom"/>
          </w:tcPr>
          <w:p>
            <w:pPr>
              <w:spacing w:after="0"/>
              <w:rPr>
                <w:sz w:val="24"/>
                <w:szCs w:val="24"/>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1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Less:</w:t>
            </w:r>
          </w:p>
        </w:tc>
        <w:tc>
          <w:tcPr>
            <w:tcW w:w="17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7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70" w:type="dxa"/>
            <w:vAlign w:val="bottom"/>
          </w:tcPr>
          <w:p>
            <w:pPr>
              <w:spacing w:after="0"/>
              <w:rPr>
                <w:sz w:val="18"/>
                <w:szCs w:val="18"/>
                <w:color w:val="auto"/>
              </w:rPr>
            </w:pPr>
          </w:p>
        </w:tc>
        <w:tc>
          <w:tcPr>
            <w:tcW w:w="163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7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83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(12.1)</w:t>
            </w:r>
          </w:p>
        </w:tc>
        <w:tc>
          <w:tcPr>
            <w:tcW w:w="17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ind w:left="340" w:right="20" w:hanging="332"/>
        <w:spacing w:after="0" w:line="210"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Results for fiscal 2004 include other income (expense) of $0.3 million related to the gain on the sale of its joint venture interest in Ecko of $3.1 million, offset partially by approximately $1.9 million of expense related to the Company’s prepayment of long term debt and write-offs of approximately $0.9 million of offering costs associated with the postponed spin-off of its subsidiary LPI. Discontinued operations include a gain on the sale of its Levi’s</w:t>
      </w:r>
      <w:r>
        <w:rPr>
          <w:rFonts w:ascii="Arial" w:cs="Arial" w:eastAsia="Arial" w:hAnsi="Arial"/>
          <w:sz w:val="22"/>
          <w:szCs w:val="22"/>
          <w:color w:val="auto"/>
          <w:vertAlign w:val="superscript"/>
        </w:rPr>
        <w:t>®</w:t>
      </w:r>
      <w:r>
        <w:rPr>
          <w:rFonts w:ascii="Arial" w:cs="Arial" w:eastAsia="Arial" w:hAnsi="Arial"/>
          <w:sz w:val="14"/>
          <w:szCs w:val="14"/>
          <w:color w:val="auto"/>
        </w:rPr>
        <w:t>/Dockers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stores of approximately $1.2 million and $2.5 million of income recognized as a result of reversals of excess restructuring reserves due to such sale.</w:t>
      </w:r>
    </w:p>
    <w:p>
      <w:pPr>
        <w:spacing w:after="0" w:line="44" w:lineRule="exact"/>
        <w:rPr>
          <w:rFonts w:ascii="Arial" w:cs="Arial" w:eastAsia="Arial" w:hAnsi="Arial"/>
          <w:sz w:val="14"/>
          <w:szCs w:val="14"/>
          <w:color w:val="auto"/>
        </w:rPr>
      </w:pPr>
    </w:p>
    <w:p>
      <w:pPr>
        <w:ind w:left="340" w:right="360" w:hanging="332"/>
        <w:spacing w:after="0" w:line="239"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Results for fiscal 2003 include $14.1 million in other income (expense) related to the Company’s prepayment of long-term debt. Discontinued operations include $0.6 million of income related to the reversal of excess restructuring reserves as a result of favorable lease terminations.</w:t>
      </w:r>
    </w:p>
    <w:p>
      <w:pPr>
        <w:spacing w:after="0" w:line="39" w:lineRule="exact"/>
        <w:rPr>
          <w:rFonts w:ascii="Arial" w:cs="Arial" w:eastAsia="Arial" w:hAnsi="Arial"/>
          <w:sz w:val="14"/>
          <w:szCs w:val="14"/>
          <w:color w:val="auto"/>
        </w:rPr>
      </w:pPr>
    </w:p>
    <w:p>
      <w:pPr>
        <w:ind w:left="340" w:right="200" w:hanging="332"/>
        <w:spacing w:after="0" w:line="196"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2"/>
          <w:szCs w:val="12"/>
          <w:color w:val="auto"/>
        </w:rPr>
        <w:t>Results for fiscal 2002 include $33.3 million in charges related to the Company’s decision to exit its Levi’s</w:t>
      </w:r>
      <w:r>
        <w:rPr>
          <w:rFonts w:ascii="Arial" w:cs="Arial" w:eastAsia="Arial" w:hAnsi="Arial"/>
          <w:sz w:val="20"/>
          <w:szCs w:val="20"/>
          <w:color w:val="auto"/>
          <w:vertAlign w:val="superscript"/>
        </w:rPr>
        <w:t>®</w:t>
      </w:r>
      <w:r>
        <w:rPr>
          <w:rFonts w:ascii="Arial" w:cs="Arial" w:eastAsia="Arial" w:hAnsi="Arial"/>
          <w:sz w:val="12"/>
          <w:szCs w:val="12"/>
          <w:color w:val="auto"/>
        </w:rPr>
        <w:t>/Dockers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and Candies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businesses. Of the total restructuring charge, $5.1 million related to the costs necessary to integrate the newly acquired Casual Male business with the Designs business. The remaining reserves of $28.2 million related specifically to the closure of its Levi’s</w:t>
      </w:r>
      <w:r>
        <w:rPr>
          <w:rFonts w:ascii="Arial" w:cs="Arial" w:eastAsia="Arial" w:hAnsi="Arial"/>
          <w:sz w:val="20"/>
          <w:szCs w:val="20"/>
          <w:color w:val="auto"/>
          <w:vertAlign w:val="superscript"/>
        </w:rPr>
        <w:t>®</w:t>
      </w:r>
      <w:r>
        <w:rPr>
          <w:rFonts w:ascii="Arial" w:cs="Arial" w:eastAsia="Arial" w:hAnsi="Arial"/>
          <w:sz w:val="12"/>
          <w:szCs w:val="12"/>
          <w:color w:val="auto"/>
        </w:rPr>
        <w:t>/Dockers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business and is therefore reflected as a component of discontinued operations. In fiscal 2002, the Company also recorded a charge of $8.0 million against its deferred tax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comparison of sales in each quarter of the past three fiscal years is presented below. The prior year results have been restated for discontinued operations. The amounts shown are not necessarily indicative of actual trends, because such amounts also reflect the addition of new stores and the remodeling and closing of others during these periods. Consistent with the retail apparel industry, the Company’s business is seasonal. The Company’s business traditionally generates the largest volume of its sales during the Father’s Day selling season in June and the Christmas selling season in December. The majority of the Company’s operating income is generated in the fourth quarter as a result of the impact of the Christmas selling season. A comparison of quarterly sales, gross profit, net income (loss) per share for the past two fiscal years is presented in Note O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140335</wp:posOffset>
            </wp:positionV>
            <wp:extent cx="33445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5940" w:type="dxa"/>
            <w:vAlign w:val="bottom"/>
            <w:gridSpan w:val="2"/>
          </w:tcPr>
          <w:p>
            <w:pPr>
              <w:spacing w:after="0"/>
              <w:rPr>
                <w:sz w:val="20"/>
                <w:szCs w:val="20"/>
                <w:color w:val="auto"/>
              </w:rPr>
            </w:pPr>
            <w:r>
              <w:rPr>
                <w:rFonts w:ascii="Arial" w:cs="Arial" w:eastAsia="Arial" w:hAnsi="Arial"/>
                <w:sz w:val="18"/>
                <w:szCs w:val="18"/>
                <w:i w:val="1"/>
                <w:iCs w:val="1"/>
                <w:color w:val="auto"/>
              </w:rPr>
              <w:t>except percentages)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right"/>
              <w:ind w:right="152"/>
              <w:spacing w:after="0"/>
              <w:rPr>
                <w:sz w:val="20"/>
                <w:szCs w:val="20"/>
                <w:color w:val="auto"/>
              </w:rPr>
            </w:pPr>
            <w:r>
              <w:rPr>
                <w:rFonts w:ascii="Arial" w:cs="Arial" w:eastAsia="Arial" w:hAnsi="Arial"/>
                <w:sz w:val="18"/>
                <w:szCs w:val="18"/>
                <w:color w:val="auto"/>
                <w:w w:val="92"/>
              </w:rPr>
              <w:t>FISCAL 2004</w:t>
            </w:r>
            <w:r>
              <w:rPr>
                <w:rFonts w:ascii="Arial" w:cs="Arial" w:eastAsia="Arial" w:hAnsi="Arial"/>
                <w:sz w:val="22"/>
                <w:szCs w:val="22"/>
                <w:color w:val="auto"/>
                <w:w w:val="92"/>
                <w:vertAlign w:val="superscript"/>
              </w:rPr>
              <w:t>(1)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FISCAL 2003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18"/>
                <w:szCs w:val="18"/>
                <w:color w:val="auto"/>
              </w:rPr>
              <w:t>FISCAL 2002</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82.6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118.1</w:t>
            </w: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Fiscal 2004 sales results include, since October 30, 2004, the sales of the Rochester stores which approximated $21.0 million.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Fiscal 2002 sales results include, since May 14, 2002, the sales of the Casual Male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 w:lineRule="exact"/>
        <w:rPr>
          <w:sz w:val="20"/>
          <w:szCs w:val="20"/>
          <w:color w:val="auto"/>
        </w:rPr>
      </w:pPr>
    </w:p>
    <w:p>
      <w:pPr>
        <w:ind w:right="300"/>
        <w:spacing w:after="0" w:line="290"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offerings. The Company’s objective is to maintain a positive cash flow after capital expenditures such that it can support its growth activities with operational cash flows and without the use of incurring any additional debt.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financial data regarding the Company’s liquidity position at the end of the past three fiscal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FISCAL YEARS</w:t>
            </w: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2003</w:t>
            </w:r>
          </w:p>
        </w:tc>
        <w:tc>
          <w:tcPr>
            <w:tcW w:w="6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ratios)</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provided by operations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13.4</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12.0</w:t>
            </w:r>
          </w:p>
        </w:tc>
        <w:tc>
          <w:tcPr>
            <w:tcW w:w="6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Current ratio</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1.3:1</w:t>
            </w: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1.7:1</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flow provided by operations in fiscal 2004 increased slightly from fiscal 2003 primarily as a result of improved profitability and the timing of other working capital payments. This positive cash flow in fiscal 2004 was primarily used to finance the Company’s capital expenditures and reduce its borrowings under the Amended Credit Facility (as defined below).</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the fourth quarter of fiscal 2003, the Company completed the sale of $100 million in 5% convertible notes due 2024. This offering enabled the Company to substantially prepay all of its high rate debt, much of which was acquired in conjunction with the Casual Male acquisition, and pay off amounts outstanding under its credit facility. In addition to saving the Company approximately $4.0 million in annual interest costs, this offering also increased the Company’s liquidity for working capital needs. The Company also used a portion of the proceeds to repurchase an aggregate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2,000,000 shares of its Common Stock during the fourth quarter of fiscal 2003 and second quarter of fiscal 2004. The convertible notes, which bear interest at a rate of 5% per year, payable semi-annually, are convertible into the Company’s Common Stock at a conversion price of $10.65 per share and constitute general secured obligations of the Company, subordinate to all existing and future designated senior indebtedness.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29, 2004, in connection with the financing of the Rochester Acquisition, the Company amended its credit facility (the “Amended Credit Facility”) with Bank of America Retail Group (formerly known as Fleet Retail Group, Inc.).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amendment lowered the Company’s interest rates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January 29, 2005, the Company had borrowings outstanding under the Amended Credit Facility of $19.3 million and outstanding standby letters of credit of $2.0 million, with no outstanding documentary letters of credit. Average borrowings outstanding under this facility during fiscal 2004 were approximately $27.0 million, resulting in an average unused excess availability of approximately $38.5 million.</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connection with the Rochester acquisition, on October 29, 2004, the Company also entered into a three-year $7.5 million term loan with Bank of America Retail Group, Inc. Such loan will require principal payments in the amount of approximately $1.9 million on each of the first two anniversaries of the loan with the remaining balance due at maturity. The term loan will accrue interest at the prevailing LIBOR rate plus 5% per annum.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segment information for inventory at January 29, 2005 and January 31, 2004: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86"/>
              </w:rPr>
              <w:t>January 29, 2005</w:t>
            </w:r>
          </w:p>
        </w:tc>
        <w:tc>
          <w:tcPr>
            <w:tcW w:w="98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January 31, 2004</w:t>
            </w:r>
          </w:p>
        </w:tc>
        <w:tc>
          <w:tcPr>
            <w:tcW w:w="0" w:type="dxa"/>
            <w:vAlign w:val="bottom"/>
          </w:tcPr>
          <w:p>
            <w:pPr>
              <w:spacing w:after="0"/>
              <w:rPr>
                <w:sz w:val="1"/>
                <w:szCs w:val="1"/>
                <w:color w:val="auto"/>
              </w:rPr>
            </w:pPr>
          </w:p>
        </w:tc>
      </w:tr>
      <w:tr>
        <w:trPr>
          <w:trHeight w:val="110"/>
        </w:trPr>
        <w:tc>
          <w:tcPr>
            <w:tcW w:w="8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80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Big &amp; Tall Apparel business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Branded Apparel business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-27305</wp:posOffset>
            </wp:positionV>
            <wp:extent cx="7759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597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-27305</wp:posOffset>
            </wp:positionV>
            <wp:extent cx="7759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597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At January 29, 2005, total inventories of the Company were $79.9 million as compared to $98.7 million at January 31 2004. The increase in inventory for the Big</w:t>
      </w:r>
    </w:p>
    <w:p>
      <w:pPr>
        <w:spacing w:after="0" w:line="38" w:lineRule="exact"/>
        <w:rPr>
          <w:sz w:val="20"/>
          <w:szCs w:val="20"/>
          <w:color w:val="auto"/>
        </w:rPr>
      </w:pPr>
    </w:p>
    <w:p>
      <w:pPr>
        <w:ind w:right="180" w:firstLine="8"/>
        <w:spacing w:after="0" w:line="290" w:lineRule="auto"/>
        <w:tabs>
          <w:tab w:leader="none" w:pos="18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Tall Apparel business at January 29, 2005 of $12.4 million is principally due to the addition of the Rochester stores during the third quarter of fiscal 2004. Inventory at January 31, 2004, included inventory for the Company’s Other Branded Apparel Business of $31.2 million which comprised inventory for its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and its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all of which have been sold or closed as of January 29, 2005.</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summarizes our contractual obligations at January 29, 2005, and the effect such obligations are expected to have on the Company’s liquidity and cash flows in future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color w:val="auto"/>
              </w:rPr>
              <w:t>Payments due by period</w:t>
            </w: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3" w:lineRule="exact"/>
              <w:rPr>
                <w:sz w:val="20"/>
                <w:szCs w:val="20"/>
                <w:color w:val="auto"/>
              </w:rPr>
            </w:pPr>
            <w:r>
              <w:rPr>
                <w:rFonts w:ascii="Arial" w:cs="Arial" w:eastAsia="Arial" w:hAnsi="Arial"/>
                <w:sz w:val="18"/>
                <w:szCs w:val="18"/>
                <w:color w:val="auto"/>
              </w:rPr>
              <w:t>Contractual Obligations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3"/>
          </w:tcPr>
          <w:p>
            <w:pPr>
              <w:jc w:val="center"/>
              <w:ind w:right="340"/>
              <w:spacing w:after="0" w:line="203" w:lineRule="exact"/>
              <w:rPr>
                <w:sz w:val="20"/>
                <w:szCs w:val="20"/>
                <w:color w:val="auto"/>
              </w:rPr>
            </w:pPr>
            <w:r>
              <w:rPr>
                <w:rFonts w:ascii="Arial" w:cs="Arial" w:eastAsia="Arial" w:hAnsi="Arial"/>
                <w:sz w:val="18"/>
                <w:szCs w:val="18"/>
                <w:color w:val="auto"/>
                <w:w w:val="85"/>
              </w:rPr>
              <w:t>Less than 1</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87"/>
              </w:rPr>
              <w:t>More than 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94"/>
              </w:rPr>
              <w:t>Total</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85"/>
              </w:rPr>
              <w:t>year</w:t>
            </w:r>
          </w:p>
        </w:tc>
        <w:tc>
          <w:tcPr>
            <w:tcW w:w="1060" w:type="dxa"/>
            <w:vAlign w:val="bottom"/>
            <w:gridSpan w:val="3"/>
          </w:tcPr>
          <w:p>
            <w:pPr>
              <w:ind w:left="40"/>
              <w:spacing w:after="0"/>
              <w:rPr>
                <w:sz w:val="20"/>
                <w:szCs w:val="20"/>
                <w:color w:val="auto"/>
              </w:rPr>
            </w:pPr>
            <w:r>
              <w:rPr>
                <w:rFonts w:ascii="Arial" w:cs="Arial" w:eastAsia="Arial" w:hAnsi="Arial"/>
                <w:sz w:val="18"/>
                <w:szCs w:val="18"/>
                <w:color w:val="auto"/>
              </w:rPr>
              <w:t>1-3 years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7"/>
              </w:rPr>
              <w:t>3-5 years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years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Non-merchandise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Obligations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Merchandise Purchase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Obligations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a complete description of the Company’s long-term debt obligations, see Note C to the Notes to the Consolidated Financial Statements.</w:t>
      </w:r>
    </w:p>
    <w:p>
      <w:pPr>
        <w:spacing w:after="0" w:line="55" w:lineRule="exact"/>
        <w:rPr>
          <w:rFonts w:ascii="Arial" w:cs="Arial" w:eastAsia="Arial" w:hAnsi="Arial"/>
          <w:sz w:val="14"/>
          <w:szCs w:val="14"/>
          <w:color w:val="auto"/>
        </w:rPr>
      </w:pPr>
    </w:p>
    <w:p>
      <w:pPr>
        <w:ind w:left="340" w:right="60" w:hanging="332"/>
        <w:spacing w:after="0" w:line="273"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Non-merchandise Purchase Obligations include commitments pursuant to certain agreements for services. Included in the table are the minimum obligations of the Company under its License Agreements and Endorsement Agreement with George Foreman. Pursuant to these agreements, the Company is obligated to pay a remaining aggregate minimum of approximately $1.5 million through December 31, 2006 on its endorsement and apparel licensing agreements and approximately $75,000 though July 30, 2007 on its footwear license agreement. See Note E –“Commitments and Contingencies” to the Notes to the Consolidated Financial Statements for a full description of these agreements. Also included is $392,000, which the Company is obligated to pay pursuant to a consulting agreement with Jewelcor Management, Inc. See Note H –“Related Parties” to the Notes to the Consolidated Financial Statements for a full description of this agreement.</w:t>
      </w:r>
    </w:p>
    <w:p>
      <w:pPr>
        <w:spacing w:after="0" w:line="25" w:lineRule="exact"/>
        <w:rPr>
          <w:rFonts w:ascii="Arial" w:cs="Arial" w:eastAsia="Arial" w:hAnsi="Arial"/>
          <w:sz w:val="12"/>
          <w:szCs w:val="12"/>
          <w:color w:val="auto"/>
        </w:rPr>
      </w:pPr>
    </w:p>
    <w:p>
      <w:pPr>
        <w:ind w:left="340" w:right="40" w:hanging="332"/>
        <w:spacing w:after="0" w:line="230"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Merchandise Purchase Obligations include a sourcing agreement with Kellwood Company for which the Company is committed to meet certain minimum purchases. These commitments are contingent on Kellwood Company meeting its obligations under the sourcing agreement. Excluded from Merchandise Purchase Obligations in the table above, are the Company’s outstanding obligations pursuant to open purchase orders. At January 29, 2005, the Company had approximately $103.1 million in open purchase orders. The Company estimates that approximately 85% of these purchase orders may be considered non-cancelable.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closings and remodels from January 31, 2004 to January 29, 2005 and related square footage: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40" w:type="dxa"/>
            <w:vAlign w:val="bottom"/>
            <w:gridSpan w:val="2"/>
          </w:tcPr>
          <w:p>
            <w:pPr>
              <w:spacing w:after="0"/>
              <w:rPr>
                <w:sz w:val="20"/>
                <w:szCs w:val="20"/>
                <w:color w:val="auto"/>
              </w:rPr>
            </w:pPr>
            <w:r>
              <w:rPr>
                <w:rFonts w:ascii="Arial" w:cs="Arial" w:eastAsia="Arial" w:hAnsi="Arial"/>
                <w:sz w:val="18"/>
                <w:szCs w:val="18"/>
                <w:i w:val="1"/>
                <w:iCs w:val="1"/>
                <w:color w:val="auto"/>
              </w:rPr>
              <w:t>Levi’s</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/Dockers</w:t>
            </w:r>
            <w:r>
              <w:rPr>
                <w:rFonts w:ascii="Arial" w:cs="Arial" w:eastAsia="Arial" w:hAnsi="Arial"/>
                <w:sz w:val="22"/>
                <w:szCs w:val="22"/>
                <w:i w:val="1"/>
                <w:iCs w:val="1"/>
                <w:color w:val="auto"/>
                <w:vertAlign w:val="superscript"/>
              </w:rPr>
              <w:t>®</w:t>
            </w: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i w:val="1"/>
                <w:iCs w:val="1"/>
                <w:color w:val="auto"/>
                <w:w w:val="87"/>
              </w:rPr>
              <w:t>Ecko</w:t>
            </w:r>
            <w:r>
              <w:rPr>
                <w:rFonts w:ascii="Arial" w:cs="Arial" w:eastAsia="Arial" w:hAnsi="Arial"/>
                <w:sz w:val="22"/>
                <w:szCs w:val="22"/>
                <w:i w:val="1"/>
                <w:iCs w:val="1"/>
                <w:color w:val="auto"/>
                <w:w w:val="87"/>
                <w:vertAlign w:val="superscript"/>
              </w:rPr>
              <w:t>®</w:t>
            </w:r>
            <w:r>
              <w:rPr>
                <w:rFonts w:ascii="Arial" w:cs="Arial" w:eastAsia="Arial" w:hAnsi="Arial"/>
                <w:sz w:val="18"/>
                <w:szCs w:val="18"/>
                <w:i w:val="1"/>
                <w:iCs w:val="1"/>
                <w:color w:val="auto"/>
                <w:w w:val="87"/>
              </w:rPr>
              <w:t xml:space="preserve"> Unltd.</w:t>
            </w: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2"/>
        </w:trPr>
        <w:tc>
          <w:tcPr>
            <w:tcW w:w="3280" w:type="dxa"/>
            <w:vAlign w:val="bottom"/>
            <w:gridSpan w:val="2"/>
          </w:tcPr>
          <w:p>
            <w:pPr>
              <w:ind w:left="120"/>
              <w:spacing w:after="0"/>
              <w:rPr>
                <w:sz w:val="20"/>
                <w:szCs w:val="20"/>
                <w:color w:val="auto"/>
              </w:rPr>
            </w:pPr>
            <w:r>
              <w:rPr>
                <w:rFonts w:ascii="Arial" w:cs="Arial" w:eastAsia="Arial" w:hAnsi="Arial"/>
                <w:sz w:val="18"/>
                <w:szCs w:val="18"/>
                <w:i w:val="1"/>
                <w:iCs w:val="1"/>
                <w:color w:val="auto"/>
              </w:rPr>
              <w:t>Number of Stores:</w:t>
            </w:r>
          </w:p>
        </w:tc>
        <w:tc>
          <w:tcPr>
            <w:tcW w:w="660" w:type="dxa"/>
            <w:vAlign w:val="bottom"/>
          </w:tcPr>
          <w:p>
            <w:pPr>
              <w:spacing w:after="0"/>
              <w:rPr>
                <w:sz w:val="19"/>
                <w:szCs w:val="19"/>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w w:val="87"/>
              </w:rPr>
              <w:t>Casual Male</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i w:val="1"/>
                <w:iCs w:val="1"/>
                <w:color w:val="auto"/>
                <w:w w:val="82"/>
              </w:rPr>
              <w:t>Rochester</w:t>
            </w:r>
          </w:p>
        </w:tc>
        <w:tc>
          <w:tcPr>
            <w:tcW w:w="1940" w:type="dxa"/>
            <w:vAlign w:val="bottom"/>
            <w:gridSpan w:val="2"/>
          </w:tcPr>
          <w:p>
            <w:pPr>
              <w:ind w:left="180"/>
              <w:spacing w:after="0"/>
              <w:rPr>
                <w:sz w:val="20"/>
                <w:szCs w:val="20"/>
                <w:color w:val="auto"/>
              </w:rPr>
            </w:pPr>
            <w:r>
              <w:rPr>
                <w:rFonts w:ascii="Arial" w:cs="Arial" w:eastAsia="Arial" w:hAnsi="Arial"/>
                <w:sz w:val="18"/>
                <w:szCs w:val="18"/>
                <w:i w:val="1"/>
                <w:iCs w:val="1"/>
                <w:color w:val="auto"/>
              </w:rPr>
              <w:t>outlet stores</w:t>
            </w:r>
          </w:p>
        </w:tc>
        <w:tc>
          <w:tcPr>
            <w:tcW w:w="10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i w:val="1"/>
                <w:iCs w:val="1"/>
                <w:color w:val="auto"/>
              </w:rPr>
              <w:t>stores</w:t>
            </w:r>
          </w:p>
        </w:tc>
        <w:tc>
          <w:tcPr>
            <w:tcW w:w="6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w w:val="85"/>
              </w:rPr>
              <w:t>Total stores</w:t>
            </w:r>
          </w:p>
        </w:tc>
      </w:tr>
      <w:tr>
        <w:trPr>
          <w:trHeight w:val="110"/>
        </w:trPr>
        <w:tc>
          <w:tcPr>
            <w:tcW w:w="120" w:type="dxa"/>
            <w:vAlign w:val="bottom"/>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At January 31, 2004</w:t>
            </w:r>
          </w:p>
        </w:tc>
        <w:tc>
          <w:tcPr>
            <w:tcW w:w="2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481</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New outlet stores</w:t>
            </w:r>
          </w:p>
        </w:tc>
        <w:tc>
          <w:tcPr>
            <w:tcW w:w="2280" w:type="dxa"/>
            <w:vAlign w:val="bottom"/>
            <w:gridSpan w:val="3"/>
          </w:tcPr>
          <w:p>
            <w:pPr>
              <w:jc w:val="right"/>
              <w:ind w:right="7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retail stores</w:t>
            </w:r>
          </w:p>
        </w:tc>
        <w:tc>
          <w:tcPr>
            <w:tcW w:w="2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New Sears Canada locations</w:t>
            </w:r>
          </w:p>
        </w:tc>
        <w:tc>
          <w:tcPr>
            <w:tcW w:w="2280" w:type="dxa"/>
            <w:vAlign w:val="bottom"/>
            <w:gridSpan w:val="3"/>
          </w:tcPr>
          <w:p>
            <w:pPr>
              <w:jc w:val="right"/>
              <w:ind w:right="72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stores</w:t>
            </w:r>
          </w:p>
        </w:tc>
        <w:tc>
          <w:tcPr>
            <w:tcW w:w="6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Sold stores</w:t>
            </w:r>
          </w:p>
        </w:tc>
        <w:tc>
          <w:tcPr>
            <w:tcW w:w="660" w:type="dxa"/>
            <w:vAlign w:val="bottom"/>
          </w:tcPr>
          <w:p>
            <w:pPr>
              <w:spacing w:after="0"/>
              <w:rPr>
                <w:sz w:val="18"/>
                <w:szCs w:val="18"/>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660"/>
              <w:spacing w:after="0"/>
              <w:rPr>
                <w:sz w:val="20"/>
                <w:szCs w:val="20"/>
                <w:color w:val="auto"/>
              </w:rPr>
            </w:pPr>
            <w:r>
              <w:rPr>
                <w:rFonts w:ascii="Arial" w:cs="Arial" w:eastAsia="Arial" w:hAnsi="Arial"/>
                <w:sz w:val="18"/>
                <w:szCs w:val="18"/>
                <w:color w:val="auto"/>
              </w:rPr>
              <w:t>(32)</w:t>
            </w:r>
          </w:p>
        </w:tc>
        <w:tc>
          <w:tcPr>
            <w:tcW w:w="10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w:t>
            </w:r>
          </w:p>
        </w:tc>
        <w:tc>
          <w:tcPr>
            <w:tcW w:w="6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Closed stores</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108"/>
        </w:trPr>
        <w:tc>
          <w:tcPr>
            <w:tcW w:w="1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At January 29, 2005</w:t>
            </w:r>
          </w:p>
        </w:tc>
        <w:tc>
          <w:tcPr>
            <w:tcW w:w="2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505</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r>
      <w:tr>
        <w:trPr>
          <w:trHeight w:val="457"/>
        </w:trPr>
        <w:tc>
          <w:tcPr>
            <w:tcW w:w="12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Remodels in 2004</w:t>
            </w:r>
          </w:p>
        </w:tc>
        <w:tc>
          <w:tcPr>
            <w:tcW w:w="2280" w:type="dxa"/>
            <w:vAlign w:val="bottom"/>
            <w:gridSpan w:val="3"/>
          </w:tcPr>
          <w:p>
            <w:pPr>
              <w:jc w:val="right"/>
              <w:ind w:right="720"/>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24"/>
                <w:szCs w:val="24"/>
                <w:color w:val="auto"/>
              </w:rPr>
            </w:pPr>
          </w:p>
        </w:tc>
      </w:tr>
      <w:tr>
        <w:trPr>
          <w:trHeight w:val="459"/>
        </w:trPr>
        <w:tc>
          <w:tcPr>
            <w:tcW w:w="3280" w:type="dxa"/>
            <w:vAlign w:val="bottom"/>
            <w:gridSpan w:val="2"/>
          </w:tcPr>
          <w:p>
            <w:pPr>
              <w:ind w:left="120"/>
              <w:spacing w:after="0"/>
              <w:rPr>
                <w:sz w:val="20"/>
                <w:szCs w:val="20"/>
                <w:color w:val="auto"/>
              </w:rPr>
            </w:pPr>
            <w:r>
              <w:rPr>
                <w:rFonts w:ascii="Arial" w:cs="Arial" w:eastAsia="Arial" w:hAnsi="Arial"/>
                <w:sz w:val="18"/>
                <w:szCs w:val="18"/>
                <w:i w:val="1"/>
                <w:iCs w:val="1"/>
                <w:color w:val="auto"/>
              </w:rPr>
              <w:t>Square footage (in thousands)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120" w:type="dxa"/>
            <w:vAlign w:val="bottom"/>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120" w:type="dxa"/>
            <w:vAlign w:val="bottom"/>
            <w:shd w:val="clear" w:color="auto" w:fill="CCEEFF"/>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 January 29, 2005</w:t>
            </w:r>
          </w:p>
        </w:tc>
        <w:tc>
          <w:tcPr>
            <w:tcW w:w="2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1,691</w:t>
            </w:r>
          </w:p>
        </w:tc>
        <w:tc>
          <w:tcPr>
            <w:tcW w:w="1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171</w:t>
            </w:r>
          </w:p>
        </w:tc>
        <w:tc>
          <w:tcPr>
            <w:tcW w:w="19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at January 31, 2004</w:t>
            </w:r>
          </w:p>
        </w:tc>
        <w:tc>
          <w:tcPr>
            <w:tcW w:w="2280" w:type="dxa"/>
            <w:vAlign w:val="bottom"/>
            <w:gridSpan w:val="3"/>
          </w:tcPr>
          <w:p>
            <w:pPr>
              <w:jc w:val="right"/>
              <w:ind w:right="720"/>
              <w:spacing w:after="0"/>
              <w:rPr>
                <w:sz w:val="20"/>
                <w:szCs w:val="20"/>
                <w:color w:val="auto"/>
              </w:rPr>
            </w:pPr>
            <w:r>
              <w:rPr>
                <w:rFonts w:ascii="Arial" w:cs="Arial" w:eastAsia="Arial" w:hAnsi="Arial"/>
                <w:sz w:val="18"/>
                <w:szCs w:val="18"/>
                <w:color w:val="auto"/>
              </w:rPr>
              <w:t>1,624</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60"/>
              <w:spacing w:after="0"/>
              <w:rPr>
                <w:sz w:val="20"/>
                <w:szCs w:val="20"/>
                <w:color w:val="auto"/>
              </w:rPr>
            </w:pPr>
            <w:r>
              <w:rPr>
                <w:rFonts w:ascii="Arial" w:cs="Arial" w:eastAsia="Arial" w:hAnsi="Arial"/>
                <w:sz w:val="18"/>
                <w:szCs w:val="18"/>
                <w:color w:val="auto"/>
              </w:rPr>
              <w:t>714</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2,403</w:t>
            </w:r>
          </w:p>
        </w:tc>
        <w:tc>
          <w:tcPr>
            <w:tcW w:w="60" w:type="dxa"/>
            <w:vAlign w:val="bottom"/>
          </w:tcPr>
          <w:p>
            <w:pPr>
              <w:spacing w:after="0"/>
              <w:rPr>
                <w:sz w:val="18"/>
                <w:szCs w:val="18"/>
                <w:color w:val="auto"/>
              </w:rPr>
            </w:pPr>
          </w:p>
        </w:tc>
      </w:tr>
      <w:tr>
        <w:trPr>
          <w:trHeight w:val="363"/>
        </w:trPr>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spacing w:after="0" w:line="370" w:lineRule="auto"/>
        <w:rPr>
          <w:sz w:val="20"/>
          <w:szCs w:val="20"/>
          <w:color w:val="auto"/>
        </w:rPr>
      </w:pPr>
      <w:r>
        <w:rPr>
          <w:rFonts w:ascii="Arial" w:cs="Arial" w:eastAsia="Arial" w:hAnsi="Arial"/>
          <w:sz w:val="15"/>
          <w:szCs w:val="15"/>
          <w:color w:val="auto"/>
        </w:rPr>
        <w:t>During fiscal 2004, the Company incurred approximately $20.6 million in capital expenditures, of which approximately $6.7 million was related to systems integration and infrastructure upgrades and the remaining $13.9 million was used towards store capital and miscellaneous equipment at the corporate level.</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Capital expenditures for fiscal 2005 are expected to be approximately $14.0 million, of which $5.6 million relates to the store expansion. Included in store expansion are funds to remodel an additional 50 of the Company’s existing Casual Male Big &amp; Tall retail stores at an estimated $35,000 to $45,000 for each location. The Company currently plans to open a combination of 12 new Casual Male Big &amp; Tall retail and outlet stores and 3 new Rochester Big &amp; Tall clothing stores. Another $7.0 million of the 2005 budget is expected related to system infrastructure and upgrades specifically related to the roll-out of the Company’s new point of sale system and its new customer relationship management package. Also included are funds to integrate the Rochester stores onto the Casual Male framework.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1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Company’s financial statements are based on the application of significant accounting policies, many of which require management to make significant estimates and assumptions (see Note A to the Notes to the Consolidated Financial Statements). The Company believes that the following items involve some of the more critical judgments in the application of its accounting policies that currently affect its financial condition and results of operations.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The Company records inventory, with the exception of its Casual Male catalog and e-commerce inventory, at the lower of cost or market on a first in,</w:t>
      </w:r>
      <w:r>
        <w:rPr>
          <w:rFonts w:ascii="Arial" w:cs="Arial" w:eastAsia="Arial" w:hAnsi="Arial"/>
          <w:sz w:val="16"/>
          <w:szCs w:val="16"/>
          <w:i w:val="1"/>
          <w:iCs w:val="1"/>
          <w:color w:val="auto"/>
        </w:rPr>
        <w:t xml:space="preserve"> </w:t>
      </w:r>
      <w:r>
        <w:rPr>
          <w:rFonts w:ascii="Arial" w:cs="Arial" w:eastAsia="Arial" w:hAnsi="Arial"/>
          <w:sz w:val="16"/>
          <w:szCs w:val="16"/>
          <w:color w:val="auto"/>
        </w:rPr>
        <w:t>first out, or FIFO, basis under the retail inventory method. Inventory for the Company’s Casual Male catalog and e-commerce business of approximately $5.8 million at January 29, 2005 is accounted for using the average cost method. The Company reserves for obsolescence based on the difference between the weighted average cost of the inventory and the estimated market value of the inventory based on assumptions of future demand and market conditions. If actual market conditions are less favorable than those projected by management, additional reserves may be required.</w:t>
      </w:r>
    </w:p>
    <w:p>
      <w:pPr>
        <w:spacing w:after="0" w:line="10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The Company reviews its long-lived assets for impairment when indicators of impairment are present and the undiscounted</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estimated to be generated by those assets is less than the assets’ carrying amount. The Company evaluates its long-lived assets for impairment at a store level for all its retail locations. If actual market conditions are less favorable than management’s projections, future write-offs may be necessary.</w:t>
      </w:r>
    </w:p>
    <w:p>
      <w:pPr>
        <w:spacing w:after="0" w:line="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Goodwill and Intangibles</w:t>
      </w:r>
      <w:r>
        <w:rPr>
          <w:rFonts w:ascii="Arial" w:cs="Arial" w:eastAsia="Arial" w:hAnsi="Arial"/>
          <w:sz w:val="18"/>
          <w:szCs w:val="18"/>
          <w:color w:val="auto"/>
        </w:rPr>
        <w:t>: In connection with the Casual Male and Rochester acquisitions, the Company recorded goodwill and intangibles which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approximately $89.3 million at January 29, 2005. In accordance with Statement of Financial Accounting Standards (“SFAS”) No.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(“SFAS No. 142”), the Company evaluates goodwill and intangible assets at least annually for impairment by analyzing the estimated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present value of discounted cash flows compared to the net book value. The Company will write off the amount of any goodwill or intangible in excess of its fair value.</w:t>
      </w:r>
    </w:p>
    <w:p>
      <w:pPr>
        <w:spacing w:after="0" w:line="1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The Company records a valuation allowance to reduce its deferred tax assets to the amount that is more likely than not to be realized.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has considered estimated future taxable income and ongoing tax planning strategies in assessing the amount needed for the valuation allowance. At January 29, 2005, the Company’s deferred tax assets are fully reserved.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December 16, 2004, the FASB issued Statement No.123 (revised 2004), “Share Based Payment” (“SFAS No.123R”), which is a revision of Statement No.123, “Accounting for Stock-Based Compensation” (“SFAS No.123”). SFAS No.123R supersedes APB Opinion No.25, “Accounting for Stock Issued to Employees” and amends Statement No.95, “Statement of Cash Flows.” Under SFAS No.123R, companies must calculate and record in the income statement the cost of equity instruments, such as stock options, awarded to employees for services received; pro forma disclosure is no longer permitted. The cost of the equity instruments is to be measured based on the fair value of the instruments on the date they are granted and is required to be recognized over the period during which the employees are required to provide services in exchange for the equity instruments. The statement is effective in the first interim or annual reporting period beginning after June 15, 2005, which for the Company will be the third quarter of fiscal 2005.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SFAS No.123R provides two alternatives for adoption: (1) a “modified prospective” method in which compensation cost is recognized for all awards granted subsequent to the effective date of this statement as well as for the unvested portion of awards outstanding as of the effective date; or (2) a “modified retrospective” method which follows the approach in the “modified prospective” method, but also permits entities to restate prior periods to record compensation cost calculated under SFAS No.123 for the pro forma disclosure. The Company plans to adopt SFAS No.123R using the modified prospective method. Since the Company currently accounts for stock options granted to employees and shares issued under its employee stock purchase plans in accordance with the intrinsic value method permitted under APB Opinion No.25, no compensation expense is currently recognized. The impact of adopting SFAS No.123R cannot be accurately estimated at this time, as it will depend on the market value and the amount of share based awards granted in future periods. However, had the Company adopted SFAS No.123R in a prior period, the impact would approximate the impact of SFAS No.123 as described in the disclosure of pro forma net income and earnings per share in Note A to the Notes to the Consolidated Financial Statements. SFAS No. 123R also requires that tax benefits received in excess of compensation cost be reclassified from operating cash flows to financing cash flows in the Consolidated Statement of Cash Flows. This change in classification will reduce net operating cash flows and increase net financing cash flows in the periods after adoption.</w:t>
      </w:r>
    </w:p>
    <w:p>
      <w:pPr>
        <w:spacing w:after="0" w:line="11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Effective January 27, 2005, the Company’s Board of Directors approved the vesting of all outstanding and unvested options held by directors, officers and employees under the Company’s 1992 Stock Incentive Plan. As a result of the acceleration, options to acquire 1,903,252 shares of the Company’s common stock, which otherwise would have vested from time to time over the next 35 months, became immediately exercisable. This action was taken to eliminate, to the extent permitted, the transition expense that the Company’s expects to incur in connection with the adoption of SFAS No. 123R. Included in the options to acquire 1,903,252 shares of the Company’s common stock were options to purchase 1,144,663 shares with exercise prices greater than the Company’s closing stock price on the modification date. Under the accounting guidance of APB 25, the accelerated vesting resulted in a charge for stock-based compensation of approximately $70,000, which was recognized by the Company in the fourth quarter of fiscal 2004. Additionally, the Company’s pro forma disclosure includes the effect of this accelerated vesting, as calculated under FAS 123 rules, of $6.1 million. The remaining unvested portion of the $6.1 million, which the Company estimates to be $3.6 million, would have otherwise been recognized upon the adoption of SFAS No. 123R in the Company’s consolidated statements of operations over the next three fiscal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Although the Company’s operations are influenced by general economic trends, the Company does not believe that inflation has had a material effect on the results of its operations in the last three fiscal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i w:val="1"/>
          <w:iCs w:val="1"/>
          <w:color w:val="auto"/>
        </w:rPr>
        <w:t>Quantitative and Qualitative Disclosures About Market Risk</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utilizes cash from operations and its Amended Credit Facility to fund its working capital needs. The Company’s Amended Credit Facility is not used for trading or speculative purposes. In addition, the Company has available letters of credit as sources of financing for its working capital requirements. Borrowings under the Credit Facility, which expires in October 2007, bear interest at variable rates based on Bank of America’s prime rate or the London Interbank Offering Rate (“LIBOR”). At January 29, 2005, the Company had two outstanding LIBOR contracts and the interest rate on its prime based borrowings was 4.75%. Based upon a sensitivity analysis as of January 29, 2005, assuming average outstanding borrowing during fiscal 2004 of $27.0 million, a 50 basis point increase in interest rates would have resulted in a potential increase in interest expense of approximately $135,000.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5"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The Company’s Sears Canada store locations conduct business in Canadian dollars and the Company’s Rochester Big &amp; Tall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in U.S. dollars may decline. As of January 29, 2005, sales from the Company’s Sears Canada stores and its London Rochester Big &amp; Tall store were immaterial to consolidated sales. As such, the Company believes that movement in foreign currency exchange rates will not have a material adverse affect on the financial position or results of operations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i w:val="1"/>
          <w:iCs w:val="1"/>
          <w:color w:val="auto"/>
        </w:rPr>
        <w:t>Financial Statements and Supplementary Data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0"/>
              </w:rPr>
              <w:t>Page</w:t>
            </w:r>
          </w:p>
        </w:tc>
      </w:tr>
      <w:tr>
        <w:trPr>
          <w:trHeight w:val="110"/>
        </w:trPr>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5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277"/>
        </w:trPr>
        <w:tc>
          <w:tcPr>
            <w:tcW w:w="554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343"/>
        </w:trPr>
        <w:tc>
          <w:tcPr>
            <w:tcW w:w="41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Consolidated Financial Statements:</w:t>
            </w:r>
          </w:p>
        </w:tc>
        <w:tc>
          <w:tcPr>
            <w:tcW w:w="1420" w:type="dxa"/>
            <w:vAlign w:val="bottom"/>
            <w:gridSpan w:val="8"/>
          </w:tcPr>
          <w:p>
            <w:pPr>
              <w:spacing w:after="0"/>
              <w:rPr>
                <w:sz w:val="24"/>
                <w:szCs w:val="24"/>
                <w:color w:val="auto"/>
              </w:rPr>
            </w:pPr>
          </w:p>
        </w:tc>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100" w:type="dxa"/>
            <w:vAlign w:val="bottom"/>
            <w:gridSpan w:val="1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Consolidated Balance Sheets at January 29, 2005 and January 31, 2004</w:t>
              </w:r>
            </w:hyperlink>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40" w:type="dxa"/>
            <w:vAlign w:val="bottom"/>
          </w:tcPr>
          <w:p>
            <w:pPr>
              <w:spacing w:after="0"/>
              <w:rPr>
                <w:sz w:val="24"/>
                <w:szCs w:val="24"/>
                <w:color w:val="auto"/>
              </w:rPr>
            </w:pPr>
          </w:p>
        </w:tc>
        <w:tc>
          <w:tcPr>
            <w:tcW w:w="5000" w:type="dxa"/>
            <w:vAlign w:val="bottom"/>
            <w:tcBorders>
              <w:top w:val="single" w:sz="8" w:color="0000EE"/>
            </w:tcBorders>
            <w:gridSpan w:val="11"/>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Consolidated Statements of Operations for the Fiscal Years Ended</w:t>
              </w:r>
            </w:hyperlink>
          </w:p>
        </w:tc>
        <w:tc>
          <w:tcPr>
            <w:tcW w:w="1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January 29, 2005, January 31, 2004 and February 1, 2003</w:t>
              </w:r>
            </w:hyperlink>
          </w:p>
        </w:tc>
        <w:tc>
          <w:tcPr>
            <w:tcW w:w="380" w:type="dxa"/>
            <w:vAlign w:val="bottom"/>
            <w:tcBorders>
              <w:top w:val="single" w:sz="8" w:color="0000EE"/>
            </w:tcBorders>
            <w:gridSpan w:val="3"/>
          </w:tcPr>
          <w:p>
            <w:pPr>
              <w:spacing w:after="0"/>
              <w:rPr>
                <w:sz w:val="17"/>
                <w:szCs w:val="17"/>
                <w:color w:val="auto"/>
              </w:rPr>
            </w:pPr>
          </w:p>
        </w:tc>
        <w:tc>
          <w:tcPr>
            <w:tcW w:w="460" w:type="dxa"/>
            <w:vAlign w:val="bottom"/>
            <w:gridSpan w:val="3"/>
          </w:tcPr>
          <w:p>
            <w:pPr>
              <w:spacing w:after="0"/>
              <w:rPr>
                <w:sz w:val="17"/>
                <w:szCs w:val="17"/>
                <w:color w:val="auto"/>
              </w:rPr>
            </w:pPr>
          </w:p>
        </w:tc>
        <w:tc>
          <w:tcPr>
            <w:tcW w:w="5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04"/>
        </w:trPr>
        <w:tc>
          <w:tcPr>
            <w:tcW w:w="440" w:type="dxa"/>
            <w:vAlign w:val="bottom"/>
          </w:tcPr>
          <w:p>
            <w:pPr>
              <w:spacing w:after="0"/>
              <w:rPr>
                <w:sz w:val="24"/>
                <w:szCs w:val="24"/>
                <w:color w:val="auto"/>
              </w:rPr>
            </w:pPr>
          </w:p>
        </w:tc>
        <w:tc>
          <w:tcPr>
            <w:tcW w:w="43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Consolidated Statements of Changes in Stockholders’ Equity</w:t>
              </w:r>
            </w:hyperlink>
          </w:p>
        </w:tc>
        <w:tc>
          <w:tcPr>
            <w:tcW w:w="800" w:type="dxa"/>
            <w:vAlign w:val="bottom"/>
            <w:gridSpan w:val="5"/>
          </w:tcPr>
          <w:p>
            <w:pPr>
              <w:spacing w:after="0"/>
              <w:rPr>
                <w:sz w:val="24"/>
                <w:szCs w:val="24"/>
                <w:color w:val="auto"/>
              </w:rPr>
            </w:pPr>
          </w:p>
        </w:tc>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for the Fiscal Years Ended January 29, 2005, January 31, 2004</w:t>
              </w:r>
            </w:hyperlink>
          </w:p>
        </w:tc>
        <w:tc>
          <w:tcPr>
            <w:tcW w:w="480" w:type="dxa"/>
            <w:vAlign w:val="bottom"/>
            <w:gridSpan w:val="4"/>
          </w:tcPr>
          <w:p>
            <w:pPr>
              <w:spacing w:after="0"/>
              <w:rPr>
                <w:sz w:val="17"/>
                <w:szCs w:val="17"/>
                <w:color w:val="auto"/>
              </w:rPr>
            </w:pPr>
          </w:p>
        </w:tc>
        <w:tc>
          <w:tcPr>
            <w:tcW w:w="55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and February 1, 2003</w:t>
              </w:r>
            </w:hyperlink>
          </w:p>
        </w:tc>
        <w:tc>
          <w:tcPr>
            <w:tcW w:w="3380" w:type="dxa"/>
            <w:vAlign w:val="bottom"/>
            <w:gridSpan w:val="10"/>
          </w:tcPr>
          <w:p>
            <w:pPr>
              <w:spacing w:after="0"/>
              <w:rPr>
                <w:sz w:val="17"/>
                <w:szCs w:val="17"/>
                <w:color w:val="auto"/>
              </w:rPr>
            </w:pPr>
          </w:p>
        </w:tc>
        <w:tc>
          <w:tcPr>
            <w:tcW w:w="5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304"/>
        </w:trPr>
        <w:tc>
          <w:tcPr>
            <w:tcW w:w="440" w:type="dxa"/>
            <w:vAlign w:val="bottom"/>
          </w:tcPr>
          <w:p>
            <w:pPr>
              <w:spacing w:after="0"/>
              <w:rPr>
                <w:sz w:val="24"/>
                <w:szCs w:val="24"/>
                <w:color w:val="auto"/>
              </w:rPr>
            </w:pPr>
          </w:p>
        </w:tc>
        <w:tc>
          <w:tcPr>
            <w:tcW w:w="510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 for the Fiscal Years</w:t>
              </w:r>
            </w:hyperlink>
          </w:p>
        </w:tc>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Ended January 29, 2005, January 31, 2004 and February 1, 2003</w:t>
              </w:r>
            </w:hyperlink>
          </w:p>
        </w:tc>
        <w:tc>
          <w:tcPr>
            <w:tcW w:w="340" w:type="dxa"/>
            <w:vAlign w:val="bottom"/>
            <w:gridSpan w:val="2"/>
          </w:tcPr>
          <w:p>
            <w:pPr>
              <w:spacing w:after="0"/>
              <w:rPr>
                <w:sz w:val="17"/>
                <w:szCs w:val="17"/>
                <w:color w:val="auto"/>
              </w:rPr>
            </w:pPr>
          </w:p>
        </w:tc>
        <w:tc>
          <w:tcPr>
            <w:tcW w:w="5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r>
      <w:tr>
        <w:trPr>
          <w:trHeight w:val="304"/>
        </w:trPr>
        <w:tc>
          <w:tcPr>
            <w:tcW w:w="554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383"/>
        </w:trPr>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tcPr>
          <w:p>
            <w:pPr>
              <w:jc w:val="right"/>
              <w:ind w:right="5172"/>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20" w:firstLine="3648"/>
        <w:spacing w:after="0" w:line="422" w:lineRule="auto"/>
        <w:rPr>
          <w:sz w:val="20"/>
          <w:szCs w:val="20"/>
          <w:color w:val="auto"/>
        </w:rPr>
      </w:pPr>
      <w:r>
        <w:rPr>
          <w:rFonts w:ascii="Arial" w:cs="Arial" w:eastAsia="Arial" w:hAnsi="Arial"/>
          <w:sz w:val="18"/>
          <w:szCs w:val="18"/>
          <w:color w:val="auto"/>
        </w:rPr>
        <w:t>Report of Independent Registered Public Accounting Firm The Board of Directors and Stockholders of Casual Male Retail Group, Inc.:</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Casual Male Retail Group, Inc. as of January 29, 2005 and January 31, 2004 and the related consolidated statements of operations, changes in stockholders’ equity and cash flows for each of the three years in the period ended January 29, 2005.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Casual Male Retail Group, Inc. at January 29, 2005 and January 31, 2004, and the consolidated results of its operations and its cash flows for each of the three years in the period ended January 29, 2005,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effectiveness of Casual Male Retail Group Inc.’s internal control over financial reporting as of January 29, 2005, based on criteria established in Internal Control—Integrated Framework issued by the Committee of Sponsoring Organizations of the Treadway Commission and our report dated April 7, 2005 expressed an unqualified opinion thereon.</w:t>
      </w:r>
    </w:p>
    <w:p>
      <w:pPr>
        <w:spacing w:after="0" w:line="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7,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29, 2005 and January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January 29, 2005</w:t>
            </w:r>
          </w:p>
        </w:tc>
        <w:tc>
          <w:tcPr>
            <w:tcW w:w="980" w:type="dxa"/>
            <w:vAlign w:val="bottom"/>
            <w:gridSpan w:val="3"/>
          </w:tcPr>
          <w:p>
            <w:pPr>
              <w:spacing w:after="0"/>
              <w:rPr>
                <w:sz w:val="20"/>
                <w:szCs w:val="20"/>
                <w:color w:val="auto"/>
              </w:rPr>
            </w:pPr>
            <w:r>
              <w:rPr>
                <w:rFonts w:ascii="Arial" w:cs="Arial" w:eastAsia="Arial" w:hAnsi="Arial"/>
                <w:sz w:val="14"/>
                <w:szCs w:val="14"/>
                <w:color w:val="auto"/>
                <w:w w:val="88"/>
              </w:rPr>
              <w:t>January 31, 2004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7"/>
              </w:rPr>
              <w:t>(Fiscal 2004)</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(Fiscal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2"/>
                <w:szCs w:val="12"/>
                <w:color w:val="auto"/>
              </w:rPr>
            </w:pPr>
          </w:p>
        </w:tc>
        <w:tc>
          <w:tcPr>
            <w:tcW w:w="2660" w:type="dxa"/>
            <w:vAlign w:val="bottom"/>
            <w:gridSpan w:val="5"/>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(In thousands, except share data)</w:t>
            </w:r>
          </w:p>
        </w:tc>
        <w:tc>
          <w:tcPr>
            <w:tcW w:w="0" w:type="dxa"/>
            <w:vAlign w:val="bottom"/>
          </w:tcPr>
          <w:p>
            <w:pPr>
              <w:spacing w:after="0"/>
              <w:rPr>
                <w:sz w:val="1"/>
                <w:szCs w:val="1"/>
                <w:color w:val="auto"/>
              </w:rPr>
            </w:pPr>
          </w:p>
        </w:tc>
      </w:tr>
      <w:tr>
        <w:trPr>
          <w:trHeight w:val="365"/>
        </w:trPr>
        <w:tc>
          <w:tcPr>
            <w:tcW w:w="8660" w:type="dxa"/>
            <w:vAlign w:val="bottom"/>
            <w:gridSpan w:val="3"/>
          </w:tcPr>
          <w:p>
            <w:pPr>
              <w:spacing w:after="0"/>
              <w:rPr>
                <w:sz w:val="20"/>
                <w:szCs w:val="20"/>
                <w:color w:val="auto"/>
              </w:rPr>
            </w:pPr>
            <w:r>
              <w:rPr>
                <w:rFonts w:ascii="Arial" w:cs="Arial" w:eastAsia="Arial" w:hAnsi="Arial"/>
                <w:sz w:val="14"/>
                <w:szCs w:val="14"/>
                <w:i w:val="1"/>
                <w:iCs w:val="1"/>
                <w:color w:val="auto"/>
              </w:rPr>
              <w:t>Current assets: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5,731</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4,238</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5,556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79,858</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gridSpan w:val="2"/>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4,940</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94,767</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8660" w:type="dxa"/>
            <w:vAlign w:val="bottom"/>
            <w:gridSpan w:val="3"/>
          </w:tcPr>
          <w:p>
            <w:pPr>
              <w:spacing w:after="0"/>
              <w:rPr>
                <w:sz w:val="20"/>
                <w:szCs w:val="20"/>
                <w:color w:val="auto"/>
              </w:rPr>
            </w:pPr>
            <w:r>
              <w:rPr>
                <w:rFonts w:ascii="Arial" w:cs="Arial" w:eastAsia="Arial" w:hAnsi="Arial"/>
                <w:sz w:val="14"/>
                <w:szCs w:val="14"/>
                <w:color w:val="auto"/>
              </w:rPr>
              <w:t>Property and equipment, net of</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depreciation and amortization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74,651</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8660" w:type="dxa"/>
            <w:vAlign w:val="bottom"/>
            <w:gridSpan w:val="3"/>
          </w:tcPr>
          <w:p>
            <w:pPr>
              <w:spacing w:after="0"/>
              <w:rPr>
                <w:sz w:val="20"/>
                <w:szCs w:val="20"/>
                <w:color w:val="auto"/>
              </w:rPr>
            </w:pPr>
            <w:r>
              <w:rPr>
                <w:rFonts w:ascii="Arial" w:cs="Arial" w:eastAsia="Arial" w:hAnsi="Arial"/>
                <w:sz w:val="14"/>
                <w:szCs w:val="14"/>
                <w:i w:val="1"/>
                <w:iCs w:val="1"/>
                <w:color w:val="auto"/>
              </w:rPr>
              <w:t>Other assets: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53,339</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intangible assets</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36,010</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30,629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9,021</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267,788</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5"/>
        </w:trPr>
        <w:tc>
          <w:tcPr>
            <w:tcW w:w="8660" w:type="dxa"/>
            <w:vAlign w:val="bottom"/>
            <w:gridSpan w:val="3"/>
          </w:tcPr>
          <w:p>
            <w:pPr>
              <w:spacing w:after="0"/>
              <w:rPr>
                <w:sz w:val="20"/>
                <w:szCs w:val="20"/>
                <w:color w:val="auto"/>
              </w:rPr>
            </w:pPr>
            <w:r>
              <w:rPr>
                <w:rFonts w:ascii="Arial" w:cs="Arial" w:eastAsia="Arial" w:hAnsi="Arial"/>
                <w:sz w:val="14"/>
                <w:szCs w:val="14"/>
                <w:i w:val="1"/>
                <w:iCs w:val="1"/>
                <w:color w:val="auto"/>
              </w:rPr>
              <w:t>Current liabilities: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6,362</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27,110</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19,783</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Accrued liabilities for severance and store closings</w:t>
            </w:r>
          </w:p>
        </w:tc>
        <w:tc>
          <w:tcPr>
            <w:tcW w:w="100" w:type="dxa"/>
            <w:vAlign w:val="bottom"/>
          </w:tcPr>
          <w:p>
            <w:pPr>
              <w:spacing w:after="0"/>
              <w:rPr>
                <w:sz w:val="12"/>
                <w:szCs w:val="12"/>
                <w:color w:val="auto"/>
              </w:rPr>
            </w:pPr>
          </w:p>
        </w:tc>
        <w:tc>
          <w:tcPr>
            <w:tcW w:w="168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Notes payable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19,311</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72,566</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Long-term liabilities: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40" w:type="dxa"/>
            <w:vAlign w:val="bottom"/>
            <w:gridSpan w:val="2"/>
          </w:tcPr>
          <w:p>
            <w:pPr>
              <w:ind w:left="200"/>
              <w:spacing w:after="0"/>
              <w:rPr>
                <w:sz w:val="20"/>
                <w:szCs w:val="20"/>
                <w:color w:val="auto"/>
              </w:rPr>
            </w:pPr>
            <w:r>
              <w:rPr>
                <w:rFonts w:ascii="Arial" w:cs="Arial" w:eastAsia="Arial" w:hAnsi="Arial"/>
                <w:sz w:val="14"/>
                <w:szCs w:val="14"/>
                <w:color w:val="auto"/>
              </w:rPr>
              <w:t>Long-term debt, net of current portion</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117,784</w:t>
            </w: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122,374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long-term liabilities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474</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long-term liabilities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118,258</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660" w:type="dxa"/>
            <w:vAlign w:val="bottom"/>
            <w:gridSpan w:val="3"/>
          </w:tcPr>
          <w:p>
            <w:pPr>
              <w:spacing w:after="0"/>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Preferred stock, $0.01 par value, 1,000,000 shares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authorized, none issued</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Common stock, $0.01 par value, 75,000,000 shares authorized,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39,398,947 and 39,246,364 shares issued at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January 29, 2005 and January 31, 2004, respectively</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394</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154,693</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(54,641)</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Treasury stock at cost, 5,171,930 and 4,171,930 shares at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January 29, 2005 and January 31, 2004, respectively</w:t>
            </w:r>
          </w:p>
        </w:tc>
        <w:tc>
          <w:tcPr>
            <w:tcW w:w="10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(23,362)</w:t>
            </w: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w:t>
            </w:r>
          </w:p>
        </w:tc>
        <w:tc>
          <w:tcPr>
            <w:tcW w:w="1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b w:val="1"/>
                <w:bCs w:val="1"/>
                <w:color w:val="auto"/>
              </w:rPr>
              <w:t>(120)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76,964</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267,788</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-4163060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-4163060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-4163060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-4163060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-4163060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-4163060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January 29, 2005, January 31, 2004 and February 1,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w:t>
            </w: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color w:val="auto"/>
                <w:w w:val="84"/>
              </w:rPr>
              <w:t>January 31,</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color w:val="auto"/>
                <w:w w:val="86"/>
              </w:rPr>
              <w:t>February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3"/>
              </w:rPr>
              <w:t>2004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3"/>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(Fiscal 2004)</w:t>
            </w: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color w:val="auto"/>
                <w:w w:val="88"/>
              </w:rPr>
              <w:t>(Fiscal 2003)</w:t>
            </w:r>
          </w:p>
        </w:tc>
        <w:tc>
          <w:tcPr>
            <w:tcW w:w="80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(Fiscal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88"/>
              </w:rPr>
              <w:t>(In thousands, except share data)</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365,047</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$ 339,305</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$ 247,609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 of goods sold including occupancy costs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214,607</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199,129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150,440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140,176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1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132,554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115,570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9,858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impairment of assets, store closings and severance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142,412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123,048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(14,113)</w:t>
            </w:r>
          </w:p>
        </w:tc>
        <w:tc>
          <w:tcPr>
            <w:tcW w:w="16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(8,064)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(11,189)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before minority interest and income taxes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(8,174)</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(701)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110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(8,454)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(34,806)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(12,061)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(38,800)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8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4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23"/>
        </w:trPr>
        <w:tc>
          <w:tcPr>
            <w:tcW w:w="8180" w:type="dxa"/>
            <w:vAlign w:val="bottom"/>
            <w:gridSpan w:val="2"/>
          </w:tcPr>
          <w:p>
            <w:pPr>
              <w:spacing w:after="0"/>
              <w:rPr>
                <w:sz w:val="20"/>
                <w:szCs w:val="20"/>
                <w:color w:val="auto"/>
              </w:rPr>
            </w:pPr>
            <w:r>
              <w:rPr>
                <w:rFonts w:ascii="Arial" w:cs="Arial" w:eastAsia="Arial" w:hAnsi="Arial"/>
                <w:sz w:val="18"/>
                <w:szCs w:val="18"/>
                <w:color w:val="auto"/>
              </w:rPr>
              <w:t>Net income (loss) per share-diluted</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23"/>
        </w:trPr>
        <w:tc>
          <w:tcPr>
            <w:tcW w:w="818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34,511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36,733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35,702</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-2127250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-2127250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-2127250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-2127250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-2127250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-2127250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-2127250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-2127250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-2127250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January 29, 2005, January 31, 2004 and February 1, 2003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60" w:type="dxa"/>
            <w:vAlign w:val="bottom"/>
            <w:gridSpan w:val="5"/>
          </w:tcPr>
          <w:p>
            <w:pPr>
              <w:jc w:val="right"/>
              <w:spacing w:after="0"/>
              <w:rPr>
                <w:sz w:val="20"/>
                <w:szCs w:val="20"/>
                <w:color w:val="auto"/>
              </w:rPr>
            </w:pPr>
            <w:r>
              <w:rPr>
                <w:rFonts w:ascii="Arial" w:cs="Arial" w:eastAsia="Arial" w:hAnsi="Arial"/>
                <w:sz w:val="14"/>
                <w:szCs w:val="14"/>
                <w:color w:val="auto"/>
                <w:w w:val="91"/>
              </w:rPr>
              <w:t>Common Stock</w:t>
            </w:r>
          </w:p>
        </w:tc>
        <w:tc>
          <w:tcPr>
            <w:tcW w:w="60" w:type="dxa"/>
            <w:vAlign w:val="bottom"/>
          </w:tcPr>
          <w:p>
            <w:pPr>
              <w:spacing w:after="0"/>
              <w:rPr>
                <w:sz w:val="14"/>
                <w:szCs w:val="14"/>
                <w:color w:val="auto"/>
              </w:rPr>
            </w:pPr>
          </w:p>
        </w:tc>
        <w:tc>
          <w:tcPr>
            <w:tcW w:w="1100" w:type="dxa"/>
            <w:vAlign w:val="bottom"/>
            <w:gridSpan w:val="6"/>
          </w:tcPr>
          <w:p>
            <w:pPr>
              <w:jc w:val="right"/>
              <w:ind w:right="180"/>
              <w:spacing w:after="0"/>
              <w:rPr>
                <w:sz w:val="20"/>
                <w:szCs w:val="20"/>
                <w:color w:val="auto"/>
              </w:rPr>
            </w:pPr>
            <w:r>
              <w:rPr>
                <w:rFonts w:ascii="Arial" w:cs="Arial" w:eastAsia="Arial" w:hAnsi="Arial"/>
                <w:sz w:val="14"/>
                <w:szCs w:val="14"/>
                <w:color w:val="auto"/>
                <w:w w:val="92"/>
              </w:rPr>
              <w:t>Preferred Stock</w:t>
            </w:r>
          </w:p>
        </w:tc>
        <w:tc>
          <w:tcPr>
            <w:tcW w:w="112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Treasury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restart"/>
          </w:tcPr>
          <w:p>
            <w:pPr>
              <w:jc w:val="center"/>
              <w:ind w:right="160"/>
              <w:spacing w:after="0"/>
              <w:rPr>
                <w:sz w:val="20"/>
                <w:szCs w:val="20"/>
                <w:color w:val="auto"/>
              </w:rPr>
            </w:pPr>
            <w:r>
              <w:rPr>
                <w:rFonts w:ascii="Arial" w:cs="Arial" w:eastAsia="Arial" w:hAnsi="Arial"/>
                <w:sz w:val="14"/>
                <w:szCs w:val="14"/>
                <w:color w:val="auto"/>
                <w:w w:val="88"/>
              </w:rPr>
              <w:t>Accumulated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color w:val="auto"/>
              </w:rPr>
              <w:t>Additional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Note</w:t>
            </w:r>
          </w:p>
        </w:tc>
        <w:tc>
          <w:tcPr>
            <w:tcW w:w="16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7"/>
              </w:rPr>
              <w:t>Paid-in</w:t>
            </w:r>
          </w:p>
        </w:tc>
        <w:tc>
          <w:tcPr>
            <w:tcW w:w="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9"/>
              </w:rPr>
              <w:t>Receivable</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w w:val="98"/>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1"/>
              </w:rPr>
              <w:t>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86"/>
              </w:rPr>
              <w:t>Amounts</w:t>
            </w:r>
          </w:p>
        </w:tc>
        <w:tc>
          <w:tcPr>
            <w:tcW w:w="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rPr>
              <w:t>Shares</w:t>
            </w:r>
          </w:p>
        </w:tc>
        <w:tc>
          <w:tcPr>
            <w:tcW w:w="620" w:type="dxa"/>
            <w:vAlign w:val="bottom"/>
            <w:gridSpan w:val="4"/>
          </w:tcPr>
          <w:p>
            <w:pPr>
              <w:ind w:left="20"/>
              <w:spacing w:after="0"/>
              <w:rPr>
                <w:sz w:val="20"/>
                <w:szCs w:val="20"/>
                <w:color w:val="auto"/>
              </w:rPr>
            </w:pPr>
            <w:r>
              <w:rPr>
                <w:rFonts w:ascii="Arial" w:cs="Arial" w:eastAsia="Arial" w:hAnsi="Arial"/>
                <w:sz w:val="14"/>
                <w:szCs w:val="14"/>
                <w:color w:val="auto"/>
              </w:rPr>
              <w:t>Amounts</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w w:val="81"/>
              </w:rPr>
              <w:t>Shares</w:t>
            </w:r>
          </w:p>
        </w:tc>
        <w:tc>
          <w:tcPr>
            <w:tcW w:w="620" w:type="dxa"/>
            <w:vAlign w:val="bottom"/>
            <w:gridSpan w:val="3"/>
          </w:tcPr>
          <w:p>
            <w:pPr>
              <w:spacing w:after="0"/>
              <w:rPr>
                <w:sz w:val="20"/>
                <w:szCs w:val="20"/>
                <w:color w:val="auto"/>
              </w:rPr>
            </w:pPr>
            <w:r>
              <w:rPr>
                <w:rFonts w:ascii="Arial" w:cs="Arial" w:eastAsia="Arial" w:hAnsi="Arial"/>
                <w:sz w:val="14"/>
                <w:szCs w:val="14"/>
                <w:color w:val="auto"/>
              </w:rPr>
              <w:t>Amounts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7"/>
              </w:rPr>
              <w:t>Capital</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from Officer</w:t>
            </w:r>
          </w:p>
        </w:tc>
        <w:tc>
          <w:tcPr>
            <w:tcW w:w="16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loss</w:t>
            </w:r>
          </w:p>
        </w:tc>
        <w:tc>
          <w:tcPr>
            <w:tcW w:w="1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Deficit)</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2, 2002</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17,608</w:t>
            </w:r>
          </w:p>
        </w:tc>
        <w:tc>
          <w:tcPr>
            <w:tcW w:w="2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(3,040)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(8,450)</w:t>
            </w: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56,189</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$ 42,414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240" w:type="dxa"/>
            <w:vAlign w:val="bottom"/>
            <w:gridSpan w:val="2"/>
          </w:tcPr>
          <w:p>
            <w:pPr>
              <w:spacing w:after="0"/>
              <w:rPr>
                <w:sz w:val="20"/>
                <w:szCs w:val="20"/>
                <w:color w:val="auto"/>
              </w:rPr>
            </w:pPr>
            <w:r>
              <w:rPr>
                <w:rFonts w:ascii="Arial" w:cs="Arial" w:eastAsia="Arial" w:hAnsi="Arial"/>
                <w:sz w:val="14"/>
                <w:szCs w:val="14"/>
                <w:color w:val="auto"/>
              </w:rPr>
              <w:t>Issuance of common stock through private placement</w:t>
            </w:r>
          </w:p>
        </w:tc>
        <w:tc>
          <w:tcPr>
            <w:tcW w:w="380" w:type="dxa"/>
            <w:vAlign w:val="bottom"/>
          </w:tcPr>
          <w:p>
            <w:pPr>
              <w:jc w:val="right"/>
              <w:spacing w:after="0"/>
              <w:rPr>
                <w:sz w:val="20"/>
                <w:szCs w:val="20"/>
                <w:color w:val="auto"/>
              </w:rPr>
            </w:pPr>
            <w:r>
              <w:rPr>
                <w:rFonts w:ascii="Arial" w:cs="Arial" w:eastAsia="Arial" w:hAnsi="Arial"/>
                <w:sz w:val="14"/>
                <w:szCs w:val="14"/>
                <w:color w:val="auto"/>
              </w:rPr>
              <w:t>1,379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5,986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preferred stock through private placements</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180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76,447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Issuance of warrants through private placements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9,589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of raising capital</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Conversion of preferred stock to common stock</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18,016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5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(180)</w:t>
            </w:r>
          </w:p>
        </w:tc>
        <w:tc>
          <w:tcPr>
            <w:tcW w:w="200" w:type="dxa"/>
            <w:vAlign w:val="bottom"/>
          </w:tcPr>
          <w:p>
            <w:pPr>
              <w:spacing w:after="0"/>
              <w:rPr>
                <w:sz w:val="12"/>
                <w:szCs w:val="12"/>
                <w:color w:val="auto"/>
              </w:rPr>
            </w:pPr>
          </w:p>
        </w:tc>
        <w:tc>
          <w:tcPr>
            <w:tcW w:w="4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Exercise of options by related party</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warrants by related parties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Board of Directors stock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to related party for professional services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loss-pension</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(38,800)</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(41,800)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1, 2003</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38,867</w:t>
            </w:r>
          </w:p>
        </w:tc>
        <w:tc>
          <w:tcPr>
            <w:tcW w:w="2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(3,119)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(8,913)</w:t>
            </w: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146,892</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(44,104)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$ 91,067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warrants through private placements</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(1,000)</w:t>
            </w: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(7,890)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shares to related party for professional services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loan by executive</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income-pension</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(12,061)</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31, 2004</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39,246</w:t>
            </w:r>
          </w:p>
        </w:tc>
        <w:tc>
          <w:tcPr>
            <w:tcW w:w="2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(4,172)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(17,036)</w:t>
            </w: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153,650</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(56,165)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$ 80,841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(6,326)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Exercises under option program</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Exercises of warrants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Acceleration of stock options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Board of Directors compensation</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Issuance of options to related party for professional services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income-foreign currency</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Net loss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1,524</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2005</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39,399</w:t>
            </w:r>
          </w:p>
        </w:tc>
        <w:tc>
          <w:tcPr>
            <w:tcW w:w="2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(5,172)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(23,362)</w:t>
            </w: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154,693</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(54,641)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$ 76,964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-3056255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-3056255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-3056255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-3056255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-3056255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-3056255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-3056255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-3056255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-3056255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-3056255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-3056255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-3056255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-3056255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-3056255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-3056255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-3056255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-3056255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-3056255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-3056255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-3056255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-3056255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-3056255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-3056255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-3056255</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-3056255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-3056255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-3056255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-3056255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-3056255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-3056255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-1495425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-1495425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-1495425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-1495425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-1495425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-1495425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-1495425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-1495425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-1495425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-1495425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-1495425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-1495425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-1495425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-1495425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-1495425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-1495425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-1495425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-1495425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-1495425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-1495425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-1495425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-1495425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-1495425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-1495425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-1495425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-1495425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-1495425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-1495425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-1495425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-1495425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63881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881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January 29, 2005, January 31, 2004 and February 1, 2003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color w:val="auto"/>
                <w:w w:val="87"/>
              </w:rPr>
              <w:t>Fiscal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4"/>
                <w:szCs w:val="14"/>
                <w:color w:val="auto"/>
                <w:w w:val="92"/>
              </w:rPr>
              <w:t>Fiscal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Fiscal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w w:val="96"/>
              </w:rPr>
              <w:t>2004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w w:val="96"/>
              </w:rPr>
              <w:t>2003</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(In thousands)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1,524</w:t>
            </w:r>
          </w:p>
        </w:tc>
        <w:tc>
          <w:tcPr>
            <w:tcW w:w="2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(12,061)</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(38,800)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820" w:type="dxa"/>
            <w:vAlign w:val="bottom"/>
          </w:tcPr>
          <w:p>
            <w:pPr>
              <w:ind w:left="200"/>
              <w:spacing w:after="0" w:line="138" w:lineRule="exact"/>
              <w:rPr>
                <w:sz w:val="20"/>
                <w:szCs w:val="20"/>
                <w:color w:val="auto"/>
              </w:rPr>
            </w:pPr>
            <w:r>
              <w:rPr>
                <w:rFonts w:ascii="Arial" w:cs="Arial" w:eastAsia="Arial" w:hAnsi="Arial"/>
                <w:sz w:val="14"/>
                <w:szCs w:val="14"/>
                <w:color w:val="auto"/>
              </w:rPr>
              <w:t>Adjustments to reconcile net income (loss) to net cash</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20" w:type="dxa"/>
            <w:vAlign w:val="bottom"/>
          </w:tcPr>
          <w:p>
            <w:pPr>
              <w:ind w:left="200"/>
              <w:spacing w:after="0"/>
              <w:rPr>
                <w:sz w:val="20"/>
                <w:szCs w:val="20"/>
                <w:color w:val="auto"/>
              </w:rPr>
            </w:pPr>
            <w:r>
              <w:rPr>
                <w:rFonts w:ascii="Arial" w:cs="Arial" w:eastAsia="Arial" w:hAnsi="Arial"/>
                <w:sz w:val="14"/>
                <w:szCs w:val="14"/>
                <w:color w:val="auto"/>
              </w:rPr>
              <w:t>provided by operating activities:</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from discontinued operations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3,223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9,858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7,478</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Accretion of warrants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Other expenses, principally related to debt redemption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2,832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14,113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(reversal) of impairment of assets, store closings and severance</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(2,538)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(646)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inventory markdowns</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16,379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Levi's/Dockers business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(1,236)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Gain on sale of joint venture interest</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(3,140)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(701)</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from disposal of property and equipment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Issuance of common stock to Board of Directors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stock to related party</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420"/>
              <w:spacing w:after="0"/>
              <w:rPr>
                <w:sz w:val="20"/>
                <w:szCs w:val="20"/>
                <w:color w:val="auto"/>
              </w:rPr>
            </w:pPr>
            <w:r>
              <w:rPr>
                <w:rFonts w:ascii="Arial" w:cs="Arial" w:eastAsia="Arial" w:hAnsi="Arial"/>
                <w:sz w:val="14"/>
                <w:szCs w:val="14"/>
                <w:color w:val="auto"/>
              </w:rPr>
              <w:t>Issuance of common stock for professional services</w:t>
            </w: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operating assets and liabilities, net of effect of businesses acquired:</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13,271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6,369</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(1,572)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(354)</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(1,661)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(3,414)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liabilities for severance, store closings and impairment charges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(407)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(2,581)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420"/>
              <w:spacing w:after="0"/>
              <w:rPr>
                <w:sz w:val="20"/>
                <w:szCs w:val="20"/>
                <w:color w:val="auto"/>
              </w:rPr>
            </w:pPr>
            <w:r>
              <w:rPr>
                <w:rFonts w:ascii="Arial" w:cs="Arial" w:eastAsia="Arial" w:hAnsi="Arial"/>
                <w:sz w:val="14"/>
                <w:szCs w:val="14"/>
                <w:color w:val="auto"/>
              </w:rPr>
              <w:t>Accrued expenses and other liabilities</w:t>
            </w:r>
          </w:p>
        </w:tc>
        <w:tc>
          <w:tcPr>
            <w:tcW w:w="6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(7,550)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(3,542)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(4,051)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13,433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11,964</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 and equipment, net</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(20,637)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(12,320)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(12,472)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Additions to property and equipment of discontinued operations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Levi's/Dockers business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13,160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joint venture interest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Rochester, less cash acquired</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(19,066)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20" w:type="dxa"/>
            <w:vAlign w:val="bottom"/>
          </w:tcPr>
          <w:p>
            <w:pPr>
              <w:ind w:left="420"/>
              <w:spacing w:after="0"/>
              <w:rPr>
                <w:sz w:val="20"/>
                <w:szCs w:val="20"/>
                <w:color w:val="auto"/>
              </w:rPr>
            </w:pPr>
            <w:r>
              <w:rPr>
                <w:rFonts w:ascii="Arial" w:cs="Arial" w:eastAsia="Arial" w:hAnsi="Arial"/>
                <w:sz w:val="14"/>
                <w:szCs w:val="14"/>
                <w:color w:val="auto"/>
              </w:rPr>
              <w:t>Acquisition of Casual Male, less cash acquired</w:t>
            </w:r>
          </w:p>
        </w:tc>
        <w:tc>
          <w:tcPr>
            <w:tcW w:w="6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6"/>
              </w:rPr>
              <w:t>(160,808)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 used for investing activities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(18,337)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(12,320)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(175,275)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Net borrowings (repayments) under credit facility</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15,688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(51,956)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27,827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issuance of long-term debt, net of commissions and offering costs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119,607</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on long-term debt</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(3,032)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(18,270)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Prepayment of long-term debt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(7,800)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(46,250)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the issuance of warrants</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5,570</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issuance of Series B preferred stock</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the issuance of common stock</w:t>
            </w:r>
          </w:p>
        </w:tc>
        <w:tc>
          <w:tcPr>
            <w:tcW w:w="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equity transaction costs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Payment of premiums associated with prepayment of long-term debt</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(313)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(1,634)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minority equityholder of joint venture</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(6,326)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(7,926)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compensation and issuance of stock options under option program</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cash provided by (used for) 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6,456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(157)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159,403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1,552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Beginning of the year</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4,179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End of the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5,731</w:t>
            </w:r>
          </w:p>
        </w:tc>
        <w:tc>
          <w:tcPr>
            <w:tcW w:w="2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4,179</w:t>
            </w:r>
          </w:p>
        </w:tc>
        <w:tc>
          <w:tcPr>
            <w:tcW w:w="4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29,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Casual Male Retail Group, Inc. (“Company”) is the largest specialty retailer of big &amp; tall men’s apparel. At January 29, 2005, the Company operated 492 Casual Male Big &amp; Tall stores throughout the United States, 13 Casual Male at Sears Canada in-store locations and 22 Rochester Big &amp; Tall stores located in major U.S. cities and one store in London, England. The Company also operates two e-commerce sites and a catalog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consolidated financial statements include the accounts of the Company and its subsidiaries. All significant intercompany accounts, transactions and profits are eliminated. The results for fiscal 2002 include the effect, since May 14, 2002, of the Company’s acquisition of substantially all of the assets and certain liabilities of Casual Male Corp. and certain of its subsidiaries (“Casual Male”). In addition, the results for fiscal 2004 include the effect, since October 30, 2004, of the Company’s acquisition of Rochester Big &amp; Tall Clothing (“Rochester Acquisition”), which is discussed in full in Note K below.</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prior years have been reclassified to conform to the current year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Company’s fiscal year is a 52- or 53-week period ending on the Saturday closest to January 31. Fiscal years 2004, 2003 and 2002 ended on January 29, 2005, January 31, 2004 and February 1, 2003,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which have a maturity of ninety days or less when acquired, are considered cash equivalents.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5"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Statement of Financial Accounting Standards (“FASB”) No. 107, </w:t>
      </w:r>
      <w:r>
        <w:rPr>
          <w:rFonts w:ascii="Arial" w:cs="Arial" w:eastAsia="Arial" w:hAnsi="Arial"/>
          <w:sz w:val="18"/>
          <w:szCs w:val="18"/>
          <w:i w:val="1"/>
          <w:iCs w:val="1"/>
          <w:color w:val="auto"/>
        </w:rPr>
        <w:t>Disclosure About Fair Value of Financial Instruments,</w:t>
      </w:r>
      <w:r>
        <w:rPr>
          <w:rFonts w:ascii="Arial" w:cs="Arial" w:eastAsia="Arial" w:hAnsi="Arial"/>
          <w:sz w:val="18"/>
          <w:szCs w:val="18"/>
          <w:color w:val="auto"/>
        </w:rPr>
        <w:t xml:space="preserve"> requires disclosure of the fair value of certain financial instruments. The carrying amounts for the Company’s recently issued long-term debt and mortgage obligation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5"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color w:val="auto"/>
        </w:rPr>
        <w:t>Merchandise inventories for the Company’s Casual Male catalog and e-commerce businesses, of approximately $5.8 million, are accounted for using the average cost method. All other merchandise inventories were valued at the lower of cost or market using first-in, first-out (“FIFO”) under the retail inventory method.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Property and equipment are stated at cost. Major additions and improvements are capitalized while repairs and maintenance are charged to expense as incurred. Upon retirement or other disposition, the cost and related depreciation of</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assets are removed from the accounts and the resulting gain or loss, if any, is reflected in income. Depreciation is computed on the straight-line method over the assets’ estimated useful lives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 improvements</w:t>
            </w:r>
          </w:p>
        </w:tc>
        <w:tc>
          <w:tcPr>
            <w:tcW w:w="72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Thirty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240" w:type="dxa"/>
            <w:vAlign w:val="bottom"/>
          </w:tcPr>
          <w:p>
            <w:pPr>
              <w:ind w:left="1880"/>
              <w:spacing w:after="0"/>
              <w:rPr>
                <w:sz w:val="20"/>
                <w:szCs w:val="20"/>
                <w:color w:val="auto"/>
              </w:rPr>
            </w:pPr>
            <w:r>
              <w:rPr>
                <w:rFonts w:ascii="Arial" w:cs="Arial" w:eastAsia="Arial" w:hAnsi="Arial"/>
                <w:sz w:val="18"/>
                <w:szCs w:val="18"/>
                <w:color w:val="auto"/>
              </w:rPr>
              <w:t>Five to ten years</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72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Five to ten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240" w:type="dxa"/>
            <w:vAlign w:val="bottom"/>
          </w:tcPr>
          <w:p>
            <w:pPr>
              <w:ind w:left="1880"/>
              <w:spacing w:after="0"/>
              <w:rPr>
                <w:sz w:val="20"/>
                <w:szCs w:val="20"/>
                <w:color w:val="auto"/>
              </w:rPr>
            </w:pPr>
            <w:r>
              <w:rPr>
                <w:rFonts w:ascii="Arial" w:cs="Arial" w:eastAsia="Arial" w:hAnsi="Arial"/>
                <w:sz w:val="18"/>
                <w:szCs w:val="18"/>
                <w:color w:val="auto"/>
              </w:rPr>
              <w:t>Lesser of useful lives or related lease term</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Hardware and software</w:t>
            </w:r>
          </w:p>
        </w:tc>
        <w:tc>
          <w:tcPr>
            <w:tcW w:w="724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Three to five years</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Intangibles</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FASB statement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requires that all business combinations be accounted for under the purchase method. The statement further requires separate recognition of intangible assets that meet one of two criteria set forth in the statement. This statement applies to all business combinations initiated after June 30, 2001. Under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goodwill and intangible assets with indefinite lives are no longer amortized but are tested at least annually for impairment. Separable intangible assets with defined lives will continue to be amortized over their useful lives. The provisions of SFAS No. 142 apply to goodwill and intangible assets acquired before and after the statement’s effective date.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January 31, 2004 to January 29, 2005: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rPr>
              <w:t>January 31, 2004</w:t>
            </w:r>
          </w:p>
        </w:tc>
        <w:tc>
          <w:tcPr>
            <w:tcW w:w="40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84"/>
              </w:rPr>
              <w:t>January 29, 2005</w:t>
            </w:r>
          </w:p>
        </w:tc>
        <w:tc>
          <w:tcPr>
            <w:tcW w:w="0" w:type="dxa"/>
            <w:vAlign w:val="bottom"/>
          </w:tcPr>
          <w:p>
            <w:pPr>
              <w:spacing w:after="0"/>
              <w:rPr>
                <w:sz w:val="1"/>
                <w:szCs w:val="1"/>
                <w:color w:val="auto"/>
              </w:rPr>
            </w:pPr>
          </w:p>
        </w:tc>
      </w:tr>
      <w:tr>
        <w:trPr>
          <w:trHeight w:val="110"/>
        </w:trPr>
        <w:tc>
          <w:tcPr>
            <w:tcW w:w="31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1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50,677</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2,662</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Trademarks</w:t>
            </w: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29,200</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4,000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33,200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1,429</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1,481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At least annually, the Company performs an impairment analysis and records an impairment charge for any intangible assets with a carrying value in excess of its fair value. Other intangibles, which include customer lists and non-compete agreements, are the only intangible assets with defined lives, which range from 3 to 16 years based on each asset’s estimated economic useful life. Accumulated amortization was $271,225 at January 29, 2005 and $170,834 at January 31, 2004.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other intangible assets for the next five fiscal years is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FISCALYEARS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80010</wp:posOffset>
            </wp:positionV>
            <wp:extent cx="11150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w w:val="84"/>
              </w:rPr>
              <w:t>2005</w:t>
            </w:r>
          </w:p>
        </w:tc>
        <w:tc>
          <w:tcPr>
            <w:tcW w:w="8160" w:type="dxa"/>
            <w:vAlign w:val="bottom"/>
            <w:shd w:val="clear" w:color="auto" w:fill="CCEEFF"/>
          </w:tcPr>
          <w:p>
            <w:pPr>
              <w:jc w:val="right"/>
              <w:ind w:right="4492"/>
              <w:spacing w:after="0"/>
              <w:rPr>
                <w:sz w:val="20"/>
                <w:szCs w:val="20"/>
                <w:color w:val="auto"/>
              </w:rPr>
            </w:pPr>
            <w:r>
              <w:rPr>
                <w:rFonts w:ascii="Arial" w:cs="Arial" w:eastAsia="Arial" w:hAnsi="Arial"/>
                <w:sz w:val="18"/>
                <w:szCs w:val="18"/>
                <w:color w:val="auto"/>
              </w:rPr>
              <w:t>$302,000</w:t>
            </w:r>
          </w:p>
        </w:tc>
      </w:tr>
      <w:tr>
        <w:trPr>
          <w:trHeight w:val="216"/>
        </w:trPr>
        <w:tc>
          <w:tcPr>
            <w:tcW w:w="3260" w:type="dxa"/>
            <w:vAlign w:val="bottom"/>
          </w:tcPr>
          <w:p>
            <w:pPr>
              <w:jc w:val="right"/>
              <w:ind w:right="2812"/>
              <w:spacing w:after="0"/>
              <w:rPr>
                <w:sz w:val="20"/>
                <w:szCs w:val="20"/>
                <w:color w:val="auto"/>
              </w:rPr>
            </w:pPr>
            <w:r>
              <w:rPr>
                <w:rFonts w:ascii="Arial" w:cs="Arial" w:eastAsia="Arial" w:hAnsi="Arial"/>
                <w:sz w:val="18"/>
                <w:szCs w:val="18"/>
                <w:color w:val="auto"/>
                <w:w w:val="84"/>
              </w:rPr>
              <w:t>2006</w:t>
            </w:r>
          </w:p>
        </w:tc>
        <w:tc>
          <w:tcPr>
            <w:tcW w:w="8160" w:type="dxa"/>
            <w:vAlign w:val="bottom"/>
          </w:tcPr>
          <w:p>
            <w:pPr>
              <w:jc w:val="right"/>
              <w:ind w:right="4492"/>
              <w:spacing w:after="0"/>
              <w:rPr>
                <w:sz w:val="20"/>
                <w:szCs w:val="20"/>
                <w:color w:val="auto"/>
              </w:rPr>
            </w:pPr>
            <w:r>
              <w:rPr>
                <w:rFonts w:ascii="Arial" w:cs="Arial" w:eastAsia="Arial" w:hAnsi="Arial"/>
                <w:sz w:val="18"/>
                <w:szCs w:val="18"/>
                <w:color w:val="auto"/>
              </w:rPr>
              <w:t>$302,000</w:t>
            </w:r>
          </w:p>
        </w:tc>
      </w:tr>
      <w:tr>
        <w:trPr>
          <w:trHeight w:val="216"/>
        </w:trPr>
        <w:tc>
          <w:tcPr>
            <w:tcW w:w="326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w w:val="84"/>
              </w:rPr>
              <w:t>2007</w:t>
            </w:r>
          </w:p>
        </w:tc>
        <w:tc>
          <w:tcPr>
            <w:tcW w:w="8160" w:type="dxa"/>
            <w:vAlign w:val="bottom"/>
            <w:shd w:val="clear" w:color="auto" w:fill="CCEEFF"/>
          </w:tcPr>
          <w:p>
            <w:pPr>
              <w:jc w:val="right"/>
              <w:ind w:right="4492"/>
              <w:spacing w:after="0"/>
              <w:rPr>
                <w:sz w:val="20"/>
                <w:szCs w:val="20"/>
                <w:color w:val="auto"/>
              </w:rPr>
            </w:pPr>
            <w:r>
              <w:rPr>
                <w:rFonts w:ascii="Arial" w:cs="Arial" w:eastAsia="Arial" w:hAnsi="Arial"/>
                <w:sz w:val="18"/>
                <w:szCs w:val="18"/>
                <w:color w:val="auto"/>
              </w:rPr>
              <w:t>$302,000</w:t>
            </w:r>
          </w:p>
        </w:tc>
      </w:tr>
      <w:tr>
        <w:trPr>
          <w:trHeight w:val="216"/>
        </w:trPr>
        <w:tc>
          <w:tcPr>
            <w:tcW w:w="3260" w:type="dxa"/>
            <w:vAlign w:val="bottom"/>
          </w:tcPr>
          <w:p>
            <w:pPr>
              <w:jc w:val="right"/>
              <w:ind w:right="2812"/>
              <w:spacing w:after="0"/>
              <w:rPr>
                <w:sz w:val="20"/>
                <w:szCs w:val="20"/>
                <w:color w:val="auto"/>
              </w:rPr>
            </w:pPr>
            <w:r>
              <w:rPr>
                <w:rFonts w:ascii="Arial" w:cs="Arial" w:eastAsia="Arial" w:hAnsi="Arial"/>
                <w:sz w:val="18"/>
                <w:szCs w:val="18"/>
                <w:color w:val="auto"/>
                <w:w w:val="84"/>
              </w:rPr>
              <w:t>2008</w:t>
            </w:r>
          </w:p>
        </w:tc>
        <w:tc>
          <w:tcPr>
            <w:tcW w:w="8160" w:type="dxa"/>
            <w:vAlign w:val="bottom"/>
          </w:tcPr>
          <w:p>
            <w:pPr>
              <w:jc w:val="right"/>
              <w:ind w:right="4492"/>
              <w:spacing w:after="0"/>
              <w:rPr>
                <w:sz w:val="20"/>
                <w:szCs w:val="20"/>
                <w:color w:val="auto"/>
              </w:rPr>
            </w:pPr>
            <w:r>
              <w:rPr>
                <w:rFonts w:ascii="Arial" w:cs="Arial" w:eastAsia="Arial" w:hAnsi="Arial"/>
                <w:sz w:val="18"/>
                <w:szCs w:val="18"/>
                <w:color w:val="auto"/>
              </w:rPr>
              <w:t>$275,000</w:t>
            </w:r>
          </w:p>
        </w:tc>
      </w:tr>
      <w:tr>
        <w:trPr>
          <w:trHeight w:val="216"/>
        </w:trPr>
        <w:tc>
          <w:tcPr>
            <w:tcW w:w="326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w w:val="84"/>
              </w:rPr>
              <w:t>2009</w:t>
            </w:r>
          </w:p>
        </w:tc>
        <w:tc>
          <w:tcPr>
            <w:tcW w:w="8160" w:type="dxa"/>
            <w:vAlign w:val="bottom"/>
            <w:shd w:val="clear" w:color="auto" w:fill="CCEEFF"/>
          </w:tcPr>
          <w:p>
            <w:pPr>
              <w:jc w:val="right"/>
              <w:ind w:right="4492"/>
              <w:spacing w:after="0"/>
              <w:rPr>
                <w:sz w:val="20"/>
                <w:szCs w:val="20"/>
                <w:color w:val="auto"/>
              </w:rPr>
            </w:pPr>
            <w:r>
              <w:rPr>
                <w:rFonts w:ascii="Arial" w:cs="Arial" w:eastAsia="Arial" w:hAnsi="Arial"/>
                <w:sz w:val="18"/>
                <w:szCs w:val="18"/>
                <w:color w:val="auto"/>
              </w:rPr>
              <w:t>$275,000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1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accordance with Statement of Position 98-5, “Reporting on the Costs of Start-Up Activities,” the Company expenses all pre-opening costs for its stores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Company expenses in-store advertising costs as incurred. Direct response advertising costs, which consist of catalog production and postage costs, are deferred and amortized over the period of expected direct marketing revenues, which is less than one year. Direct response costs which were deferred at January 29, 2005 and January 31, 2004 were $933,293 and $846,411, respectively. Advertising expense, which is included in selling, general and administrative expenses, was $25.5 million, $19.2 million and $14.2 million for fiscal 2004, 2003 and 2002,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5"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color w:val="auto"/>
        </w:rPr>
        <w:t>Revenue from the Company’s retail store operation is recorded upon purchase of merchandise by customers, net of an allowance for sales returns and allowances. Revenue from the Company’s catalog and e-commerce operations is recognized at the time a customer order is shipped. In connection with gift cards, a deferred revenue amount is established upon purchase of the gift card by the customer and revenue is recognized upon redemption and purchase of merchandise.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5"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During the third quarter of fiscal 2004, the Company opened 13 Casual Male stores located within Sears Canada retail stores and in the fourth quarter of fiscal 2004, in connection with the Rochester acquisition, the Company acquired one Rochester Big &amp; Tall Clothing store located in London, England. Assets and liabilities of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sales for all periods presented.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requires the computation of basic and diluted earnings per share. Basic earnings per share is computed by dividing net income (loss) by the weighted-average number of shares of Common Stock outstanding during the year. Diluted earnings per share is determined by giving effect to the exercise of stock options using the treasury stock method.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3"/>
          </w:tcPr>
          <w:p>
            <w:pPr>
              <w:ind w:left="280"/>
              <w:spacing w:after="0"/>
              <w:rPr>
                <w:sz w:val="20"/>
                <w:szCs w:val="20"/>
                <w:color w:val="auto"/>
              </w:rPr>
            </w:pPr>
            <w:r>
              <w:rPr>
                <w:rFonts w:ascii="Arial" w:cs="Arial" w:eastAsia="Arial" w:hAnsi="Arial"/>
                <w:sz w:val="18"/>
                <w:szCs w:val="18"/>
                <w:color w:val="auto"/>
              </w:rPr>
              <w:t>FISCAL YEARS ENDED</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20" w:type="dxa"/>
            <w:vAlign w:val="bottom"/>
            <w:gridSpan w:val="2"/>
          </w:tcPr>
          <w:p>
            <w:pPr>
              <w:spacing w:after="0"/>
              <w:rPr>
                <w:sz w:val="9"/>
                <w:szCs w:val="9"/>
                <w:color w:val="auto"/>
              </w:rPr>
            </w:pPr>
          </w:p>
        </w:tc>
        <w:tc>
          <w:tcPr>
            <w:tcW w:w="48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00" w:type="dxa"/>
            <w:vAlign w:val="bottom"/>
            <w:gridSpan w:val="3"/>
          </w:tcPr>
          <w:p>
            <w:pPr>
              <w:spacing w:after="0"/>
              <w:rPr>
                <w:sz w:val="20"/>
                <w:szCs w:val="20"/>
                <w:color w:val="auto"/>
              </w:rPr>
            </w:pPr>
            <w:r>
              <w:rPr>
                <w:rFonts w:ascii="Arial" w:cs="Arial" w:eastAsia="Arial" w:hAnsi="Arial"/>
                <w:sz w:val="18"/>
                <w:szCs w:val="18"/>
                <w:i w:val="1"/>
                <w:iCs w:val="1"/>
                <w:color w:val="auto"/>
              </w:rPr>
              <w:t>(In thousand,)</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January 29, 2005</w:t>
            </w:r>
          </w:p>
        </w:tc>
        <w:tc>
          <w:tcPr>
            <w:tcW w:w="600" w:type="dxa"/>
            <w:vAlign w:val="bottom"/>
          </w:tcPr>
          <w:p>
            <w:pPr>
              <w:spacing w:after="0"/>
              <w:rPr>
                <w:sz w:val="24"/>
                <w:szCs w:val="24"/>
                <w:color w:val="auto"/>
              </w:rPr>
            </w:pP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w w:val="84"/>
              </w:rPr>
              <w:t>January 31, 2004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February 1, 2003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8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weighted-average common shares outstanding</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34,511</w:t>
            </w:r>
          </w:p>
        </w:tc>
        <w:tc>
          <w:tcPr>
            <w:tcW w:w="27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35,702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Stock options, excluding anti-dilutive options and and warrants of 1,262</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and 1,234 shares for for January 31, 2004 and February 1, 2003,</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2,222</w:t>
            </w:r>
          </w:p>
        </w:tc>
        <w:tc>
          <w:tcPr>
            <w:tcW w:w="600" w:type="dxa"/>
            <w:vAlign w:val="bottom"/>
          </w:tcPr>
          <w:p>
            <w:pPr>
              <w:spacing w:after="0"/>
              <w:rPr>
                <w:sz w:val="19"/>
                <w:szCs w:val="19"/>
                <w:color w:val="auto"/>
              </w:rPr>
            </w:pPr>
          </w:p>
        </w:tc>
        <w:tc>
          <w:tcPr>
            <w:tcW w:w="21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36,733</w:t>
            </w:r>
          </w:p>
        </w:tc>
        <w:tc>
          <w:tcPr>
            <w:tcW w:w="27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35,702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year because the exercise price of such options, warrants and convertible notes was greater than the average market price per share of Common Stock for the respective periods: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4"/>
              </w:rPr>
              <w:t>FISCAL YEARS ENDED</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20" w:type="dxa"/>
            <w:vAlign w:val="bottom"/>
            <w:gridSpan w:val="2"/>
          </w:tcPr>
          <w:p>
            <w:pPr>
              <w:spacing w:after="0"/>
              <w:rPr>
                <w:sz w:val="9"/>
                <w:szCs w:val="9"/>
                <w:color w:val="auto"/>
              </w:rPr>
            </w:pPr>
          </w:p>
        </w:tc>
        <w:tc>
          <w:tcPr>
            <w:tcW w:w="47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gridSpan w:val="3"/>
          </w:tcPr>
          <w:p>
            <w:pPr>
              <w:spacing w:after="0"/>
              <w:rPr>
                <w:sz w:val="20"/>
                <w:szCs w:val="20"/>
                <w:color w:val="auto"/>
              </w:rPr>
            </w:pPr>
            <w:r>
              <w:rPr>
                <w:rFonts w:ascii="Arial" w:cs="Arial" w:eastAsia="Arial" w:hAnsi="Arial"/>
                <w:sz w:val="18"/>
                <w:szCs w:val="18"/>
                <w:i w:val="1"/>
                <w:iCs w:val="1"/>
                <w:color w:val="auto"/>
              </w:rPr>
              <w:t>(In thousand,)</w:t>
            </w:r>
          </w:p>
        </w:tc>
        <w:tc>
          <w:tcPr>
            <w:tcW w:w="1220" w:type="dxa"/>
            <w:vAlign w:val="bottom"/>
          </w:tcPr>
          <w:p>
            <w:pPr>
              <w:jc w:val="right"/>
              <w:spacing w:after="0"/>
              <w:rPr>
                <w:sz w:val="20"/>
                <w:szCs w:val="20"/>
                <w:color w:val="auto"/>
              </w:rPr>
            </w:pPr>
            <w:r>
              <w:rPr>
                <w:rFonts w:ascii="Arial" w:cs="Arial" w:eastAsia="Arial" w:hAnsi="Arial"/>
                <w:sz w:val="18"/>
                <w:szCs w:val="18"/>
                <w:color w:val="auto"/>
                <w:w w:val="86"/>
              </w:rPr>
              <w:t>January 29, 2005</w:t>
            </w:r>
          </w:p>
        </w:tc>
        <w:tc>
          <w:tcPr>
            <w:tcW w:w="940" w:type="dxa"/>
            <w:vAlign w:val="bottom"/>
          </w:tcPr>
          <w:p>
            <w:pPr>
              <w:spacing w:after="0"/>
              <w:rPr>
                <w:sz w:val="24"/>
                <w:szCs w:val="24"/>
                <w:color w:val="auto"/>
              </w:rPr>
            </w:pPr>
          </w:p>
        </w:tc>
        <w:tc>
          <w:tcPr>
            <w:tcW w:w="2160" w:type="dxa"/>
            <w:vAlign w:val="bottom"/>
            <w:gridSpan w:val="2"/>
          </w:tcPr>
          <w:p>
            <w:pPr>
              <w:jc w:val="center"/>
              <w:ind w:right="940"/>
              <w:spacing w:after="0"/>
              <w:rPr>
                <w:sz w:val="20"/>
                <w:szCs w:val="20"/>
                <w:color w:val="auto"/>
              </w:rPr>
            </w:pPr>
            <w:r>
              <w:rPr>
                <w:rFonts w:ascii="Arial" w:cs="Arial" w:eastAsia="Arial" w:hAnsi="Arial"/>
                <w:sz w:val="18"/>
                <w:szCs w:val="18"/>
                <w:color w:val="auto"/>
                <w:w w:val="87"/>
              </w:rPr>
              <w:t>January 31, 2004</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w w:val="87"/>
              </w:rPr>
              <w:t>February 1, 2003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10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353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220" w:type="dxa"/>
            <w:vAlign w:val="bottom"/>
          </w:tcPr>
          <w:p>
            <w:pPr>
              <w:jc w:val="right"/>
              <w:spacing w:after="0"/>
              <w:rPr>
                <w:sz w:val="20"/>
                <w:szCs w:val="20"/>
                <w:color w:val="auto"/>
              </w:rPr>
            </w:pPr>
            <w:r>
              <w:rPr>
                <w:rFonts w:ascii="Arial" w:cs="Arial" w:eastAsia="Arial" w:hAnsi="Arial"/>
                <w:sz w:val="18"/>
                <w:szCs w:val="18"/>
                <w:color w:val="auto"/>
              </w:rPr>
              <w:t>1,812</w:t>
            </w:r>
          </w:p>
        </w:tc>
        <w:tc>
          <w:tcPr>
            <w:tcW w:w="3100" w:type="dxa"/>
            <w:vAlign w:val="bottom"/>
            <w:gridSpan w:val="3"/>
          </w:tcPr>
          <w:p>
            <w:pPr>
              <w:jc w:val="right"/>
              <w:ind w:right="940"/>
              <w:spacing w:after="0"/>
              <w:rPr>
                <w:sz w:val="20"/>
                <w:szCs w:val="20"/>
                <w:color w:val="auto"/>
              </w:rPr>
            </w:pPr>
            <w:r>
              <w:rPr>
                <w:rFonts w:ascii="Arial" w:cs="Arial" w:eastAsia="Arial" w:hAnsi="Arial"/>
                <w:sz w:val="18"/>
                <w:szCs w:val="18"/>
                <w:color w:val="auto"/>
              </w:rPr>
              <w:t>1,898</w:t>
            </w:r>
          </w:p>
        </w:tc>
        <w:tc>
          <w:tcPr>
            <w:tcW w:w="1220" w:type="dxa"/>
            <w:vAlign w:val="bottom"/>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at $10.65/share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310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9,390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These options, warrants and convertible notes, which expire between June 13, 2005 and January 1, 2024, have exercise prices ranging from $6.83 to $10.65 in fiscal 2004, $6.01 to $10.65 in fiscal 2003 and $4.77 to $17.75 in fiscal 2002.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 xml:space="preserve">In the first quarter of fiscal 2003, the Company adopted the disclosure provisions of SFAS No. 148,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Transition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w:t>
      </w:r>
      <w:r>
        <w:rPr>
          <w:rFonts w:ascii="Arial" w:cs="Arial" w:eastAsia="Arial" w:hAnsi="Arial"/>
          <w:sz w:val="16"/>
          <w:szCs w:val="16"/>
          <w:color w:val="auto"/>
        </w:rPr>
        <w:t>, an amendment to SFAS No,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(“SFAS No. 123”). This statement provided alternative methods of</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for a voluntary change to the fair value based method of accounting for stock-based employee compensation. Additionally, the Statement also amended the disclosure requirements of SFAS No. 123 to require prominent disclosure in both annual and interim financial statements about the method of accounting for stock-based compensation and the effect of the method used on reported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results. As permitted by SFAS No. 123, the Company currently accounts for share-based payments to its employees and directors using the intrinsic value method as determined under APB No. 25, </w:t>
      </w:r>
      <w:r>
        <w:rPr>
          <w:rFonts w:ascii="Arial" w:cs="Arial" w:eastAsia="Arial" w:hAnsi="Arial"/>
          <w:sz w:val="18"/>
          <w:szCs w:val="18"/>
          <w:i w:val="1"/>
          <w:iCs w:val="1"/>
          <w:color w:val="auto"/>
        </w:rPr>
        <w:t>Accounting for Stock Issue to Employee</w:t>
      </w:r>
      <w:r>
        <w:rPr>
          <w:rFonts w:ascii="Arial" w:cs="Arial" w:eastAsia="Arial" w:hAnsi="Arial"/>
          <w:sz w:val="18"/>
          <w:szCs w:val="18"/>
          <w:color w:val="auto"/>
        </w:rPr>
        <w:t>s, and, as such, generally recognizes no compensation cost for such payments. See Note G for more information regarding stock-based compensation.</w:t>
      </w:r>
    </w:p>
    <w:p>
      <w:pPr>
        <w:spacing w:after="0" w:line="12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On December 16, 2004, the FASB issued SFAS No. 123 (revised 2004), </w:t>
      </w:r>
      <w:r>
        <w:rPr>
          <w:rFonts w:ascii="Arial" w:cs="Arial" w:eastAsia="Arial" w:hAnsi="Arial"/>
          <w:sz w:val="16"/>
          <w:szCs w:val="16"/>
          <w:i w:val="1"/>
          <w:iCs w:val="1"/>
          <w:color w:val="auto"/>
        </w:rPr>
        <w:t>Share - Based Payment</w:t>
      </w:r>
      <w:r>
        <w:rPr>
          <w:rFonts w:ascii="Arial" w:cs="Arial" w:eastAsia="Arial" w:hAnsi="Arial"/>
          <w:sz w:val="16"/>
          <w:szCs w:val="16"/>
          <w:color w:val="auto"/>
        </w:rPr>
        <w:t xml:space="preserve"> (“SFAS No. 123R”), which is a revision of SFAS No. 123. SFAS No. 123R supercedes APB Opinion No. 25,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approach in SFAS No. 123R requires all share-based payments to employees, including grants of employee stock options, to be recognized in the income statement based on their fair values. Pro forma disclosure is no longer an alternative. The Company will be required to adopt SFAS No. 123R in the beginning of its third quarter of fiscal 2005.</w:t>
      </w:r>
    </w:p>
    <w:p>
      <w:pPr>
        <w:spacing w:after="0" w:line="9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SFAS No.123R provides two alternatives for adoption: (1) a “modified prospective” method in which compensation cost is recognized for all awards granted subsequent to the effective date of this statement as well as for the unvested portion of awards outstanding as of the effective date; or (2) a “modified retrospective” method which follows the approach in the “modified prospective” method, but also permits entities to restate prior periods to record compensation cost calculated under SFAS No.123 for the pro forma disclosure. The Company plans to adopt SFAS No.123R using the modified prospective method. Since the Company currently accounts for stock options granted to employees and shares issued under its employee stock purchase plans in accordance with the intrinsic value method permitted under APB Opinion No.25, no compensation expense is currently recognized. The impact of adopting SFAS No.123R cannot be accurately estimated at this time, as it will depend on the market value and the amount of share based awards granted in future periods. However, had the Company adopted SFAS No.123R in a prior period, the impact would approximate the impact of SFAS No.123 as described in the disclosure of pro forma net income and earnings per share below. SFAS No. 123R also requires that tax benefits received in excess of compensation cost be reclassified from operating cash flows to financing cash flows in the Consolidated Statement of Cash Flows. This change in classification will reduce net operating cash flows and increase net financing cash flows in the periods after adoption.</w:t>
      </w:r>
    </w:p>
    <w:p>
      <w:pPr>
        <w:spacing w:after="0" w:line="11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Effective January 27, 2005, the Company’s Board of Directors approved the vesting of all outstanding and unvested options held by directors, officers and employees under the Company’s 1992 Stock Incentive Plan. As a result of the acceleration, options to acquire 1,903,252 shares of the Company’s common stock, which otherwise would have vested from time to time over the next 35 months, became immediately exercisable. This action was taken to eliminate, to the extent permitted, the transition expense that the Company otherwise would incur in connection with the adoption of SFAS No. 123R. Included in the options to acquire 1,903,252 shares of the Company’s common stock were options to purchase 1,144,663 shares with exercise prices greater than the Company’s closing stock price on the modification date. Under the accounting guidance of APB 25, the accelerated vesting resulted in a charge for stock-based compensation of approximately $70,000, which was recognized by the Company in the fourth quarter of fiscal 2004. Additionally, the Company’s pro forma disclosure includes the effect of this accelerated vesting, as calculated under SFAS 123 rules, of $6.1 million. The remaining unvested portion of the $6.1 million, which the Company estimates to be $3.6 million would have otherwise been recognized in the Company’s consolidated statements of operations over the next three fiscal years, upon the adoption of SFAS 123R in the third quarter of fiscal 2005 .</w:t>
      </w:r>
    </w:p>
    <w:p>
      <w:pPr>
        <w:spacing w:after="0" w:line="10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has disclosed the pro forma net income or loss and per share amounts using the fair value based method. Had compensation costs for the Company’s grants for stock-based compensation been determined consistent with SFAS No. 123, the Company’s net income (loss) and income (loss) per share would have been as indicated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4"/>
          </w:tcPr>
          <w:p>
            <w:pPr>
              <w:ind w:left="180"/>
              <w:spacing w:after="0"/>
              <w:rPr>
                <w:sz w:val="20"/>
                <w:szCs w:val="20"/>
                <w:color w:val="auto"/>
              </w:rPr>
            </w:pPr>
            <w:r>
              <w:rPr>
                <w:rFonts w:ascii="Arial" w:cs="Arial" w:eastAsia="Arial" w:hAnsi="Arial"/>
                <w:sz w:val="18"/>
                <w:szCs w:val="18"/>
                <w:color w:val="auto"/>
              </w:rPr>
              <w:t>FISCAL YEARS ENDED</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56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20" w:type="dxa"/>
            <w:vAlign w:val="bottom"/>
            <w:tcBorders>
              <w:bottom w:val="single" w:sz="8" w:color="auto"/>
            </w:tcBorders>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46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rPr>
              <w:t>January 29, 2005</w:t>
            </w:r>
          </w:p>
        </w:tc>
        <w:tc>
          <w:tcPr>
            <w:tcW w:w="52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January 31, 2004</w:t>
            </w:r>
          </w:p>
        </w:tc>
        <w:tc>
          <w:tcPr>
            <w:tcW w:w="1280" w:type="dxa"/>
            <w:vAlign w:val="bottom"/>
            <w:gridSpan w:val="3"/>
          </w:tcPr>
          <w:p>
            <w:pPr>
              <w:spacing w:after="0"/>
              <w:rPr>
                <w:sz w:val="20"/>
                <w:szCs w:val="20"/>
                <w:color w:val="auto"/>
              </w:rPr>
            </w:pPr>
            <w:r>
              <w:rPr>
                <w:rFonts w:ascii="Arial" w:cs="Arial" w:eastAsia="Arial" w:hAnsi="Arial"/>
                <w:sz w:val="18"/>
                <w:szCs w:val="18"/>
                <w:color w:val="auto"/>
                <w:w w:val="91"/>
              </w:rPr>
              <w:t>February 1, 2003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 as reported</w:t>
            </w:r>
          </w:p>
        </w:tc>
        <w:tc>
          <w:tcPr>
            <w:tcW w:w="19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(12,061)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income (loss) – pro forma</w:t>
            </w:r>
          </w:p>
        </w:tc>
        <w:tc>
          <w:tcPr>
            <w:tcW w:w="19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(3,960)</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(13,073)</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(39,468)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per share- basic and diluted as reported</w:t>
            </w:r>
          </w:p>
        </w:tc>
        <w:tc>
          <w:tcPr>
            <w:tcW w:w="19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(loss) per share- basic and diluted pro- forma</w:t>
            </w:r>
          </w:p>
        </w:tc>
        <w:tc>
          <w:tcPr>
            <w:tcW w:w="190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20"/>
              <w:spacing w:after="0"/>
              <w:rPr>
                <w:sz w:val="20"/>
                <w:szCs w:val="20"/>
                <w:color w:val="auto"/>
              </w:rPr>
            </w:pPr>
            <w:r>
              <w:rPr>
                <w:rFonts w:ascii="Arial" w:cs="Arial" w:eastAsia="Arial" w:hAnsi="Arial"/>
                <w:sz w:val="18"/>
                <w:szCs w:val="18"/>
                <w:color w:val="auto"/>
              </w:rPr>
              <w:t>(0.37)</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jc w:val="right"/>
              <w:ind w:right="272"/>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effects of applying SFAS No. 123 in this pro forma disclosure are not likely to be representative of the effects on reported net income for future years upon the adoption of SFAS 123R.</w:t>
      </w:r>
    </w:p>
    <w:p>
      <w:pPr>
        <w:spacing w:after="0" w:line="11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 Scholes option-pricing model with the following weighted-average assumptions used for grants in fiscal 2004, 2003 and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780" w:type="dxa"/>
            <w:vAlign w:val="bottom"/>
            <w:gridSpan w:val="3"/>
          </w:tcPr>
          <w:p>
            <w:pPr>
              <w:jc w:val="center"/>
              <w:spacing w:after="0"/>
              <w:rPr>
                <w:sz w:val="20"/>
                <w:szCs w:val="20"/>
                <w:color w:val="auto"/>
              </w:rPr>
            </w:pPr>
            <w:r>
              <w:rPr>
                <w:rFonts w:ascii="Arial" w:cs="Arial" w:eastAsia="Arial" w:hAnsi="Arial"/>
                <w:sz w:val="18"/>
                <w:szCs w:val="18"/>
                <w:color w:val="auto"/>
                <w:w w:val="94"/>
              </w:rPr>
              <w:t>FISCAL YEARS ENDED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8"/>
                <w:szCs w:val="18"/>
                <w:color w:val="auto"/>
                <w:w w:val="84"/>
              </w:rPr>
              <w:t>January 29, 2005</w:t>
            </w:r>
          </w:p>
        </w:tc>
        <w:tc>
          <w:tcPr>
            <w:tcW w:w="780" w:type="dxa"/>
            <w:vAlign w:val="bottom"/>
          </w:tcPr>
          <w:p>
            <w:pPr>
              <w:spacing w:after="0"/>
              <w:rPr>
                <w:sz w:val="24"/>
                <w:szCs w:val="24"/>
                <w:color w:val="auto"/>
              </w:rPr>
            </w:pPr>
          </w:p>
        </w:tc>
        <w:tc>
          <w:tcPr>
            <w:tcW w:w="2000" w:type="dxa"/>
            <w:vAlign w:val="bottom"/>
            <w:gridSpan w:val="2"/>
          </w:tcPr>
          <w:p>
            <w:pPr>
              <w:jc w:val="center"/>
              <w:ind w:right="760"/>
              <w:spacing w:after="0"/>
              <w:rPr>
                <w:sz w:val="20"/>
                <w:szCs w:val="20"/>
                <w:color w:val="auto"/>
              </w:rPr>
            </w:pPr>
            <w:r>
              <w:rPr>
                <w:rFonts w:ascii="Arial" w:cs="Arial" w:eastAsia="Arial" w:hAnsi="Arial"/>
                <w:sz w:val="18"/>
                <w:szCs w:val="18"/>
                <w:color w:val="auto"/>
                <w:w w:val="86"/>
              </w:rPr>
              <w:t>January 31, 2004</w:t>
            </w:r>
          </w:p>
        </w:tc>
        <w:tc>
          <w:tcPr>
            <w:tcW w:w="1220" w:type="dxa"/>
            <w:vAlign w:val="bottom"/>
          </w:tcPr>
          <w:p>
            <w:pPr>
              <w:ind w:left="20"/>
              <w:spacing w:after="0"/>
              <w:rPr>
                <w:sz w:val="20"/>
                <w:szCs w:val="20"/>
                <w:color w:val="auto"/>
              </w:rPr>
            </w:pPr>
            <w:r>
              <w:rPr>
                <w:rFonts w:ascii="Arial" w:cs="Arial" w:eastAsia="Arial" w:hAnsi="Arial"/>
                <w:sz w:val="18"/>
                <w:szCs w:val="18"/>
                <w:color w:val="auto"/>
                <w:w w:val="86"/>
              </w:rPr>
              <w:t>February 1, 2003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200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90"/>
              </w:rPr>
              <w:t>65.0%</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2.69%-3.71%</w:t>
            </w:r>
          </w:p>
        </w:tc>
        <w:tc>
          <w:tcPr>
            <w:tcW w:w="2000" w:type="dxa"/>
            <w:vAlign w:val="bottom"/>
            <w:gridSpan w:val="2"/>
          </w:tcPr>
          <w:p>
            <w:pPr>
              <w:jc w:val="center"/>
              <w:ind w:left="712"/>
              <w:spacing w:after="0"/>
              <w:rPr>
                <w:sz w:val="20"/>
                <w:szCs w:val="20"/>
                <w:color w:val="auto"/>
              </w:rPr>
            </w:pPr>
            <w:r>
              <w:rPr>
                <w:rFonts w:ascii="Arial" w:cs="Arial" w:eastAsia="Arial" w:hAnsi="Arial"/>
                <w:sz w:val="18"/>
                <w:szCs w:val="18"/>
                <w:color w:val="auto"/>
                <w:w w:val="88"/>
              </w:rPr>
              <w:t>2.54%-3.26%</w:t>
            </w:r>
          </w:p>
        </w:tc>
        <w:tc>
          <w:tcPr>
            <w:tcW w:w="7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200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w w:val="87"/>
              </w:rPr>
              <w:t>4.5</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Dividend rate</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2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3.96</w:t>
            </w:r>
          </w:p>
        </w:tc>
        <w:tc>
          <w:tcPr>
            <w:tcW w:w="2000" w:type="dxa"/>
            <w:vAlign w:val="bottom"/>
            <w:gridSpan w:val="2"/>
            <w:shd w:val="clear" w:color="auto" w:fill="CCEEFF"/>
          </w:tcPr>
          <w:p>
            <w:pPr>
              <w:jc w:val="center"/>
              <w:ind w:left="692"/>
              <w:spacing w:after="0"/>
              <w:rPr>
                <w:sz w:val="20"/>
                <w:szCs w:val="20"/>
                <w:color w:val="auto"/>
              </w:rPr>
            </w:pPr>
            <w:r>
              <w:rPr>
                <w:rFonts w:ascii="Arial" w:cs="Arial" w:eastAsia="Arial" w:hAnsi="Arial"/>
                <w:sz w:val="18"/>
                <w:szCs w:val="18"/>
                <w:color w:val="auto"/>
              </w:rPr>
              <w:t>$  2.64</w:t>
            </w: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2.87</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 No impairment charges were recorded in fiscal 2004. In fiscal 2003, the Company recorded an impairment of approximately $116,000, which is included as part of selling, general and administrative expenses in the Consolidated Statement of Operations for the year ended January 31, 2004. Results for fiscal 2002, included an impairment charge of $14.4 million, which was a component of the $33.3 million in restructuring charges. Approximately $10.3 million of the impairment charge is included in results from discontinued operations in the Consolidated Statement of Operations for the year ended February 1, 2003. The remaining $4.1 million is included in continuing operations as part of the “Provision for impairment of assets, store closings and severance” for the year ended February 1, 2003. These charges are more fully discussed in Note J.</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LP Innovations, Inc.</w:t>
      </w:r>
    </w:p>
    <w:p>
      <w:pPr>
        <w:spacing w:after="0" w:line="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Since fiscal 2002, the Company had been in the process of divesting its majority owned loss prevention subsidiary, LP Innovations, Inc. (“LPI”), with the intention that LPI would become a separate public company. However, due to lower than expected operating results, the Company has decided to delay the spin-off. In the second quarter of fiscal 2004, the Company wrote off $962,000 of offering costs. In the fourth quarter of fiscal 2003, the Company also recorded the write-off of $355,000 of such costs. These charges are included in “Other income (expense)” on the Consolidated Statement of Operations for each of the respective periods.</w:t>
      </w:r>
    </w:p>
    <w:p>
      <w:pPr>
        <w:spacing w:after="0" w:line="13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173990</wp:posOffset>
            </wp:positionV>
            <wp:extent cx="7715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6479540</wp:posOffset>
            </wp:positionH>
            <wp:positionV relativeFrom="paragraph">
              <wp:posOffset>173990</wp:posOffset>
            </wp:positionV>
            <wp:extent cx="7715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w w:val="84"/>
              </w:rPr>
              <w:t>January 29, 2005</w:t>
            </w:r>
          </w:p>
        </w:tc>
        <w:tc>
          <w:tcPr>
            <w:tcW w:w="12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w w:val="86"/>
              </w:rPr>
              <w:t>January 31, 2004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3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82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27,656</w:t>
            </w:r>
          </w:p>
        </w:tc>
        <w:tc>
          <w:tcPr>
            <w:tcW w:w="17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13,783</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Building, land and building improvements</w:t>
            </w:r>
          </w:p>
        </w:tc>
        <w:tc>
          <w:tcPr>
            <w:tcW w:w="3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29,435</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Hardware and software</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17,321</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91,924</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17,273</w:t>
            </w: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382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74,651</w:t>
            </w:r>
          </w:p>
        </w:tc>
        <w:tc>
          <w:tcPr>
            <w:tcW w:w="17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3400" w:type="dxa"/>
            <w:vAlign w:val="bottom"/>
            <w:vMerge w:val="restart"/>
          </w:tcPr>
          <w:p>
            <w:pPr>
              <w:jc w:val="right"/>
              <w:ind w:right="1812"/>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Depreciation expense related to continuing operations for fiscal 2004, 2003 and 2002 was $8.8 million, $6.4 million and $5.5 million, respectively. Such amounts exclude depreciation expense recorded in discontinued operations of $1.7 million, $1.7 million and $4.7 million for fiscal 2004, 2003 and 2002, respectively.</w:t>
      </w:r>
    </w:p>
    <w:p>
      <w:pPr>
        <w:spacing w:after="0" w:line="7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DEBT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October 29, 2004, in connection with the financing of the Rochester Acquisition, the Company amended its credit facility (the “Amended Credit Facility”) with Bank of America Retail Group, Inc. (formerly known as Fleet Retail Group, Inc.).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amendment lowered the Company’s interest rates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1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Company’s obligations under the Amended Credit Facility are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a minimum excess availability level of $12.5 million is not maintained. The Company was in compliance with all debt covenants under the Amended Credit Facility at January 29, 2005.</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January 29, 2005, the Company had borrowings outstanding under the Amended Credit Facility of $19.3 million and outstanding standby letters of credit of $2.0 million, with no outstanding documentary letters of credit. Average borrowings outstanding under this facility during fiscal 2004 were approximately $27.0 million, resulting in an average unused excess availability of approximately $38.5 million.</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fair value of amounts outstanding under the Amended Credit Facility approximates the carrying value at January 29, 2005 and January 31, 2004. At the Company’s option, any portion of the outstanding borrowings can be converted to LIBOR-based contracts; the remainder bears interest based on prime. At January 29, 2005, the prime-based borrowings interest rate was 5.25% and the Company’s outstanding LIBOR contract had interest rates ranging from 4.48% to 4.56%.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173990</wp:posOffset>
            </wp:positionV>
            <wp:extent cx="22212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January 29, 2005</w:t>
            </w:r>
          </w:p>
        </w:tc>
        <w:tc>
          <w:tcPr>
            <w:tcW w:w="1280" w:type="dxa"/>
            <w:vAlign w:val="bottom"/>
            <w:gridSpan w:val="3"/>
          </w:tcPr>
          <w:p>
            <w:pPr>
              <w:spacing w:after="0"/>
              <w:rPr>
                <w:sz w:val="20"/>
                <w:szCs w:val="20"/>
                <w:color w:val="auto"/>
              </w:rPr>
            </w:pPr>
            <w:r>
              <w:rPr>
                <w:rFonts w:ascii="Arial" w:cs="Arial" w:eastAsia="Arial" w:hAnsi="Arial"/>
                <w:sz w:val="18"/>
                <w:szCs w:val="18"/>
                <w:color w:val="auto"/>
                <w:w w:val="90"/>
              </w:rPr>
              <w:t>January 31, 2004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convertible senior subordinated notes due 2024</w:t>
            </w:r>
          </w:p>
        </w:tc>
        <w:tc>
          <w:tcPr>
            <w:tcW w:w="350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12% senior subordinated notes due 2010</w:t>
            </w:r>
          </w:p>
        </w:tc>
        <w:tc>
          <w:tcPr>
            <w:tcW w:w="3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5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6,415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senior subordinated notes due 2007</w:t>
            </w:r>
          </w:p>
        </w:tc>
        <w:tc>
          <w:tcPr>
            <w:tcW w:w="3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Term loan</w:t>
            </w:r>
          </w:p>
        </w:tc>
        <w:tc>
          <w:tcPr>
            <w:tcW w:w="3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7,500</w:t>
            </w:r>
          </w:p>
        </w:tc>
        <w:tc>
          <w:tcPr>
            <w:tcW w:w="106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13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note</w:t>
            </w:r>
          </w:p>
        </w:tc>
        <w:tc>
          <w:tcPr>
            <w:tcW w:w="3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0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124,147</w:t>
            </w:r>
          </w:p>
        </w:tc>
        <w:tc>
          <w:tcPr>
            <w:tcW w:w="10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2"/>
          </w:tcPr>
          <w:p>
            <w:pPr>
              <w:jc w:val="right"/>
              <w:ind w:right="1020"/>
              <w:spacing w:after="0"/>
              <w:rPr>
                <w:sz w:val="20"/>
                <w:szCs w:val="20"/>
                <w:color w:val="auto"/>
              </w:rPr>
            </w:pPr>
            <w:r>
              <w:rPr>
                <w:rFonts w:ascii="Arial" w:cs="Arial" w:eastAsia="Arial" w:hAnsi="Arial"/>
                <w:sz w:val="18"/>
                <w:szCs w:val="18"/>
                <w:color w:val="auto"/>
              </w:rPr>
              <w:t>(6,362)</w:t>
            </w:r>
          </w:p>
        </w:tc>
        <w:tc>
          <w:tcPr>
            <w:tcW w:w="150" w:type="dxa"/>
            <w:vAlign w:val="bottom"/>
          </w:tcPr>
          <w:p>
            <w:pPr>
              <w:spacing w:after="0"/>
              <w:rPr>
                <w:sz w:val="19"/>
                <w:szCs w:val="19"/>
                <w:color w:val="auto"/>
              </w:rPr>
            </w:pPr>
          </w:p>
        </w:tc>
        <w:tc>
          <w:tcPr>
            <w:tcW w:w="1130" w:type="dxa"/>
            <w:vAlign w:val="bottom"/>
            <w:gridSpan w:val="2"/>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4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50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117,784</w:t>
            </w:r>
          </w:p>
        </w:tc>
        <w:tc>
          <w:tcPr>
            <w:tcW w:w="106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140" w:type="dxa"/>
            <w:vAlign w:val="bottom"/>
            <w:vMerge w:val="restart"/>
          </w:tcPr>
          <w:p>
            <w:pPr>
              <w:jc w:val="right"/>
              <w:ind w:right="1972"/>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-325755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convertible senior subordinated notes due 2024</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fourth quarter of fiscal 2003, the Company completed the sale of $100 million principal amount of convertible senior subordinated notes due 2024 (the “Convertible Notes”). The Convertible Notes were sold in a private transaction to qualified institutional buyers (as such term is defined in Rule 144A under the Securities Act of 1933, as amended). The Convertible Notes, which bear interest at a rate of 5% per year, payable semi-annually, are convertible into the Company’s Common Stock at a conversion price of $10.65 per share and constitute general unsecured obligations of the Company, subordinate to all existing and future designated senior indebtedness.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12% senior subordinated notes due 2010</w:t>
      </w:r>
    </w:p>
    <w:p>
      <w:pPr>
        <w:spacing w:after="0" w:line="1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During fiscal 2003, the Company issued through private placements approximately $29.6 million principal amount of 12% senior subordinated notes due 2010. Interest on such notes was paid semi-annually. Together with these notes, the Company also issued, through such private placements, detachable warrants to purchase 1,182,400 shares of Common Stock at exercise prices ranging from $4.76 to $7.32 per share. The assigned value of $5.6 million for these warrants was reflected as a component of stockholder’s equity to be amortized over the seven-year life of the notes as additional interest expense. Although the Company’s 12% senior subordinated notes due 2010 were not redeemable until July 3, 2004, the Company sought early redemption from the respective note holders in the fourth quarter of fiscal 2003. As a result, the Company prepaid approximately $21.8 million of such notes through the end of fiscal 2003. The remaining $7.8 million was prepaid in the second quarter of fiscal 2004, when the notes became redeemable.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senior subordinated notes due 2007</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At January 29, 2005, the Company has $6.9 million principal amount of its 5% senior subordinated notes due 2007 outstanding. These notes were issued in May 2002 through a private placement with the Kellwood Company, with whom the Company also has a product sourcing agreement. Beginning at the end of the second quarter of fiscal 2003, the Company started to make quarterly principal payments in the amount of $687,500 which will continue through the remaining term of the notes. Accrued interest is payable quarterly.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the Amended Credit Facility, on October 29, 2004, the Company also entered into a 3 year term loan for $7.5 million with Bank of America Retail Group, Inc., the proceeds of which were used for the Rochester Acquisition. Such loan will require principal payments in the amount of approximately $1.9 million on each of the first two anniversaries of the loan with the remaining balance due at maturity. The term loan will accrue interest at the prevailing LIBOR rate plus 5% per annum.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note</w:t>
      </w:r>
    </w:p>
    <w:p>
      <w:pPr>
        <w:spacing w:after="0" w:line="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has an outstanding mortgage note for real estate and buildings located in Canton, Massachusetts. The mortgage note, which bears interest at 9%, has an outstanding principal balance of $9.8 million at January 29,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Prepayment costs</w:t>
      </w:r>
    </w:p>
    <w:p>
      <w:pPr>
        <w:spacing w:after="0" w:line="15" w:lineRule="exact"/>
        <w:rPr>
          <w:sz w:val="20"/>
          <w:szCs w:val="20"/>
          <w:color w:val="auto"/>
        </w:rPr>
      </w:pPr>
    </w:p>
    <w:p>
      <w:pPr>
        <w:ind w:right="220"/>
        <w:spacing w:after="0" w:line="315" w:lineRule="auto"/>
        <w:rPr>
          <w:sz w:val="20"/>
          <w:szCs w:val="20"/>
          <w:color w:val="auto"/>
        </w:rPr>
      </w:pPr>
      <w:r>
        <w:rPr>
          <w:rFonts w:ascii="Arial" w:cs="Arial" w:eastAsia="Arial" w:hAnsi="Arial"/>
          <w:sz w:val="15"/>
          <w:szCs w:val="15"/>
          <w:color w:val="auto"/>
        </w:rPr>
        <w:t>The early redemptions of the Company’s long-term debt in fiscal 2003 and fiscal 2004 resulted in charges relating to the write-off of deferred costs and early termination fees. In fiscal 2004, the Company incurred a charge of $1.9 million as a result of the prepayment of its remaining $7.8 million of 12% senior subordinated notes due 2010. Similarly in fiscal 2003, the Company incurred charges of $13.8 million related to the prepayment of its 12% senior subordinated notes due 2007 and approximately $21.8 million face value of its 12% senior subordinated notes due 2010 in addition to the prepayment of its Back Bay term loan. These prepayment charges are reflected in the Company’s results of operations as “Other income (expense)” for fiscal 2004 and fiscal 2003.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long-term debt, including the mortgage note, for the next five fiscal years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w w:val="87"/>
              </w:rPr>
              <w:t>(in thousands)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Fiscal 2005</w:t>
            </w:r>
          </w:p>
        </w:tc>
        <w:tc>
          <w:tcPr>
            <w:tcW w:w="51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Fiscal 2006</w:t>
            </w: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Fiscal 2007</w:t>
            </w:r>
          </w:p>
        </w:tc>
        <w:tc>
          <w:tcPr>
            <w:tcW w:w="4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Fiscal 2008</w:t>
            </w:r>
          </w:p>
        </w:tc>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Fiscal 2009</w:t>
            </w:r>
          </w:p>
        </w:tc>
        <w:tc>
          <w:tcPr>
            <w:tcW w:w="4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paid interest and fees on all the above described debt obligations totaling $9.5 million, $9.9 million and $7.4 million for fiscal 2004, 2003 and 2002, respectively.</w:t>
      </w:r>
    </w:p>
    <w:p>
      <w:pPr>
        <w:spacing w:after="0" w:line="11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Under SFAS No. 109, deferred tax assets and liabilities are recognized based on temporary differences between the financial statement and tax basis of assets and liabilities using enacted tax rates in effect in the years in which the differences are expected to reverse. SFAS No.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12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January 29, 2005, the Company has net operating loss carryforwards of $99.6 million for federal income tax purposes and $81.7 million for state income tax purposes that are available to offset future taxable income, subject to certain annual usage limitations, through fiscal year 2024. As a result of the Casual Male acquisition and the issuance of additional equity in fiscal 2002, the utilization of approximately $33.7 million of the $99.6 million in federal net operating losses are subject to an annual limitation of approximately $4.8 million per year. Additionally, the Company has alternative minimum tax credit carryforwards of $1.2 million, which are available to further reduce income taxes over an indefinite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deferred tax assets as of January 29, 2005 and January 31, 2004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January 29, 2005</w:t>
            </w:r>
          </w:p>
        </w:tc>
        <w:tc>
          <w:tcPr>
            <w:tcW w:w="1280" w:type="dxa"/>
            <w:vAlign w:val="bottom"/>
            <w:gridSpan w:val="3"/>
          </w:tcPr>
          <w:p>
            <w:pPr>
              <w:spacing w:after="0"/>
              <w:rPr>
                <w:sz w:val="20"/>
                <w:szCs w:val="20"/>
                <w:color w:val="auto"/>
              </w:rPr>
            </w:pPr>
            <w:r>
              <w:rPr>
                <w:rFonts w:ascii="Arial" w:cs="Arial" w:eastAsia="Arial" w:hAnsi="Arial"/>
                <w:sz w:val="18"/>
                <w:szCs w:val="18"/>
                <w:color w:val="auto"/>
                <w:w w:val="90"/>
              </w:rPr>
              <w:t>January 31, 2004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Inventory reserves</w:t>
            </w:r>
          </w:p>
        </w:tc>
        <w:tc>
          <w:tcPr>
            <w:tcW w:w="32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4,295</w:t>
            </w:r>
          </w:p>
        </w:tc>
        <w:tc>
          <w:tcPr>
            <w:tcW w:w="13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reserve</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2,305</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 current</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noncurrent:</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Excess of book over tax depreciation/amortization</w:t>
            </w:r>
          </w:p>
        </w:tc>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3,741</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36,765</w:t>
            </w: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Alternative minimum tax credit carryforward</w:t>
            </w:r>
          </w:p>
        </w:tc>
        <w:tc>
          <w:tcPr>
            <w:tcW w:w="2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1,138</w:t>
            </w: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 non current</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44,644</w:t>
            </w: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00" w:type="dxa"/>
            <w:vAlign w:val="bottom"/>
            <w:gridSpan w:val="2"/>
          </w:tcPr>
          <w:p>
            <w:pPr>
              <w:spacing w:after="0"/>
              <w:rPr>
                <w:sz w:val="20"/>
                <w:szCs w:val="20"/>
                <w:color w:val="auto"/>
              </w:rPr>
            </w:pPr>
            <w:r>
              <w:rPr>
                <w:rFonts w:ascii="Arial" w:cs="Arial" w:eastAsia="Arial" w:hAnsi="Arial"/>
                <w:sz w:val="18"/>
                <w:szCs w:val="18"/>
                <w:color w:val="auto"/>
              </w:rPr>
              <w:t>Deferred tax liabilities – noncurrent</w:t>
            </w:r>
          </w:p>
        </w:tc>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Tax-deductible goodwill</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(8,595)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 noncurrent</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(8,595)</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0" w:type="dxa"/>
            <w:vAlign w:val="bottom"/>
          </w:tcPr>
          <w:p>
            <w:pPr>
              <w:spacing w:after="0"/>
              <w:rPr>
                <w:sz w:val="1"/>
                <w:szCs w:val="1"/>
                <w:color w:val="auto"/>
              </w:rPr>
            </w:pPr>
          </w:p>
        </w:tc>
      </w:tr>
      <w:tr>
        <w:trPr>
          <w:trHeight w:val="322"/>
        </w:trPr>
        <w:tc>
          <w:tcPr>
            <w:tcW w:w="4700" w:type="dxa"/>
            <w:vAlign w:val="bottom"/>
            <w:gridSpan w:val="2"/>
          </w:tcPr>
          <w:p>
            <w:pPr>
              <w:spacing w:after="0"/>
              <w:rPr>
                <w:sz w:val="20"/>
                <w:szCs w:val="20"/>
                <w:color w:val="auto"/>
              </w:rPr>
            </w:pPr>
            <w:r>
              <w:rPr>
                <w:rFonts w:ascii="Arial" w:cs="Arial" w:eastAsia="Arial" w:hAnsi="Arial"/>
                <w:sz w:val="18"/>
                <w:szCs w:val="18"/>
                <w:color w:val="auto"/>
              </w:rPr>
              <w:t>Net deferred tax asset before valuation allowance</w:t>
            </w:r>
          </w:p>
        </w:tc>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42,649</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(42,649)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32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80" w:type="dxa"/>
            <w:vAlign w:val="bottom"/>
            <w:vMerge w:val="restart"/>
          </w:tcPr>
          <w:p>
            <w:pPr>
              <w:jc w:val="right"/>
              <w:ind w:right="1692"/>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fourth quarter of fiscal 2002, as a result of the net loss incurred by the Company for the fiscal year and the potential that the remaining deferred tax assets, net of existing valuation allowances, may not be realizable, the Company recorded a charge of $8.0 million against the deferred tax assets, resulting in its deferred tax assets being fully reserved. At January 29, 2005, the total net deferred tax assets of the Company continue to be fully reserved.</w:t>
      </w:r>
    </w:p>
    <w:p>
      <w:pPr>
        <w:spacing w:after="0" w:line="9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Realization of the Company’s deferred tax assets, which relate principally to federal net operating loss carryforwards, which expire from 2017 through 2023, is dependent on generating sufficient taxable income in the near term. Accordingly, the valuation allowance at January 29, 2005 is primarily attributable to the potential that certain deferred federal and state tax assets will not be realizable within this period. In the event the Company’s future performance results in overall profitability that is sustainable, the Company’s valuation allowance for its deferred tax assets may be reduced.</w:t>
      </w:r>
    </w:p>
    <w:p>
      <w:pPr>
        <w:spacing w:after="0" w:line="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There was no provision for income taxes for fiscal 2004 and fiscal 2003. The $8.0 million provision for fiscal 2002 million consisted of a deferred federal provision of $7.0 million and a deferred state provision of $1.0 million.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w w:val="92"/>
              </w:rPr>
              <w:t>The following is a reconciliation between the statutory and effective income tax rates in dollars: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jc w:val="right"/>
              <w:ind w:right="340"/>
              <w:spacing w:after="0"/>
              <w:rPr>
                <w:sz w:val="20"/>
                <w:szCs w:val="20"/>
                <w:color w:val="auto"/>
              </w:rPr>
            </w:pPr>
            <w:r>
              <w:rPr>
                <w:rFonts w:ascii="Arial" w:cs="Arial" w:eastAsia="Arial" w:hAnsi="Arial"/>
                <w:sz w:val="18"/>
                <w:szCs w:val="18"/>
                <w:color w:val="auto"/>
              </w:rPr>
              <w:t>FISCAL YEARS ENDED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January 29,</w:t>
            </w:r>
          </w:p>
        </w:tc>
        <w:tc>
          <w:tcPr>
            <w:tcW w:w="66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color w:val="auto"/>
              </w:rPr>
              <w:t>January 31,</w:t>
            </w:r>
          </w:p>
        </w:tc>
        <w:tc>
          <w:tcPr>
            <w:tcW w:w="880" w:type="dxa"/>
            <w:vAlign w:val="bottom"/>
            <w:gridSpan w:val="3"/>
          </w:tcPr>
          <w:p>
            <w:pPr>
              <w:spacing w:after="0"/>
              <w:rPr>
                <w:sz w:val="20"/>
                <w:szCs w:val="20"/>
                <w:color w:val="auto"/>
              </w:rPr>
            </w:pPr>
            <w:r>
              <w:rPr>
                <w:rFonts w:ascii="Arial" w:cs="Arial" w:eastAsia="Arial" w:hAnsi="Arial"/>
                <w:sz w:val="18"/>
                <w:szCs w:val="18"/>
                <w:color w:val="auto"/>
                <w:w w:val="93"/>
              </w:rPr>
              <w:t>February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99"/>
              </w:rPr>
              <w:t>2004</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99"/>
              </w:rPr>
              <w:t>2003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567</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(4,221)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State income and other taxes, net of federal tax benefit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(1,278)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9,424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Change in net operating loss carryforwards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669</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fiscal 2004 and fiscal 2003, the Company made tax payments of $388,000 and $218,000, respectively. In fiscal 2002, the Company received income tax refunds of $93,000 and paid income taxes of $56,000.</w:t>
      </w:r>
    </w:p>
    <w:p>
      <w:pPr>
        <w:spacing w:after="0" w:line="11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January 29, 2005, the Company was obligated under operating leases covering store and office space, automobiles and certain equipment for future minimum rentals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TOTAL</w:t>
            </w:r>
          </w:p>
        </w:tc>
        <w:tc>
          <w:tcPr>
            <w:tcW w:w="0" w:type="dxa"/>
            <w:vAlign w:val="bottom"/>
          </w:tcPr>
          <w:p>
            <w:pPr>
              <w:spacing w:after="0"/>
              <w:rPr>
                <w:sz w:val="1"/>
                <w:szCs w:val="1"/>
                <w:color w:val="auto"/>
              </w:rPr>
            </w:pPr>
          </w:p>
        </w:tc>
      </w:tr>
      <w:tr>
        <w:trPr>
          <w:trHeight w:val="222"/>
        </w:trPr>
        <w:tc>
          <w:tcPr>
            <w:tcW w:w="56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(in thousands)</w:t>
            </w:r>
          </w:p>
        </w:tc>
        <w:tc>
          <w:tcPr>
            <w:tcW w:w="0" w:type="dxa"/>
            <w:vAlign w:val="bottom"/>
          </w:tcPr>
          <w:p>
            <w:pPr>
              <w:spacing w:after="0"/>
              <w:rPr>
                <w:sz w:val="1"/>
                <w:szCs w:val="1"/>
                <w:color w:val="auto"/>
              </w:rPr>
            </w:pPr>
          </w:p>
        </w:tc>
      </w:tr>
      <w:tr>
        <w:trPr>
          <w:trHeight w:val="110"/>
        </w:trPr>
        <w:tc>
          <w:tcPr>
            <w:tcW w:w="5640" w:type="dxa"/>
            <w:vAlign w:val="bottom"/>
            <w:vMerge w:val="restart"/>
          </w:tcPr>
          <w:p>
            <w:pPr>
              <w:spacing w:after="0"/>
              <w:rPr>
                <w:sz w:val="20"/>
                <w:szCs w:val="20"/>
                <w:color w:val="auto"/>
              </w:rPr>
            </w:pPr>
            <w:r>
              <w:rPr>
                <w:rFonts w:ascii="Arial" w:cs="Arial" w:eastAsia="Arial" w:hAnsi="Arial"/>
                <w:sz w:val="18"/>
                <w:szCs w:val="18"/>
                <w:color w:val="auto"/>
              </w:rPr>
              <w:t>FISCAL YEAR</w:t>
            </w: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5640" w:type="dxa"/>
            <w:vAlign w:val="bottom"/>
            <w:vMerge w:val="continue"/>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2006</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2008</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Thereafter</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has an outstanding ten-year lease, which ends in January 2006, for its previous corporate headquarters in Needham, Massachusetts. The lease provides for the Company to pay all related costs associated with the land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headquarters building. The Company occupied these premises until the second quarter of fiscal 2002, at which time the majority of the Company relocated to Canton, Massachusetts as part of its Casual Male integration plan. At January 29, 2005, approximately 19,000 square feet of the total 80,000 square feet of the building was sub-leased through December 31, 2005 by the Company to its loss prevention service division, LP Innovations, Inc. At January 29, 2005, the Company had no other sub-tenants occupying the remaining vacant space.</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Amounts charged to operations for all occupancy costs, automobile and leased equipment expense were $52.1 million, $54.8 million and $46.2 million for fiscal 2004, 2003 and 2002, respectively.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Licensing and Endorsement Agreement with George Foreman</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2003, the Company entered into a License Agreement and Endorsement Agreement (the “Foreman Agreements”) with George Foreman Productions, Inc. pursuant to which George Foreman would act as the Company’s spokesperson. Further, the Company would have the right to use Mr. Foreman’s name, image and likeness in connection with its Big &amp; Tall merchandise. The initial term of the Foreman Agreements is through December 31, 2006, at which time the Company will have the option to extend pursuant to certain terms and conditions of the License Agreement. During the second quarter of fiscal 2004, the license agreement was amended to enable further extension of the term by adding two additional three-year options to extend the relationship from 2012 to 2018. In addition, the amendment also extended the Company’s rights under the agreement to include worldwide rights to the George Foreman Clothing Collections.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Foreman Agreements, as amended, as compensation for Mr. Foreman’s services and the exclusive rights to his name, image and likeness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apparel clothing and certain accessories, Mr. Foreman will receive $1.5 million over the initial term of the Endorsement Agreement and will receive a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on all merchandise manufactured under the George Foreman product lines, subject to a guaranteed minimum payment of $4.0 million over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In fiscal 2003, Mr. Foreman received $500,000 as an advance under the terms of the License Agreement and on June 26, 2003 he received an option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100,000 fully vested and non-forfeitable shares of the Company’s Common Stock at an exercise price of $5.50 per share. On December 12, 2003, Mr.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Foreman received an option to purchase an additional 100,000 fully vested and non-forfeitable shares of the Company’s Common Stock at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$7.15 per share. The fair value of both options, as calculated using the Black Scholes model, was in aggregate approximately $604,000, and is being expensed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 over the initial term of the Foreman Agreements.</w:t>
      </w:r>
    </w:p>
    <w:p>
      <w:pPr>
        <w:spacing w:after="0" w:line="15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amendment to the license agreement, on May 31, 2004, the Company paid Mr. Foreman an additional advance payment of $2.0 million on the initial term of the agreement. At the same time, on May 31, 2004, the Company entered into an additional license agreement with George Foreman for the right to sell shoes and footwear under the George Foreman name. The initial term of the agreement is through June 30, 2007, at which time the Company will have the option to extend pursuant to certain terms and conditions of the License Agreement. Mr. Foreman will receive a royalty payment on all footwear manufactured under the George Foreman name, subject to a guaranteed minimum of $275,000 over the initial term. On May 31, 2004, in connection with the execution of the footwear license agreement, Mr. Foreman received an advance payment of $200,000 under the terms of the agreement.</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is also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October 2003, a class action lawsuit was filed against the Company in California Superior Court. The complaint alleged, among other things, that the Company failed to pay overtime compensation and to provide meal and rest breaks to the Company’s California store managers for the period May 14, 2002 through the present. Subsequently, in a lawsuit filed in United States District Court, Northern District of California, the case was expanded to include all Casual Male managers nationwide. The lawsuit seeks unpaid overtime, meal and rest period penalties, waiting time penalties and injunctive relief under the Fair Labor Standards Act (“FLSA”) and the California Labor Code. The California claims were consolidated into the federal court action and the state court lawsuit was dismissed. No class has been certified, and the parties are currently conducting initial discovery and preparing for mediation. Casual Male hopes to resolve this case at mediation. However, if that is not possible, the Company has strong factual and legal defenses and plans to defend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claims vigorously. There can be no assurances, however, that such claims will not be successful in whole or in part. At January 29, 2005, the Company has established a reserve which the Company believes to be sufficient to cover any potential losses.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contractually obligated pursuant to agreements with certain related parties, which is discussed in Note 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warrant activity for the past three fiscal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2004</w:t>
            </w:r>
          </w:p>
        </w:tc>
        <w:tc>
          <w:tcPr>
            <w:tcW w:w="1260" w:type="dxa"/>
            <w:vAlign w:val="bottom"/>
            <w:tcBorders>
              <w:bottom w:val="single" w:sz="8" w:color="auto"/>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2003</w:t>
            </w:r>
          </w:p>
        </w:tc>
        <w:tc>
          <w:tcPr>
            <w:tcW w:w="1040" w:type="dxa"/>
            <w:vAlign w:val="bottom"/>
            <w:tcBorders>
              <w:bottom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Warrants outstanding at beginning of year</w:t>
            </w:r>
          </w:p>
        </w:tc>
        <w:tc>
          <w:tcPr>
            <w:tcW w:w="920" w:type="dxa"/>
            <w:vAlign w:val="bottom"/>
          </w:tcPr>
          <w:p>
            <w:pPr>
              <w:jc w:val="right"/>
              <w:spacing w:after="0"/>
              <w:rPr>
                <w:sz w:val="20"/>
                <w:szCs w:val="20"/>
                <w:color w:val="auto"/>
              </w:rPr>
            </w:pPr>
            <w:r>
              <w:rPr>
                <w:rFonts w:ascii="Arial" w:cs="Arial" w:eastAsia="Arial" w:hAnsi="Arial"/>
                <w:sz w:val="18"/>
                <w:szCs w:val="18"/>
                <w:color w:val="auto"/>
              </w:rPr>
              <w:t>3,383,871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2,201,471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1,182,400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Warrants canceled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end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3,383,871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2,201,471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exercisable at end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3,383,871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2,201,471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exercise price per warrant: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at beginning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Issued during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Canceled during the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Exercised during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$5.10</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at end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Outstanding and Exercisable at January 29,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122555</wp:posOffset>
            </wp:positionV>
            <wp:extent cx="29927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460" w:type="dxa"/>
            <w:vAlign w:val="bottom"/>
            <w:gridSpan w:val="4"/>
          </w:tcPr>
          <w:p>
            <w:pPr>
              <w:jc w:val="center"/>
              <w:ind w:right="1460"/>
              <w:spacing w:after="0"/>
              <w:rPr>
                <w:sz w:val="20"/>
                <w:szCs w:val="20"/>
                <w:color w:val="auto"/>
              </w:rPr>
            </w:pPr>
            <w:r>
              <w:rPr>
                <w:rFonts w:ascii="Arial" w:cs="Arial" w:eastAsia="Arial" w:hAnsi="Arial"/>
                <w:sz w:val="14"/>
                <w:szCs w:val="14"/>
                <w:color w:val="auto"/>
                <w:w w:val="87"/>
              </w:rPr>
              <w:t>Range of Exercise</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Number</w:t>
            </w:r>
          </w:p>
        </w:tc>
        <w:tc>
          <w:tcPr>
            <w:tcW w:w="3180" w:type="dxa"/>
            <w:vAlign w:val="bottom"/>
          </w:tcPr>
          <w:p>
            <w:pPr>
              <w:jc w:val="center"/>
              <w:ind w:left="772"/>
              <w:spacing w:after="0"/>
              <w:rPr>
                <w:sz w:val="20"/>
                <w:szCs w:val="20"/>
                <w:color w:val="auto"/>
              </w:rPr>
            </w:pPr>
            <w:r>
              <w:rPr>
                <w:rFonts w:ascii="Arial" w:cs="Arial" w:eastAsia="Arial" w:hAnsi="Arial"/>
                <w:sz w:val="14"/>
                <w:szCs w:val="14"/>
                <w:color w:val="auto"/>
                <w:w w:val="86"/>
              </w:rPr>
              <w:t>Remaining</w:t>
            </w:r>
          </w:p>
        </w:tc>
        <w:tc>
          <w:tcPr>
            <w:tcW w:w="3200" w:type="dxa"/>
            <w:vAlign w:val="bottom"/>
            <w:gridSpan w:val="3"/>
          </w:tcPr>
          <w:p>
            <w:pPr>
              <w:jc w:val="center"/>
              <w:ind w:right="780"/>
              <w:spacing w:after="0"/>
              <w:rPr>
                <w:sz w:val="20"/>
                <w:szCs w:val="20"/>
                <w:color w:val="auto"/>
              </w:rPr>
            </w:pPr>
            <w:r>
              <w:rPr>
                <w:rFonts w:ascii="Arial" w:cs="Arial" w:eastAsia="Arial" w:hAnsi="Arial"/>
                <w:sz w:val="14"/>
                <w:szCs w:val="14"/>
                <w:color w:val="auto"/>
                <w:w w:val="85"/>
              </w:rPr>
              <w:t>Weighted Average</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Number</w:t>
            </w:r>
          </w:p>
        </w:tc>
      </w:tr>
      <w:tr>
        <w:trPr>
          <w:trHeight w:val="162"/>
        </w:trPr>
        <w:tc>
          <w:tcPr>
            <w:tcW w:w="20" w:type="dxa"/>
            <w:vAlign w:val="bottom"/>
          </w:tcPr>
          <w:p>
            <w:pPr>
              <w:spacing w:after="0"/>
              <w:rPr>
                <w:sz w:val="14"/>
                <w:szCs w:val="14"/>
                <w:color w:val="auto"/>
              </w:rPr>
            </w:pPr>
          </w:p>
        </w:tc>
        <w:tc>
          <w:tcPr>
            <w:tcW w:w="2440" w:type="dxa"/>
            <w:vAlign w:val="bottom"/>
            <w:gridSpan w:val="3"/>
          </w:tcPr>
          <w:p>
            <w:pPr>
              <w:jc w:val="center"/>
              <w:ind w:right="1480"/>
              <w:spacing w:after="0"/>
              <w:rPr>
                <w:sz w:val="20"/>
                <w:szCs w:val="20"/>
                <w:color w:val="auto"/>
              </w:rPr>
            </w:pPr>
            <w:r>
              <w:rPr>
                <w:rFonts w:ascii="Arial" w:cs="Arial" w:eastAsia="Arial" w:hAnsi="Arial"/>
                <w:sz w:val="14"/>
                <w:szCs w:val="14"/>
                <w:color w:val="auto"/>
                <w:w w:val="82"/>
              </w:rPr>
              <w:t>Prices</w:t>
            </w:r>
          </w:p>
        </w:tc>
        <w:tc>
          <w:tcPr>
            <w:tcW w:w="680" w:type="dxa"/>
            <w:vAlign w:val="bottom"/>
          </w:tcPr>
          <w:p>
            <w:pPr>
              <w:jc w:val="right"/>
              <w:spacing w:after="0"/>
              <w:rPr>
                <w:sz w:val="20"/>
                <w:szCs w:val="20"/>
                <w:color w:val="auto"/>
              </w:rPr>
            </w:pPr>
            <w:r>
              <w:rPr>
                <w:rFonts w:ascii="Arial" w:cs="Arial" w:eastAsia="Arial" w:hAnsi="Arial"/>
                <w:sz w:val="14"/>
                <w:szCs w:val="14"/>
                <w:color w:val="auto"/>
                <w:w w:val="84"/>
              </w:rPr>
              <w:t>Outstanding</w:t>
            </w:r>
          </w:p>
        </w:tc>
        <w:tc>
          <w:tcPr>
            <w:tcW w:w="3180" w:type="dxa"/>
            <w:vAlign w:val="bottom"/>
          </w:tcPr>
          <w:p>
            <w:pPr>
              <w:jc w:val="center"/>
              <w:ind w:left="772"/>
              <w:spacing w:after="0"/>
              <w:rPr>
                <w:sz w:val="20"/>
                <w:szCs w:val="20"/>
                <w:color w:val="auto"/>
              </w:rPr>
            </w:pPr>
            <w:r>
              <w:rPr>
                <w:rFonts w:ascii="Arial" w:cs="Arial" w:eastAsia="Arial" w:hAnsi="Arial"/>
                <w:sz w:val="14"/>
                <w:szCs w:val="14"/>
                <w:color w:val="auto"/>
                <w:w w:val="91"/>
              </w:rPr>
              <w:t>Contractual Life</w:t>
            </w:r>
          </w:p>
        </w:tc>
        <w:tc>
          <w:tcPr>
            <w:tcW w:w="3200" w:type="dxa"/>
            <w:vAlign w:val="bottom"/>
            <w:gridSpan w:val="3"/>
          </w:tcPr>
          <w:p>
            <w:pPr>
              <w:jc w:val="center"/>
              <w:ind w:right="780"/>
              <w:spacing w:after="0"/>
              <w:rPr>
                <w:sz w:val="20"/>
                <w:szCs w:val="20"/>
                <w:color w:val="auto"/>
              </w:rPr>
            </w:pPr>
            <w:r>
              <w:rPr>
                <w:rFonts w:ascii="Arial" w:cs="Arial" w:eastAsia="Arial" w:hAnsi="Arial"/>
                <w:sz w:val="14"/>
                <w:szCs w:val="14"/>
                <w:color w:val="auto"/>
                <w:w w:val="87"/>
              </w:rPr>
              <w:t>Exercise Price</w:t>
            </w:r>
          </w:p>
        </w:tc>
        <w:tc>
          <w:tcPr>
            <w:tcW w:w="680" w:type="dxa"/>
            <w:vAlign w:val="bottom"/>
          </w:tcPr>
          <w:p>
            <w:pPr>
              <w:jc w:val="right"/>
              <w:spacing w:after="0"/>
              <w:rPr>
                <w:sz w:val="20"/>
                <w:szCs w:val="20"/>
                <w:color w:val="auto"/>
              </w:rPr>
            </w:pPr>
            <w:r>
              <w:rPr>
                <w:rFonts w:ascii="Arial" w:cs="Arial" w:eastAsia="Arial" w:hAnsi="Arial"/>
                <w:sz w:val="14"/>
                <w:szCs w:val="14"/>
                <w:color w:val="auto"/>
                <w:w w:val="85"/>
              </w:rPr>
              <w:t>Exercisable</w:t>
            </w:r>
          </w:p>
        </w:tc>
      </w:tr>
      <w:tr>
        <w:trPr>
          <w:trHeight w:val="149"/>
        </w:trPr>
        <w:tc>
          <w:tcPr>
            <w:tcW w:w="20" w:type="dxa"/>
            <w:vAlign w:val="bottom"/>
          </w:tcPr>
          <w:p>
            <w:pPr>
              <w:spacing w:after="0"/>
              <w:rPr>
                <w:sz w:val="12"/>
                <w:szCs w:val="12"/>
                <w:color w:val="auto"/>
              </w:rPr>
            </w:pPr>
          </w:p>
        </w:tc>
        <w:tc>
          <w:tcPr>
            <w:tcW w:w="2440" w:type="dxa"/>
            <w:vAlign w:val="bottom"/>
            <w:gridSpan w:val="3"/>
          </w:tcPr>
          <w:p>
            <w:pPr>
              <w:jc w:val="right"/>
              <w:ind w:right="1560"/>
              <w:spacing w:after="0" w:line="149" w:lineRule="exact"/>
              <w:rPr>
                <w:sz w:val="20"/>
                <w:szCs w:val="20"/>
                <w:color w:val="auto"/>
              </w:rPr>
            </w:pPr>
            <w:r>
              <w:rPr>
                <w:rFonts w:ascii="Arial" w:cs="Arial" w:eastAsia="Arial" w:hAnsi="Arial"/>
                <w:sz w:val="14"/>
                <w:szCs w:val="14"/>
                <w:color w:val="auto"/>
                <w:w w:val="96"/>
              </w:rPr>
              <w:t>$0.01 to $2.15</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525,000</w:t>
            </w:r>
          </w:p>
        </w:tc>
        <w:tc>
          <w:tcPr>
            <w:tcW w:w="3180" w:type="dxa"/>
            <w:vAlign w:val="bottom"/>
          </w:tcPr>
          <w:p>
            <w:pPr>
              <w:jc w:val="center"/>
              <w:ind w:left="772"/>
              <w:spacing w:after="0" w:line="149" w:lineRule="exact"/>
              <w:rPr>
                <w:sz w:val="20"/>
                <w:szCs w:val="20"/>
                <w:color w:val="auto"/>
              </w:rPr>
            </w:pPr>
            <w:r>
              <w:rPr>
                <w:rFonts w:ascii="Arial" w:cs="Arial" w:eastAsia="Arial" w:hAnsi="Arial"/>
                <w:sz w:val="14"/>
                <w:szCs w:val="14"/>
                <w:color w:val="auto"/>
                <w:w w:val="86"/>
              </w:rPr>
              <w:t>7.3 years</w:t>
            </w: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$0.01</w:t>
            </w:r>
          </w:p>
        </w:tc>
        <w:tc>
          <w:tcPr>
            <w:tcW w:w="18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525,000</w:t>
            </w:r>
          </w:p>
        </w:tc>
      </w:tr>
      <w:tr>
        <w:trPr>
          <w:trHeight w:val="149"/>
        </w:trPr>
        <w:tc>
          <w:tcPr>
            <w:tcW w:w="2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auto"/>
                <w:w w:val="93"/>
              </w:rPr>
              <w:t>2.16 to</w:t>
            </w: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4.30</w:t>
            </w:r>
          </w:p>
        </w:tc>
        <w:tc>
          <w:tcPr>
            <w:tcW w:w="146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500,000</w:t>
            </w:r>
          </w:p>
        </w:tc>
        <w:tc>
          <w:tcPr>
            <w:tcW w:w="3180" w:type="dxa"/>
            <w:vAlign w:val="bottom"/>
          </w:tcPr>
          <w:p>
            <w:pPr>
              <w:jc w:val="center"/>
              <w:ind w:left="772"/>
              <w:spacing w:after="0" w:line="149" w:lineRule="exact"/>
              <w:rPr>
                <w:sz w:val="20"/>
                <w:szCs w:val="20"/>
                <w:color w:val="auto"/>
              </w:rPr>
            </w:pPr>
            <w:r>
              <w:rPr>
                <w:rFonts w:ascii="Arial" w:cs="Arial" w:eastAsia="Arial" w:hAnsi="Arial"/>
                <w:sz w:val="14"/>
                <w:szCs w:val="14"/>
                <w:color w:val="auto"/>
                <w:w w:val="86"/>
              </w:rPr>
              <w:t>7.3 years</w:t>
            </w: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18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500,000</w:t>
            </w:r>
          </w:p>
        </w:tc>
      </w:tr>
      <w:tr>
        <w:trPr>
          <w:trHeight w:val="149"/>
        </w:trPr>
        <w:tc>
          <w:tcPr>
            <w:tcW w:w="2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auto"/>
                <w:w w:val="93"/>
              </w:rPr>
              <w:t>4.31 to</w:t>
            </w: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6.45</w:t>
            </w:r>
          </w:p>
        </w:tc>
        <w:tc>
          <w:tcPr>
            <w:tcW w:w="146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484,400</w:t>
            </w:r>
          </w:p>
        </w:tc>
        <w:tc>
          <w:tcPr>
            <w:tcW w:w="3180" w:type="dxa"/>
            <w:vAlign w:val="bottom"/>
          </w:tcPr>
          <w:p>
            <w:pPr>
              <w:jc w:val="center"/>
              <w:ind w:left="772"/>
              <w:spacing w:after="0" w:line="149" w:lineRule="exact"/>
              <w:rPr>
                <w:sz w:val="20"/>
                <w:szCs w:val="20"/>
                <w:color w:val="auto"/>
              </w:rPr>
            </w:pPr>
            <w:r>
              <w:rPr>
                <w:rFonts w:ascii="Arial" w:cs="Arial" w:eastAsia="Arial" w:hAnsi="Arial"/>
                <w:sz w:val="14"/>
                <w:szCs w:val="14"/>
                <w:color w:val="auto"/>
                <w:w w:val="86"/>
              </w:rPr>
              <w:t>5.4 years</w:t>
            </w: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4.96</w:t>
            </w:r>
          </w:p>
        </w:tc>
        <w:tc>
          <w:tcPr>
            <w:tcW w:w="18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484,400</w:t>
            </w:r>
          </w:p>
        </w:tc>
      </w:tr>
      <w:tr>
        <w:trPr>
          <w:trHeight w:val="172"/>
        </w:trPr>
        <w:tc>
          <w:tcPr>
            <w:tcW w:w="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3"/>
              </w:rPr>
              <w:t>6.46 to</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8.50</w:t>
            </w:r>
          </w:p>
        </w:tc>
        <w:tc>
          <w:tcPr>
            <w:tcW w:w="146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3"/>
              </w:rPr>
              <w:t>1,868,471</w:t>
            </w:r>
          </w:p>
        </w:tc>
        <w:tc>
          <w:tcPr>
            <w:tcW w:w="3180" w:type="dxa"/>
            <w:vAlign w:val="bottom"/>
          </w:tcPr>
          <w:p>
            <w:pPr>
              <w:jc w:val="center"/>
              <w:ind w:left="772"/>
              <w:spacing w:after="0"/>
              <w:rPr>
                <w:sz w:val="20"/>
                <w:szCs w:val="20"/>
                <w:color w:val="auto"/>
              </w:rPr>
            </w:pPr>
            <w:r>
              <w:rPr>
                <w:rFonts w:ascii="Arial" w:cs="Arial" w:eastAsia="Arial" w:hAnsi="Arial"/>
                <w:sz w:val="14"/>
                <w:szCs w:val="14"/>
                <w:color w:val="auto"/>
                <w:w w:val="86"/>
              </w:rPr>
              <w:t>3.4 years</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7.95</w:t>
            </w:r>
          </w:p>
        </w:tc>
        <w:tc>
          <w:tcPr>
            <w:tcW w:w="1800" w:type="dxa"/>
            <w:vAlign w:val="bottom"/>
          </w:tcPr>
          <w:p>
            <w:pPr>
              <w:spacing w:after="0"/>
              <w:rPr>
                <w:sz w:val="14"/>
                <w:szCs w:val="14"/>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3"/>
              </w:rPr>
              <w:t>1,868,471</w:t>
            </w:r>
          </w:p>
        </w:tc>
      </w:tr>
      <w:tr>
        <w:trPr>
          <w:trHeight w:val="95"/>
        </w:trPr>
        <w:tc>
          <w:tcPr>
            <w:tcW w:w="2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2440" w:type="dxa"/>
            <w:vAlign w:val="bottom"/>
            <w:gridSpan w:val="3"/>
          </w:tcPr>
          <w:p>
            <w:pPr>
              <w:jc w:val="right"/>
              <w:ind w:right="1560"/>
              <w:spacing w:after="0"/>
              <w:rPr>
                <w:sz w:val="20"/>
                <w:szCs w:val="20"/>
                <w:color w:val="auto"/>
              </w:rPr>
            </w:pPr>
            <w:r>
              <w:rPr>
                <w:rFonts w:ascii="Arial" w:cs="Arial" w:eastAsia="Arial" w:hAnsi="Arial"/>
                <w:sz w:val="14"/>
                <w:szCs w:val="14"/>
                <w:color w:val="auto"/>
                <w:w w:val="96"/>
              </w:rPr>
              <w:t>$0.01 to $8.50</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3"/>
              </w:rPr>
              <w:t>3,377,871</w:t>
            </w:r>
          </w:p>
        </w:tc>
        <w:tc>
          <w:tcPr>
            <w:tcW w:w="3180" w:type="dxa"/>
            <w:vAlign w:val="bottom"/>
          </w:tcPr>
          <w:p>
            <w:pPr>
              <w:spacing w:after="0"/>
              <w:rPr>
                <w:sz w:val="22"/>
                <w:szCs w:val="22"/>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$5.74</w:t>
            </w:r>
          </w:p>
        </w:tc>
        <w:tc>
          <w:tcPr>
            <w:tcW w:w="180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w w:val="93"/>
              </w:rPr>
              <w:t>3,377,871</w:t>
            </w:r>
          </w:p>
        </w:tc>
      </w:tr>
      <w:tr>
        <w:trPr>
          <w:trHeight w:val="95"/>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bl>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fiscal 2002, as part of a private placement of 12% senior subordinated notes due 2007, which the Company fully redeemed in fiscal 2003, the Company issued warrants to purchase 1,715,000 shares of Common Stock at an exercise price of $0.01 per share and additional warrants to purchase 1,176,471 shares of Common Stock at an exercise price of $8.50 per share. The Company assigned a value, based on the Black Scholes model, of $9.6 million for these warrants. The value of the warrants was reflected as a component of stockholders’ equity as a discount on the notes and was initially amortized over the term of the corresponding debt, which was five years. In November 2003, the Company prepaid in full the principal amount due on the 12% senior subordinated notes and accordingly the unamortized value of these warrants of $7.3 million was written off and was included in “Other income (expense)” on the Consolidated Statement of Operations for fiscal 2003.</w:t>
      </w:r>
    </w:p>
    <w:p>
      <w:pPr>
        <w:spacing w:after="0" w:line="10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As part of the Company’s equity financing for its acquisition of Casual Male in May 2002, the Company issued to its investment advisor warrants to purchase 500,000 shares of Common Stock at an exercise price of $4.25 per share. The total assigned value of these warrants of $1.3 million was reflected as a cost of raising equity in fiscal 2002.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fiscal 2003, as part of the private placement of the Company’s 12% senior subordinated notes due 2010, the Company issued warrants to purchase 1,182,400 shares of Common Stock at exercise prices ranging from $4.76 per share to $7.32 per share. Such exercise prices represent the average of the closing prices on the Company’s Common Stock on the Nasdaq National Market for the period of 30 trading days ending prior to each of the respective issue dates. The assigned Black Scholes value of $5.6 million for such warrants was reflected as a component of stockholders’ equity to be amortized over the seven-year life of the notes as additional interest expense. In the fourth quarter of fiscal 2003 and the second quarter of fiscal 2004, as discussed more fully in Note C above, the Company prepaid the notes, which resulted in the acceleration and write-off of the related unamortized value of the warrants of approximately $4.1 million in fiscal 2003 and $1.9 million in fiscal 2004, both of which are included in “Other income (expense)” on the Consolidated Statement of Operations for the respective periods.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15" w:lineRule="exact"/>
        <w:rPr>
          <w:sz w:val="20"/>
          <w:szCs w:val="20"/>
          <w:color w:val="auto"/>
        </w:rPr>
      </w:pPr>
    </w:p>
    <w:p>
      <w:pPr>
        <w:jc w:val="both"/>
        <w:ind w:right="160"/>
        <w:spacing w:after="0" w:line="295" w:lineRule="auto"/>
        <w:rPr>
          <w:sz w:val="20"/>
          <w:szCs w:val="20"/>
          <w:color w:val="auto"/>
        </w:rPr>
      </w:pPr>
      <w:r>
        <w:rPr>
          <w:rFonts w:ascii="Arial" w:cs="Arial" w:eastAsia="Arial" w:hAnsi="Arial"/>
          <w:sz w:val="16"/>
          <w:szCs w:val="16"/>
          <w:color w:val="auto"/>
        </w:rPr>
        <w:t>In connection with the Company’s sales of its Convertible Notes, the Board of Directors authorized the Company to use a portion of the proceeds to repurchase 2,000,000 shares of Common Stock in the open market or in negotiated transactions, from time to time, depending on market and other conditions. In the fourth quarter of fiscal 2003, the Company repurchased 1,000,000 shares of Common Stock at an aggregate cost of $7.9 million. The remaining 1,000,000 shares were repurchased by the Company in the second quarter of fiscal 2004 at an aggregate cost of $6.3 million.</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At January 29, 2005, the Company has a total of 5.2 million shares of repurchased stock at an aggregate cost of $23.4 million which is reported by the Company as treasury stock and is reflected as a reduction in stockholders’ equity.</w:t>
      </w:r>
    </w:p>
    <w:p>
      <w:pPr>
        <w:spacing w:after="0" w:line="118"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Under the terms of the 1992 Stock Incentive Plan, as amended most recently on August 7, 2003 (the “1992 Plan”), up to 6,930,000 shares of Common Stock can be issued pursuant to “incentive stock options” (as defined in Section 422 of the Internal Revenue Code of 1986, as amended), options which are not “incentive stock options,” conditioned stock awards, unrestricted stock awards and performance share awards. The 1992 Plan is administered by the Compensation Committee, all of the members of which are non-employee directors who qualify as independent under the listing standards of the Nasdaq National Market. The Compensation Committee makes all determinations with respect to amounts and conditions covering awards under the 1992 Plan. Options have never been granted at a price less than fair value on the date of the grant. Options granted to employees and executives typically vest over three years and options granted to directors vest over two years. Options granted under the 1992 Plan expire ten years from the date of grant. The 1992 Plan, as amended, terminates on the earlier of (i) the date when all shares issuable thereunder have been issued or (ii) April 2, 2007.</w:t>
      </w:r>
    </w:p>
    <w:p>
      <w:pPr>
        <w:spacing w:after="0" w:line="10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fourth quarter of fiscal 2004, the Company’s Board of Directors approved the vesting of all outstanding and unvested options held by directors, officers and employees under the Company’s 1992 Stock Incentive Plan. As a result of the acceleration, options to acquire 1,903,252 shares of the Company’s common stock, which otherwise would have vested from time to time over the next 35 months, became immediately exercisable. See “Stock-Based Compensation” in Note A above for a complete discussion of the acceleration and its financial impact.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60" w:type="dxa"/>
            <w:vAlign w:val="bottom"/>
            <w:gridSpan w:val="2"/>
          </w:tcPr>
          <w:p>
            <w:pPr>
              <w:spacing w:after="0"/>
              <w:rPr>
                <w:sz w:val="20"/>
                <w:szCs w:val="20"/>
                <w:color w:val="auto"/>
              </w:rPr>
            </w:pPr>
            <w:r>
              <w:rPr>
                <w:rFonts w:ascii="Arial" w:cs="Arial" w:eastAsia="Arial" w:hAnsi="Arial"/>
                <w:sz w:val="18"/>
                <w:szCs w:val="18"/>
                <w:color w:val="auto"/>
              </w:rPr>
              <w:t>A summary of shares subject to the 1992 Plan for the fiscal years indicated:</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gridSpan w:val="4"/>
          </w:tcPr>
          <w:p>
            <w:pPr>
              <w:ind w:left="440"/>
              <w:spacing w:after="0"/>
              <w:rPr>
                <w:sz w:val="20"/>
                <w:szCs w:val="20"/>
                <w:color w:val="auto"/>
              </w:rPr>
            </w:pPr>
            <w:r>
              <w:rPr>
                <w:rFonts w:ascii="Arial" w:cs="Arial" w:eastAsia="Arial" w:hAnsi="Arial"/>
                <w:sz w:val="18"/>
                <w:szCs w:val="18"/>
                <w:color w:val="auto"/>
              </w:rPr>
              <w:t>FISCAL YEAR</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2004</w:t>
            </w: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2003</w:t>
            </w: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Outstanding at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2,219,869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1,899,990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1,241,814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1,732,378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827,594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312,824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Options exercised</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146,416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295,652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3,493,007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2,219,869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1,899,990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3,493,007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1,097,364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reserved</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for future grants at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2,254,259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3,673,813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1,789,344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60" w:type="dxa"/>
            <w:vAlign w:val="bottom"/>
            <w:gridSpan w:val="2"/>
          </w:tcPr>
          <w:p>
            <w:pPr>
              <w:spacing w:after="0"/>
              <w:rPr>
                <w:sz w:val="20"/>
                <w:szCs w:val="20"/>
                <w:color w:val="auto"/>
              </w:rPr>
            </w:pPr>
            <w:r>
              <w:rPr>
                <w:rFonts w:ascii="Arial" w:cs="Arial" w:eastAsia="Arial" w:hAnsi="Arial"/>
                <w:sz w:val="18"/>
                <w:szCs w:val="18"/>
                <w:color w:val="auto"/>
              </w:rPr>
              <w:t>Weighted-average exercise price per option:</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at beginning of year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Granted during the year</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Canceled during the year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Exercised during the year</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at end of year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20" w:type="dxa"/>
            <w:vAlign w:val="bottom"/>
            <w:gridSpan w:val="13"/>
          </w:tcPr>
          <w:p>
            <w:pPr>
              <w:spacing w:after="0"/>
              <w:rPr>
                <w:sz w:val="20"/>
                <w:szCs w:val="20"/>
                <w:color w:val="auto"/>
              </w:rPr>
            </w:pPr>
            <w:r>
              <w:rPr>
                <w:rFonts w:ascii="Arial" w:cs="Arial" w:eastAsia="Arial" w:hAnsi="Arial"/>
                <w:sz w:val="18"/>
                <w:szCs w:val="18"/>
                <w:color w:val="auto"/>
                <w:w w:val="90"/>
              </w:rPr>
              <w:t>The following table summarizes information about stock options outstanding under the 1992 Plan at January 29, 2005:</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gridSpan w:val="3"/>
          </w:tcPr>
          <w:p>
            <w:pPr>
              <w:jc w:val="right"/>
              <w:ind w:right="620"/>
              <w:spacing w:after="0"/>
              <w:rPr>
                <w:sz w:val="20"/>
                <w:szCs w:val="20"/>
                <w:color w:val="auto"/>
              </w:rPr>
            </w:pPr>
            <w:r>
              <w:rPr>
                <w:rFonts w:ascii="Arial" w:cs="Arial" w:eastAsia="Arial" w:hAnsi="Arial"/>
                <w:sz w:val="18"/>
                <w:szCs w:val="18"/>
                <w:color w:val="auto"/>
                <w:w w:val="92"/>
              </w:rPr>
              <w:t>Options Outstanding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gridSpan w:val="7"/>
          </w:tcPr>
          <w:p>
            <w:pPr>
              <w:ind w:left="6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tcPr>
          <w:p>
            <w:pPr>
              <w:spacing w:after="0"/>
              <w:rPr>
                <w:sz w:val="9"/>
                <w:szCs w:val="9"/>
                <w:color w:val="auto"/>
              </w:rPr>
            </w:pPr>
          </w:p>
        </w:tc>
        <w:tc>
          <w:tcPr>
            <w:tcW w:w="7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20" w:type="dxa"/>
            <w:vAlign w:val="bottom"/>
          </w:tcPr>
          <w:p>
            <w:pPr>
              <w:spacing w:after="0"/>
              <w:rPr>
                <w:sz w:val="24"/>
                <w:szCs w:val="24"/>
                <w:color w:val="auto"/>
              </w:rPr>
            </w:pPr>
          </w:p>
        </w:tc>
        <w:tc>
          <w:tcPr>
            <w:tcW w:w="2100" w:type="dxa"/>
            <w:vAlign w:val="bottom"/>
            <w:gridSpan w:val="2"/>
          </w:tcPr>
          <w:p>
            <w:pPr>
              <w:jc w:val="right"/>
              <w:ind w:right="332"/>
              <w:spacing w:after="0"/>
              <w:rPr>
                <w:sz w:val="20"/>
                <w:szCs w:val="20"/>
                <w:color w:val="auto"/>
              </w:rPr>
            </w:pPr>
            <w:r>
              <w:rPr>
                <w:rFonts w:ascii="Arial" w:cs="Arial" w:eastAsia="Arial" w:hAnsi="Arial"/>
                <w:sz w:val="18"/>
                <w:szCs w:val="18"/>
                <w:color w:val="auto"/>
              </w:rPr>
              <w:t>Range of Exercise</w:t>
            </w:r>
          </w:p>
        </w:tc>
        <w:tc>
          <w:tcPr>
            <w:tcW w:w="76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Number</w:t>
            </w:r>
          </w:p>
        </w:tc>
        <w:tc>
          <w:tcPr>
            <w:tcW w:w="280" w:type="dxa"/>
            <w:vAlign w:val="bottom"/>
          </w:tcPr>
          <w:p>
            <w:pPr>
              <w:spacing w:after="0"/>
              <w:rPr>
                <w:sz w:val="24"/>
                <w:szCs w:val="24"/>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8"/>
                <w:szCs w:val="18"/>
                <w:color w:val="auto"/>
              </w:rPr>
              <w:t>Remaining</w:t>
            </w:r>
          </w:p>
        </w:tc>
        <w:tc>
          <w:tcPr>
            <w:tcW w:w="6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rPr>
              <w:t>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color w:val="auto"/>
                <w:w w:val="87"/>
              </w:rPr>
              <w:t>Weighted Average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20" w:type="dxa"/>
            <w:vAlign w:val="bottom"/>
          </w:tcPr>
          <w:p>
            <w:pPr>
              <w:jc w:val="right"/>
              <w:ind w:right="752"/>
              <w:spacing w:after="0"/>
              <w:rPr>
                <w:sz w:val="20"/>
                <w:szCs w:val="20"/>
                <w:color w:val="auto"/>
              </w:rPr>
            </w:pPr>
            <w:r>
              <w:rPr>
                <w:rFonts w:ascii="Arial" w:cs="Arial" w:eastAsia="Arial" w:hAnsi="Arial"/>
                <w:sz w:val="18"/>
                <w:szCs w:val="18"/>
                <w:color w:val="auto"/>
              </w:rPr>
              <w:t>Prices</w:t>
            </w:r>
          </w:p>
        </w:tc>
        <w:tc>
          <w:tcPr>
            <w:tcW w:w="76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Outstanding</w:t>
            </w:r>
          </w:p>
        </w:tc>
        <w:tc>
          <w:tcPr>
            <w:tcW w:w="280" w:type="dxa"/>
            <w:vAlign w:val="bottom"/>
          </w:tcPr>
          <w:p>
            <w:pPr>
              <w:spacing w:after="0"/>
              <w:rPr>
                <w:sz w:val="20"/>
                <w:szCs w:val="20"/>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Contractual Life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8"/>
                <w:szCs w:val="18"/>
                <w:color w:val="auto"/>
                <w:w w:val="88"/>
              </w:rPr>
              <w:t>Exercise Price</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w w:val="85"/>
              </w:rPr>
              <w:t>Exercisable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 to $2.15</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321,733</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 years</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1.40</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321,733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2.16 to</w:t>
            </w:r>
          </w:p>
        </w:tc>
        <w:tc>
          <w:tcPr>
            <w:tcW w:w="1520" w:type="dxa"/>
            <w:vAlign w:val="bottom"/>
          </w:tcPr>
          <w:p>
            <w:pPr>
              <w:jc w:val="right"/>
              <w:ind w:right="1012"/>
              <w:spacing w:after="0"/>
              <w:rPr>
                <w:sz w:val="20"/>
                <w:szCs w:val="20"/>
                <w:color w:val="auto"/>
              </w:rPr>
            </w:pPr>
            <w:r>
              <w:rPr>
                <w:rFonts w:ascii="Arial" w:cs="Arial" w:eastAsia="Arial" w:hAnsi="Arial"/>
                <w:sz w:val="18"/>
                <w:szCs w:val="18"/>
                <w:color w:val="auto"/>
              </w:rPr>
              <w:t>4.30</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314,950</w:t>
            </w:r>
          </w:p>
        </w:tc>
        <w:tc>
          <w:tcPr>
            <w:tcW w:w="280" w:type="dxa"/>
            <w:vAlign w:val="bottom"/>
          </w:tcPr>
          <w:p>
            <w:pPr>
              <w:spacing w:after="0"/>
              <w:rPr>
                <w:sz w:val="18"/>
                <w:szCs w:val="18"/>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6.8 years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3.46</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314,950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4.31 to</w:t>
            </w:r>
          </w:p>
        </w:tc>
        <w:tc>
          <w:tcPr>
            <w:tcW w:w="15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6.45</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2,146,324</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5.27</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9"/>
              </w:rPr>
              <w:t>2,146,324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w w:val="87"/>
              </w:rPr>
              <w:t>6.46 to</w:t>
            </w:r>
          </w:p>
        </w:tc>
        <w:tc>
          <w:tcPr>
            <w:tcW w:w="1520" w:type="dxa"/>
            <w:vAlign w:val="bottom"/>
          </w:tcPr>
          <w:p>
            <w:pPr>
              <w:jc w:val="right"/>
              <w:ind w:right="1012"/>
              <w:spacing w:after="0"/>
              <w:rPr>
                <w:sz w:val="20"/>
                <w:szCs w:val="20"/>
                <w:color w:val="auto"/>
              </w:rPr>
            </w:pPr>
            <w:r>
              <w:rPr>
                <w:rFonts w:ascii="Arial" w:cs="Arial" w:eastAsia="Arial" w:hAnsi="Arial"/>
                <w:sz w:val="18"/>
                <w:szCs w:val="18"/>
                <w:color w:val="auto"/>
              </w:rPr>
              <w:t>8.60</w:t>
            </w:r>
          </w:p>
        </w:tc>
        <w:tc>
          <w:tcPr>
            <w:tcW w:w="2120" w:type="dxa"/>
            <w:vAlign w:val="bottom"/>
            <w:gridSpan w:val="3"/>
          </w:tcPr>
          <w:p>
            <w:pPr>
              <w:jc w:val="right"/>
              <w:ind w:right="500"/>
              <w:spacing w:after="0"/>
              <w:rPr>
                <w:sz w:val="20"/>
                <w:szCs w:val="20"/>
                <w:color w:val="auto"/>
              </w:rPr>
            </w:pPr>
            <w:r>
              <w:rPr>
                <w:rFonts w:ascii="Arial" w:cs="Arial" w:eastAsia="Arial" w:hAnsi="Arial"/>
                <w:sz w:val="18"/>
                <w:szCs w:val="18"/>
                <w:color w:val="auto"/>
              </w:rPr>
              <w:t>290,000</w:t>
            </w:r>
          </w:p>
        </w:tc>
        <w:tc>
          <w:tcPr>
            <w:tcW w:w="280" w:type="dxa"/>
            <w:vAlign w:val="bottom"/>
          </w:tcPr>
          <w:p>
            <w:pPr>
              <w:spacing w:after="0"/>
              <w:rPr>
                <w:sz w:val="18"/>
                <w:szCs w:val="18"/>
                <w:color w:val="auto"/>
              </w:rPr>
            </w:pPr>
          </w:p>
        </w:tc>
        <w:tc>
          <w:tcPr>
            <w:tcW w:w="1880" w:type="dxa"/>
            <w:vAlign w:val="bottom"/>
            <w:gridSpan w:val="2"/>
          </w:tcPr>
          <w:p>
            <w:pPr>
              <w:jc w:val="right"/>
              <w:ind w:right="720"/>
              <w:spacing w:after="0"/>
              <w:rPr>
                <w:sz w:val="20"/>
                <w:szCs w:val="20"/>
                <w:color w:val="auto"/>
              </w:rPr>
            </w:pPr>
            <w:r>
              <w:rPr>
                <w:rFonts w:ascii="Arial" w:cs="Arial" w:eastAsia="Arial" w:hAnsi="Arial"/>
                <w:sz w:val="18"/>
                <w:szCs w:val="18"/>
                <w:color w:val="auto"/>
              </w:rPr>
              <w:t>8.8 years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7.19</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290,000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8.61 to</w:t>
            </w:r>
          </w:p>
        </w:tc>
        <w:tc>
          <w:tcPr>
            <w:tcW w:w="152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w w:val="88"/>
              </w:rPr>
              <w:t>10.75</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420,000</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10.14</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 to $10.75</w:t>
            </w:r>
          </w:p>
        </w:tc>
        <w:tc>
          <w:tcPr>
            <w:tcW w:w="2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3,493,007</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 years</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5.49</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9"/>
              </w:rPr>
              <w:t>3,493,007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gridSpan w:val="3"/>
          </w:tcPr>
          <w:p>
            <w:pPr>
              <w:jc w:val="right"/>
              <w:ind w:right="60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granted outside of the Company’s 1992 Plan</w:t>
      </w:r>
    </w:p>
    <w:p>
      <w:pPr>
        <w:spacing w:after="0" w:line="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Below is a summary of options granted outside of the Company’s 1992 Plan. This activity represents options which have been granted to consultants of the Company prior to August 2003 and options granted to its executives in excess of the 1992 Plan’s annual maximum grant which was 500,000 as of August 7, 2003. All shares underlying options granted outside of the Company’s 1992 Plan have been registered for resale as part of the Company’s Form S-3 Registration Statements filed in September 2002 and September 2004.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color w:val="auto"/>
                <w:w w:val="99"/>
              </w:rPr>
              <w:t>FISCAL YEAR</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2004</w:t>
            </w:r>
          </w:p>
        </w:tc>
        <w:tc>
          <w:tcPr>
            <w:tcW w:w="1160" w:type="dxa"/>
            <w:vAlign w:val="bottom"/>
            <w:tcBorders>
              <w:bottom w:val="single" w:sz="8" w:color="auto"/>
            </w:tcBorders>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Outstanding at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Options 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1020" w:type="dxa"/>
            <w:vAlign w:val="bottom"/>
          </w:tcPr>
          <w:p>
            <w:pPr>
              <w:jc w:val="right"/>
              <w:spacing w:after="0"/>
              <w:rPr>
                <w:sz w:val="20"/>
                <w:szCs w:val="20"/>
                <w:color w:val="auto"/>
              </w:rPr>
            </w:pPr>
            <w:r>
              <w:rPr>
                <w:rFonts w:ascii="Arial" w:cs="Arial" w:eastAsia="Arial" w:hAnsi="Arial"/>
                <w:sz w:val="18"/>
                <w:szCs w:val="18"/>
                <w:color w:val="auto"/>
              </w:rPr>
              <w:t>1,140,000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exercise price per option:</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Outstanding at beginning of year</w:t>
            </w: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 during the year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Canceled during the year</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 during the year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Outstanding at end of year</w:t>
            </w: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issued outside of the 1992 Plan at January 29,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jc w:val="right"/>
              <w:ind w:right="332"/>
              <w:spacing w:after="0"/>
              <w:rPr>
                <w:sz w:val="20"/>
                <w:szCs w:val="20"/>
                <w:color w:val="auto"/>
              </w:rPr>
            </w:pPr>
            <w:r>
              <w:rPr>
                <w:rFonts w:ascii="Arial" w:cs="Arial" w:eastAsia="Arial" w:hAnsi="Arial"/>
                <w:sz w:val="18"/>
                <w:szCs w:val="18"/>
                <w:color w:val="auto"/>
              </w:rPr>
              <w:t>Options Outstanding</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20" w:type="dxa"/>
            <w:vAlign w:val="bottom"/>
            <w:gridSpan w:val="6"/>
          </w:tcPr>
          <w:p>
            <w:pPr>
              <w:ind w:left="74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gridSpan w:val="2"/>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840" w:type="dxa"/>
            <w:vAlign w:val="bottom"/>
            <w:gridSpan w:val="2"/>
          </w:tcPr>
          <w:p>
            <w:pPr>
              <w:jc w:val="right"/>
              <w:ind w:right="1072"/>
              <w:spacing w:after="0"/>
              <w:rPr>
                <w:sz w:val="20"/>
                <w:szCs w:val="20"/>
                <w:color w:val="auto"/>
              </w:rPr>
            </w:pPr>
            <w:r>
              <w:rPr>
                <w:rFonts w:ascii="Arial" w:cs="Arial" w:eastAsia="Arial" w:hAnsi="Arial"/>
                <w:sz w:val="18"/>
                <w:szCs w:val="18"/>
                <w:color w:val="auto"/>
              </w:rPr>
              <w:t>Range of Exercise</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Number</w:t>
            </w:r>
          </w:p>
        </w:tc>
        <w:tc>
          <w:tcPr>
            <w:tcW w:w="2340" w:type="dxa"/>
            <w:vAlign w:val="bottom"/>
          </w:tcPr>
          <w:p>
            <w:pPr>
              <w:jc w:val="right"/>
              <w:ind w:right="892"/>
              <w:spacing w:after="0"/>
              <w:rPr>
                <w:sz w:val="20"/>
                <w:szCs w:val="20"/>
                <w:color w:val="auto"/>
              </w:rPr>
            </w:pPr>
            <w:r>
              <w:rPr>
                <w:rFonts w:ascii="Arial" w:cs="Arial" w:eastAsia="Arial" w:hAnsi="Arial"/>
                <w:sz w:val="18"/>
                <w:szCs w:val="18"/>
                <w:color w:val="auto"/>
              </w:rPr>
              <w:t>Remaining</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w w:val="85"/>
              </w:rPr>
              <w:t>Weighted Average</w:t>
            </w:r>
          </w:p>
        </w:tc>
        <w:tc>
          <w:tcPr>
            <w:tcW w:w="78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Weighted Average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20" w:type="dxa"/>
            <w:vAlign w:val="bottom"/>
          </w:tcPr>
          <w:p>
            <w:pPr>
              <w:jc w:val="right"/>
              <w:ind w:right="1512"/>
              <w:spacing w:after="0"/>
              <w:rPr>
                <w:sz w:val="20"/>
                <w:szCs w:val="20"/>
                <w:color w:val="auto"/>
              </w:rPr>
            </w:pPr>
            <w:r>
              <w:rPr>
                <w:rFonts w:ascii="Arial" w:cs="Arial" w:eastAsia="Arial" w:hAnsi="Arial"/>
                <w:sz w:val="18"/>
                <w:szCs w:val="18"/>
                <w:color w:val="auto"/>
              </w:rPr>
              <w:t>Prices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Outstanding</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Contractual Life</w:t>
            </w:r>
          </w:p>
        </w:tc>
        <w:tc>
          <w:tcPr>
            <w:tcW w:w="120" w:type="dxa"/>
            <w:vAlign w:val="bottom"/>
          </w:tcPr>
          <w:p>
            <w:pPr>
              <w:spacing w:after="0"/>
              <w:rPr>
                <w:sz w:val="20"/>
                <w:szCs w:val="20"/>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w w:val="86"/>
              </w:rPr>
              <w:t>Exercise Price</w:t>
            </w:r>
          </w:p>
        </w:tc>
        <w:tc>
          <w:tcPr>
            <w:tcW w:w="7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Exercisable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gridSpan w:val="2"/>
            <w:shd w:val="clear" w:color="auto" w:fill="CCEEFF"/>
          </w:tcPr>
          <w:p>
            <w:pPr>
              <w:jc w:val="right"/>
              <w:ind w:right="1752"/>
              <w:spacing w:after="0"/>
              <w:rPr>
                <w:sz w:val="20"/>
                <w:szCs w:val="20"/>
                <w:color w:val="auto"/>
              </w:rPr>
            </w:pPr>
            <w:r>
              <w:rPr>
                <w:rFonts w:ascii="Arial" w:cs="Arial" w:eastAsia="Arial" w:hAnsi="Arial"/>
                <w:sz w:val="18"/>
                <w:szCs w:val="18"/>
                <w:color w:val="auto"/>
                <w:w w:val="85"/>
              </w:rPr>
              <w:t>$1.14 to $1.44</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255,000</w:t>
            </w:r>
          </w:p>
        </w:tc>
        <w:tc>
          <w:tcPr>
            <w:tcW w:w="234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5.0 years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255,000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auto"/>
                <w:w w:val="94"/>
              </w:rPr>
              <w:t>2.38 to</w:t>
            </w:r>
          </w:p>
        </w:tc>
        <w:tc>
          <w:tcPr>
            <w:tcW w:w="2220" w:type="dxa"/>
            <w:vAlign w:val="bottom"/>
          </w:tcPr>
          <w:p>
            <w:pPr>
              <w:jc w:val="right"/>
              <w:ind w:right="1752"/>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360,000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6.4 years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c>
          <w:tcPr>
            <w:tcW w:w="2000" w:type="dxa"/>
            <w:vAlign w:val="bottom"/>
            <w:gridSpan w:val="3"/>
          </w:tcPr>
          <w:p>
            <w:pPr>
              <w:jc w:val="right"/>
              <w:ind w:right="400"/>
              <w:spacing w:after="0"/>
              <w:rPr>
                <w:sz w:val="20"/>
                <w:szCs w:val="20"/>
                <w:color w:val="auto"/>
              </w:rPr>
            </w:pPr>
            <w:r>
              <w:rPr>
                <w:rFonts w:ascii="Arial" w:cs="Arial" w:eastAsia="Arial" w:hAnsi="Arial"/>
                <w:sz w:val="18"/>
                <w:szCs w:val="18"/>
                <w:color w:val="auto"/>
              </w:rPr>
              <w:t>360,000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3.88 to</w:t>
            </w:r>
          </w:p>
        </w:tc>
        <w:tc>
          <w:tcPr>
            <w:tcW w:w="2220" w:type="dxa"/>
            <w:vAlign w:val="bottom"/>
            <w:shd w:val="clear" w:color="auto" w:fill="CCEEFF"/>
          </w:tcPr>
          <w:p>
            <w:pPr>
              <w:jc w:val="right"/>
              <w:ind w:right="1752"/>
              <w:spacing w:after="0"/>
              <w:rPr>
                <w:sz w:val="20"/>
                <w:szCs w:val="20"/>
                <w:color w:val="auto"/>
              </w:rPr>
            </w:pPr>
            <w:r>
              <w:rPr>
                <w:rFonts w:ascii="Arial" w:cs="Arial" w:eastAsia="Arial" w:hAnsi="Arial"/>
                <w:sz w:val="18"/>
                <w:szCs w:val="18"/>
                <w:color w:val="auto"/>
              </w:rPr>
              <w:t>5.35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525,000</w:t>
            </w:r>
          </w:p>
        </w:tc>
        <w:tc>
          <w:tcPr>
            <w:tcW w:w="234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7.0 years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525,000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gridSpan w:val="2"/>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jc w:val="right"/>
              <w:ind w:right="1752"/>
              <w:spacing w:after="0"/>
              <w:rPr>
                <w:sz w:val="20"/>
                <w:szCs w:val="20"/>
                <w:color w:val="auto"/>
              </w:rPr>
            </w:pPr>
            <w:r>
              <w:rPr>
                <w:rFonts w:ascii="Arial" w:cs="Arial" w:eastAsia="Arial" w:hAnsi="Arial"/>
                <w:sz w:val="18"/>
                <w:szCs w:val="18"/>
                <w:color w:val="auto"/>
                <w:w w:val="85"/>
              </w:rPr>
              <w:t>$1.14 to $5.35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1,140,000</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1,140,000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60" w:hanging="347"/>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RELATED PARTIES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Jewelcor Management, Inc.</w:t>
      </w:r>
    </w:p>
    <w:p>
      <w:pPr>
        <w:spacing w:after="0" w:line="1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16.7% of the outstanding Common Stock of the Company (principally held by JMI). He is also the president and chief executive officer, and indirectly, with his wife, the primary shareholder of JMI.</w:t>
      </w:r>
    </w:p>
    <w:p>
      <w:pPr>
        <w:spacing w:after="0" w:line="10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payment for services rendered under the consulting agreement, as amended, for the period April 29, 2002 through April 28, 2003, the Company issued to JMI 60,659 non-forfeitable and fully-vested shares of Common Stock with a fair value on the date of grant of $276,000 or $4.55 per share.</w:t>
      </w:r>
    </w:p>
    <w:p>
      <w:pPr>
        <w:spacing w:after="0" w:line="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period April 29, 2003 through April 2004, the Company issued to JMI as payment for services rendered 70,769 non-forfeitable and fully vested shares of Common Stock with a fair value of $276,000, or $3.90 per share. The consulting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agreement was subsequently amended, effective May 1, 2003, to increase the annual compensation by $50,000 to $326,000. The increase of $50,000 for fiscal 2003 was paid to JMI through the issuance of 12,820 non-forfeitable and fully vested shares of Common Stock at a value of $3.90 per share, the closing price of the Company’s Common Stock on April 28, 2003. In addition, on July 1, 2003, JMI received a $150,000 cash bonus.</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August 26, 2004, the Compensation Committee of the Board of Directors approved an increase in the annual compensation to JMI pursuant to the consulting agreement, effective May 1, 2004, to $392,000 from $326,000. JMI will continue to receive an additional $24,000 per annum for expense reimbursements. At the same time, the Compensation Committee also agreed to include JMI in the Company’s Executive Incentive Program which allows for a bonus award if certain performance targets are achieved in fiscal 2004.</w:t>
      </w:r>
    </w:p>
    <w:p>
      <w:pPr>
        <w:spacing w:after="0" w:line="13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consulting agreement dated April 29, 2003, and most recently amended on August 26, 2004, is for a three-year term commencing on April 29, 2003 and ending on April 28, 2006. The consulting agreement will automatically renew each year thereafter on its anniversary date for additional one-year terms, unless either party notifies the other at least ninety days prior to such anniversary date that it will not renew such agreement. The consulting agreement with JMI includes a significant disincentive for non-performance, which would require JMI to pay to the Company a penalty equal to 150% of any unearned consulting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 Chairman of the Board of Directors</w:t>
      </w:r>
    </w:p>
    <w:p>
      <w:pPr>
        <w:spacing w:after="0" w:line="15"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On July 15, 2004, the Compensation Committee granted to Mr. Holtzman, as compensation for his services as an executive officer of the Company in fiscal 2003, an option to purchase 200,000 shares of the Company’s Common Stock at an exercise price of $6.27 per share. The option vests ratably over a three-year period. In addition, on July 15, 2004, Mr. Holtzman received a bonus in the amount of $150,000 for services performed in fiscal 2003.</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August 31, 2004, the Compensation Committee granted to Mr. Holtzman, as compensation for his services as an executive officer of the Company in fiscal 2004, an option to purchase 100,000 shares of the Company’s Common Stock at an exercise price of $5.89 per share, which vests ratably over a three-year period. On August 31, 2004, the Compensation Committee also granted Mr. Holtzman an option to purchase an additional 100,000 shares of the Company’s Common Stock at an exercise price of $5.89 per share. However, this option is scheduled to vest on the seventh anniversary of the date of grant, but will accelerate and become exercisable over a three-year period if the Company achieves certain performance targets in fiscal 2004. In addition to the above options, Mr. Holtzman also receives an annual salary of $24,000 as compensation for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Directors and Officers</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On October 27, 2004, in connection with the Rochester Acquisition, the Board of Directors of the Company appointed Robert L. Sockolov, the Chief Executive Officer of Rochester Big &amp; Tall Clothing, as a director of the Company, effective upon the consummation of the acquisition. Accordingly, on October 29, 2004, the date the Rochester Acquisition was consummated, Mr. Sockolov became a director of the Company. Mr. Sockolov will serve until the Company’s 2005 annual meeting of stockholders or until his respective successor has been duly elected and qualified.</w:t>
      </w:r>
    </w:p>
    <w:p>
      <w:pPr>
        <w:spacing w:after="0" w:line="10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October 29, 2004, the Company also entered into an employment agreement (the “Employment Agreement”) with Mr. Sockolov. Under the terms of the Employment Agreement, which will terminate January 31, 2008, Mr. Sockolov will serve as the Chief Executive Officer of the Company’s Rochester business. The Company will pay Mr. Sockolov an annual base salary of $250,000, subject to annual increases as determined by the Board of Directors or a committee thereof.</w:t>
      </w:r>
    </w:p>
    <w:p>
      <w:pPr>
        <w:spacing w:after="0" w:line="13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Pursuant to the Employment Agreement, Mr. Sockolov received an option to purchase 100,000 shares of the Company’s Common Stock at an exercise price of $5.03 per share, the closing price of the Company’s Common Stock on October 29, 2004. The option vests ratably over a three-year period, with the first one-third vesting on October 29, 2005.</w:t>
      </w:r>
    </w:p>
    <w:p>
      <w:pPr>
        <w:spacing w:after="0" w:line="12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Employment Agreement provides that in the event Mr. Sockolov’s employment is terminated by the Company for any reason other than “cause” (as defined in the Employment Agreement) or death, Mr. Sockolov will be entitled to receive his full compensation and benefits under the Employment Agreement through January 31,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Debt Issuances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 12% Senior Subordinated Notes due 2010</w:t>
      </w:r>
    </w:p>
    <w:p>
      <w:pPr>
        <w:spacing w:after="0" w:line="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As also discussed in Note C, during fiscal 2003, the Company issued approximately $29.6 million in 2010 Notes, of which approximately $21.8 million of such notes were redeemed, subject to prepayment penalties, in the fourth quarter of fiscal 2003. The remaining $7.8 million of such notes were redeemed in the second quarter of fiscal 2004. Together with the 2010 Notes, the Company also issued detachable warrants to purchase 1,182,400 million shares of the Company’s Common Stock. The following is a listing of the participation by related parties in both the issuance and early redemption of the 2010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Original</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Exercise</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2010 Notes</w:t>
            </w: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2010 Notes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2010 Notes</w:t>
            </w:r>
          </w:p>
        </w:tc>
        <w:tc>
          <w:tcPr>
            <w:tcW w:w="640" w:type="dxa"/>
            <w:vAlign w:val="bottom"/>
          </w:tcPr>
          <w:p>
            <w:pPr>
              <w:jc w:val="right"/>
              <w:spacing w:after="0"/>
              <w:rPr>
                <w:sz w:val="20"/>
                <w:szCs w:val="20"/>
                <w:color w:val="auto"/>
              </w:rPr>
            </w:pPr>
            <w:r>
              <w:rPr>
                <w:rFonts w:ascii="Arial" w:cs="Arial" w:eastAsia="Arial" w:hAnsi="Arial"/>
                <w:sz w:val="18"/>
                <w:szCs w:val="18"/>
                <w:color w:val="auto"/>
                <w:w w:val="84"/>
              </w:rPr>
              <w:t>Warrants</w:t>
            </w:r>
          </w:p>
        </w:tc>
        <w:tc>
          <w:tcPr>
            <w:tcW w:w="3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Price of</w:t>
            </w:r>
          </w:p>
        </w:tc>
        <w:tc>
          <w:tcPr>
            <w:tcW w:w="5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Redeemed</w:t>
            </w:r>
          </w:p>
        </w:tc>
        <w:tc>
          <w:tcPr>
            <w:tcW w:w="3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3"/>
              </w:rPr>
              <w:t>Redeemed</w:t>
            </w:r>
          </w:p>
        </w:tc>
        <w:tc>
          <w:tcPr>
            <w:tcW w:w="340" w:type="dxa"/>
            <w:vAlign w:val="bottom"/>
          </w:tcPr>
          <w:p>
            <w:pPr>
              <w:spacing w:after="0"/>
              <w:rPr>
                <w:sz w:val="18"/>
                <w:szCs w:val="18"/>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Prepayment</w:t>
            </w:r>
          </w:p>
        </w:tc>
        <w:tc>
          <w:tcPr>
            <w:tcW w:w="0" w:type="dxa"/>
            <w:vAlign w:val="bottom"/>
          </w:tcPr>
          <w:p>
            <w:pPr>
              <w:spacing w:after="0"/>
              <w:rPr>
                <w:sz w:val="1"/>
                <w:szCs w:val="1"/>
                <w:color w:val="auto"/>
              </w:rPr>
            </w:pPr>
          </w:p>
        </w:tc>
      </w:tr>
      <w:tr>
        <w:trPr>
          <w:trHeight w:val="299"/>
        </w:trPr>
        <w:tc>
          <w:tcPr>
            <w:tcW w:w="4560" w:type="dxa"/>
            <w:vAlign w:val="bottom"/>
            <w:gridSpan w:val="3"/>
          </w:tcPr>
          <w:p>
            <w:pPr>
              <w:spacing w:after="0"/>
              <w:rPr>
                <w:sz w:val="20"/>
                <w:szCs w:val="20"/>
                <w:color w:val="auto"/>
              </w:rPr>
            </w:pPr>
            <w:r>
              <w:rPr>
                <w:rFonts w:ascii="Arial" w:cs="Arial" w:eastAsia="Arial" w:hAnsi="Arial"/>
                <w:sz w:val="18"/>
                <w:szCs w:val="18"/>
                <w:color w:val="auto"/>
              </w:rPr>
              <w:t>Related Party-Note holders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Purchased</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7"/>
              </w:rPr>
              <w:t>Issued</w:t>
            </w:r>
          </w:p>
        </w:tc>
        <w:tc>
          <w:tcPr>
            <w:tcW w:w="340" w:type="dxa"/>
            <w:vAlign w:val="bottom"/>
          </w:tcPr>
          <w:p>
            <w:pPr>
              <w:spacing w:after="0"/>
              <w:rPr>
                <w:sz w:val="24"/>
                <w:szCs w:val="2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Warrants</w:t>
            </w:r>
          </w:p>
        </w:tc>
        <w:tc>
          <w:tcPr>
            <w:tcW w:w="5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Fiscal 2003</w:t>
            </w:r>
          </w:p>
        </w:tc>
        <w:tc>
          <w:tcPr>
            <w:tcW w:w="3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Fiscal 2004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 xml:space="preserve">Penalty </w:t>
            </w:r>
            <w:r>
              <w:rPr>
                <w:rFonts w:ascii="Arial" w:cs="Arial" w:eastAsia="Arial" w:hAnsi="Arial"/>
                <w:sz w:val="22"/>
                <w:szCs w:val="22"/>
                <w:color w:val="auto"/>
                <w:w w:val="84"/>
                <w:vertAlign w:val="superscript"/>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JMI </w:t>
            </w:r>
            <w:r>
              <w:rPr>
                <w:rFonts w:ascii="Arial" w:cs="Arial" w:eastAsia="Arial" w:hAnsi="Arial"/>
                <w:sz w:val="22"/>
                <w:szCs w:val="22"/>
                <w:color w:val="auto"/>
                <w:vertAlign w:val="superscript"/>
              </w:rPr>
              <w:t>(2)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$ 2,000,000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$ 4.76-6.83</w:t>
            </w:r>
          </w:p>
        </w:tc>
        <w:tc>
          <w:tcPr>
            <w:tcW w:w="56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Clark Partners </w:t>
            </w:r>
            <w:r>
              <w:rPr>
                <w:rFonts w:ascii="Arial" w:cs="Arial" w:eastAsia="Arial" w:hAnsi="Arial"/>
                <w:sz w:val="22"/>
                <w:szCs w:val="22"/>
                <w:color w:val="auto"/>
                <w:vertAlign w:val="superscript"/>
              </w:rPr>
              <w:t>(3)</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2,500,000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4.76</w:t>
            </w:r>
          </w:p>
        </w:tc>
        <w:tc>
          <w:tcPr>
            <w:tcW w:w="560" w:type="dxa"/>
            <w:vAlign w:val="bottom"/>
          </w:tcPr>
          <w:p>
            <w:pPr>
              <w:jc w:val="right"/>
              <w:ind w:right="284"/>
              <w:spacing w:after="0"/>
              <w:rPr>
                <w:sz w:val="20"/>
                <w:szCs w:val="20"/>
                <w:color w:val="auto"/>
              </w:rPr>
            </w:pPr>
            <w:r>
              <w:rPr>
                <w:rFonts w:ascii="Arial" w:cs="Arial" w:eastAsia="Arial" w:hAnsi="Arial"/>
                <w:sz w:val="11"/>
                <w:szCs w:val="11"/>
                <w:color w:val="auto"/>
              </w:rPr>
              <w:t>(9)</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$ 2,500,000</w:t>
            </w:r>
          </w:p>
        </w:tc>
        <w:tc>
          <w:tcPr>
            <w:tcW w:w="3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Baron Asset Fund</w:t>
            </w:r>
            <w:r>
              <w:rPr>
                <w:rFonts w:ascii="Arial" w:cs="Arial" w:eastAsia="Arial" w:hAnsi="Arial"/>
                <w:sz w:val="22"/>
                <w:szCs w:val="22"/>
                <w:color w:val="auto"/>
                <w:vertAlign w:val="superscript"/>
              </w:rPr>
              <w:t>(4)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2,500,000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line="217" w:lineRule="exact"/>
              <w:rPr>
                <w:sz w:val="20"/>
                <w:szCs w:val="20"/>
                <w:color w:val="auto"/>
              </w:rPr>
            </w:pPr>
            <w:r>
              <w:rPr>
                <w:rFonts w:ascii="Arial" w:cs="Arial" w:eastAsia="Arial" w:hAnsi="Arial"/>
                <w:sz w:val="18"/>
                <w:szCs w:val="18"/>
                <w:color w:val="auto"/>
              </w:rPr>
              <w:t>Marc Holtzman</w:t>
            </w:r>
            <w:r>
              <w:rPr>
                <w:rFonts w:ascii="Arial" w:cs="Arial" w:eastAsia="Arial" w:hAnsi="Arial"/>
                <w:sz w:val="22"/>
                <w:szCs w:val="22"/>
                <w:color w:val="auto"/>
                <w:vertAlign w:val="superscript"/>
              </w:rPr>
              <w:t>(5)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4.76-6.83</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Alan Bernikow</w:t>
            </w:r>
            <w:r>
              <w:rPr>
                <w:rFonts w:ascii="Arial" w:cs="Arial" w:eastAsia="Arial" w:hAnsi="Arial"/>
                <w:sz w:val="22"/>
                <w:szCs w:val="22"/>
                <w:color w:val="auto"/>
                <w:vertAlign w:val="superscript"/>
              </w:rPr>
              <w:t>(6)</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56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line="217" w:lineRule="exact"/>
              <w:rPr>
                <w:sz w:val="20"/>
                <w:szCs w:val="20"/>
                <w:color w:val="auto"/>
              </w:rPr>
            </w:pPr>
            <w:r>
              <w:rPr>
                <w:rFonts w:ascii="Arial" w:cs="Arial" w:eastAsia="Arial" w:hAnsi="Arial"/>
                <w:sz w:val="18"/>
                <w:szCs w:val="18"/>
                <w:color w:val="auto"/>
              </w:rPr>
              <w:t>Frank J. Husic Rollover IRA</w:t>
            </w:r>
            <w:r>
              <w:rPr>
                <w:rFonts w:ascii="Arial" w:cs="Arial" w:eastAsia="Arial" w:hAnsi="Arial"/>
                <w:sz w:val="22"/>
                <w:szCs w:val="22"/>
                <w:color w:val="auto"/>
                <w:vertAlign w:val="superscript"/>
              </w:rPr>
              <w:t>(7)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5.88</w:t>
            </w:r>
          </w:p>
        </w:tc>
        <w:tc>
          <w:tcPr>
            <w:tcW w:w="560" w:type="dxa"/>
            <w:vAlign w:val="bottom"/>
          </w:tcPr>
          <w:p>
            <w:pPr>
              <w:jc w:val="right"/>
              <w:ind w:right="284"/>
              <w:spacing w:after="0"/>
              <w:rPr>
                <w:sz w:val="20"/>
                <w:szCs w:val="20"/>
                <w:color w:val="auto"/>
              </w:rPr>
            </w:pPr>
            <w:r>
              <w:rPr>
                <w:rFonts w:ascii="Arial" w:cs="Arial" w:eastAsia="Arial" w:hAnsi="Arial"/>
                <w:sz w:val="11"/>
                <w:szCs w:val="11"/>
                <w:color w:val="auto"/>
              </w:rPr>
              <w:t>(9)</w:t>
            </w: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Ecko </w:t>
            </w:r>
            <w:r>
              <w:rPr>
                <w:rFonts w:ascii="Arial" w:cs="Arial" w:eastAsia="Arial" w:hAnsi="Arial"/>
                <w:sz w:val="22"/>
                <w:szCs w:val="22"/>
                <w:color w:val="auto"/>
                <w:vertAlign w:val="superscript"/>
              </w:rPr>
              <w:t>(8)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2,500,000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5.10-6.83</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500" w:hanging="332"/>
        <w:spacing w:after="0" w:line="268"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Company was obligated to pay a prepayment penalty on all early redemptions of its 2010 Notes equal to 6.5% of the principal amount of the respective notes redeemed in November 2003 and December 2003, 5.75% of the principal amount of the respective notes redeemed in January 2004 and 4.0% of the principal amount of the respective notes redeemed in July 2004.</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Seymour Holtzman, the Chairman of the Board of Directors of the Company, is president and chief executive officer, and indirectly, with his wife, the primary shareholder of JMI.</w:t>
      </w:r>
    </w:p>
    <w:p>
      <w:pPr>
        <w:ind w:left="340" w:right="6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Stephen Duff, a director of the Company until February 26, 2004, is Treasurer of Ninth Floor Corporation, the general partner of Clark Partners L.P. and he is also Senior Investment Manager at The Clark Estates, Inc.</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Baron Asset Fund is an affiliate of Baron Capital Group, Inc., which is the beneficial holder of approximately 7.5% of the outstanding Common Stock of the Company.</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Marc Holtzman is the son of Seymour Holtzman, the Chairman of the Company’s Board of Directors.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Alan Bernikow is a director of the Company.</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Frank J. Husic was a director of the Company until February 1, 2005.</w:t>
      </w:r>
    </w:p>
    <w:p>
      <w:pPr>
        <w:ind w:left="340" w:right="280" w:hanging="332"/>
        <w:spacing w:after="0" w:line="181"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2"/>
          <w:szCs w:val="12"/>
          <w:color w:val="auto"/>
        </w:rPr>
        <w:t>Includes certain principal officers of Ecko.Complex, LLC and certain of their family members. The Company operated its Ecko Unltd.</w:t>
      </w:r>
      <w:r>
        <w:rPr>
          <w:rFonts w:ascii="Arial" w:cs="Arial" w:eastAsia="Arial" w:hAnsi="Arial"/>
          <w:sz w:val="20"/>
          <w:szCs w:val="20"/>
          <w:color w:val="auto"/>
          <w:vertAlign w:val="superscript"/>
        </w:rPr>
        <w:t>®</w:t>
      </w:r>
      <w:r>
        <w:rPr>
          <w:rFonts w:ascii="Arial" w:cs="Arial" w:eastAsia="Arial" w:hAnsi="Arial"/>
          <w:sz w:val="12"/>
          <w:szCs w:val="12"/>
          <w:color w:val="auto"/>
        </w:rPr>
        <w:t xml:space="preserve"> stores under a joint venture with Ecko.Complex, LLC until the second quarter of fiscal 2004.</w:t>
      </w:r>
    </w:p>
    <w:p>
      <w:pPr>
        <w:ind w:left="340" w:right="140" w:hanging="332"/>
        <w:spacing w:after="0" w:line="277"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December 7, 2004, in order to ensure compliance with Nasdaq requirements, the exercise prices of these warrants were increased as follows: JMI’s warrant to purchase 60,000 shares was increased to $5.26 per share; JMI’s warrant to purchase 20,000 shares was increased to $7.36 per share; Clark Partners I, L.P.’s warrant to purchase 100,000 shares was increased to $5.26 per share; Alan Bernikow’s warrant to purchase 4,000 shares was increased to $6.01 per share; and Frank J. Husic Rollover IRA’s warrant to purchase 20,000 shares was increased to $6.79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Private Placement – 5% Senior Subordinated Notes due 2007</w:t>
      </w:r>
    </w:p>
    <w:p>
      <w:pPr>
        <w:spacing w:after="0" w:line="1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May 2002, the Company issued $11.0 million of 5% senior subordinated notes through a private placement with Kellwood Company. Kellwood Company also has a significant product sourcing agreement with the Company by which the Company has agreed to purchase certain minimum amounts of product from Kellwood Company. The Company is obligated to meet these purchase minimums only if Kellwood Company satisfies its obligations under the agreement, which includes, among other things, certain quality of merchandise and availability in accordance with the terms of the agreement. The Company expects its total commitment to approximate $25.0 million in fiscal 2004 with annual increases of 5% through the end of the agreement in fiscal 2008.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Noncontributory Pension Plan</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Casual Male acquisition,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00" w:type="dxa"/>
            <w:vAlign w:val="bottom"/>
            <w:gridSpan w:val="7"/>
          </w:tcPr>
          <w:p>
            <w:pPr>
              <w:spacing w:after="0"/>
              <w:rPr>
                <w:sz w:val="20"/>
                <w:szCs w:val="20"/>
                <w:color w:val="auto"/>
              </w:rPr>
            </w:pPr>
            <w:r>
              <w:rPr>
                <w:rFonts w:ascii="Arial" w:cs="Arial" w:eastAsia="Arial" w:hAnsi="Arial"/>
                <w:sz w:val="18"/>
                <w:szCs w:val="18"/>
                <w:color w:val="auto"/>
                <w:w w:val="93"/>
              </w:rPr>
              <w:t>The following table sets forth the Pension Plan’s funded status at January 29, 2005 and January 31 2004:</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January 29, 2005</w:t>
            </w:r>
          </w:p>
        </w:tc>
        <w:tc>
          <w:tcPr>
            <w:tcW w:w="1280" w:type="dxa"/>
            <w:vAlign w:val="bottom"/>
            <w:gridSpan w:val="3"/>
          </w:tcPr>
          <w:p>
            <w:pPr>
              <w:spacing w:after="0"/>
              <w:rPr>
                <w:sz w:val="20"/>
                <w:szCs w:val="20"/>
                <w:color w:val="auto"/>
              </w:rPr>
            </w:pPr>
            <w:r>
              <w:rPr>
                <w:rFonts w:ascii="Arial" w:cs="Arial" w:eastAsia="Arial" w:hAnsi="Arial"/>
                <w:sz w:val="18"/>
                <w:szCs w:val="18"/>
                <w:color w:val="auto"/>
                <w:w w:val="90"/>
              </w:rPr>
              <w:t>January 31, 2004</w:t>
            </w:r>
          </w:p>
        </w:tc>
        <w:tc>
          <w:tcPr>
            <w:tcW w:w="0" w:type="dxa"/>
            <w:vAlign w:val="bottom"/>
          </w:tcPr>
          <w:p>
            <w:pPr>
              <w:spacing w:after="0"/>
              <w:rPr>
                <w:sz w:val="1"/>
                <w:szCs w:val="1"/>
                <w:color w:val="auto"/>
              </w:rPr>
            </w:pPr>
          </w:p>
        </w:tc>
      </w:tr>
      <w:tr>
        <w:trPr>
          <w:trHeight w:val="110"/>
        </w:trPr>
        <w:tc>
          <w:tcPr>
            <w:tcW w:w="7900" w:type="dxa"/>
            <w:vAlign w:val="bottom"/>
            <w:gridSpan w:val="7"/>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790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80" w:type="dxa"/>
            <w:vAlign w:val="bottom"/>
            <w:gridSpan w:val="6"/>
            <w:shd w:val="clear" w:color="auto" w:fill="CCEEFF"/>
          </w:tcPr>
          <w:p>
            <w:pPr>
              <w:spacing w:after="0" w:line="177" w:lineRule="exact"/>
              <w:rPr>
                <w:sz w:val="20"/>
                <w:szCs w:val="20"/>
                <w:color w:val="auto"/>
              </w:rPr>
            </w:pPr>
            <w:r>
              <w:rPr>
                <w:rFonts w:ascii="Arial" w:cs="Arial" w:eastAsia="Arial" w:hAnsi="Arial"/>
                <w:sz w:val="18"/>
                <w:szCs w:val="18"/>
                <w:color w:val="auto"/>
              </w:rPr>
              <w:t>Change in benefit obligation:</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6"/>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19,241</w:t>
            </w:r>
          </w:p>
        </w:tc>
        <w:tc>
          <w:tcPr>
            <w:tcW w:w="10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tcPr>
          <w:p>
            <w:pPr>
              <w:spacing w:after="0"/>
              <w:rPr>
                <w:sz w:val="20"/>
                <w:szCs w:val="20"/>
                <w:color w:val="auto"/>
              </w:rPr>
            </w:pPr>
            <w:r>
              <w:rPr>
                <w:rFonts w:ascii="Arial" w:cs="Arial" w:eastAsia="Arial" w:hAnsi="Arial"/>
                <w:sz w:val="18"/>
                <w:szCs w:val="18"/>
                <w:color w:val="auto"/>
              </w:rPr>
              <w:t>Service and interest costs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1,127</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plan assets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Balance at beginning of period</w:t>
            </w:r>
          </w:p>
        </w:tc>
        <w:tc>
          <w:tcPr>
            <w:tcW w:w="548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20,502</w:t>
            </w: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17,435</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tcPr>
          <w:p>
            <w:pPr>
              <w:spacing w:after="0"/>
              <w:rPr>
                <w:sz w:val="20"/>
                <w:szCs w:val="20"/>
                <w:color w:val="auto"/>
              </w:rPr>
            </w:pPr>
            <w:r>
              <w:rPr>
                <w:rFonts w:ascii="Arial" w:cs="Arial" w:eastAsia="Arial" w:hAnsi="Arial"/>
                <w:sz w:val="18"/>
                <w:szCs w:val="18"/>
                <w:color w:val="auto"/>
              </w:rPr>
              <w:t>Employer contributions</w:t>
            </w:r>
          </w:p>
        </w:tc>
        <w:tc>
          <w:tcPr>
            <w:tcW w:w="180" w:type="dxa"/>
            <w:vAlign w:val="bottom"/>
          </w:tcPr>
          <w:p>
            <w:pPr>
              <w:spacing w:after="0"/>
              <w:rPr>
                <w:sz w:val="18"/>
                <w:szCs w:val="18"/>
                <w:color w:val="auto"/>
              </w:rPr>
            </w:pPr>
          </w:p>
        </w:tc>
        <w:tc>
          <w:tcPr>
            <w:tcW w:w="20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Reconciliation of Funded Status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Projected benefit obligation</w:t>
            </w:r>
          </w:p>
        </w:tc>
        <w:tc>
          <w:tcPr>
            <w:tcW w:w="5640" w:type="dxa"/>
            <w:vAlign w:val="bottom"/>
            <w:tcBorders>
              <w:top w:val="single" w:sz="8" w:color="CCEEFF"/>
            </w:tcBorders>
            <w:gridSpan w:val="4"/>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19,443</w:t>
            </w: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19,241</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6"/>
          </w:tcPr>
          <w:p>
            <w:pPr>
              <w:spacing w:after="0"/>
              <w:rPr>
                <w:sz w:val="20"/>
                <w:szCs w:val="20"/>
                <w:color w:val="auto"/>
              </w:rPr>
            </w:pPr>
            <w:r>
              <w:rPr>
                <w:rFonts w:ascii="Arial" w:cs="Arial" w:eastAsia="Arial" w:hAnsi="Arial"/>
                <w:sz w:val="18"/>
                <w:szCs w:val="18"/>
                <w:color w:val="auto"/>
              </w:rPr>
              <w:t>Unrecognized actuarial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2,370</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amount recognized at year end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Amounts recognized in the statement of financial position: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Prepaid benefit cost</w:t>
            </w:r>
          </w:p>
        </w:tc>
        <w:tc>
          <w:tcPr>
            <w:tcW w:w="37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3,092</w:t>
            </w:r>
          </w:p>
        </w:tc>
        <w:tc>
          <w:tcPr>
            <w:tcW w:w="10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2,615</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benefit liability</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gridSpan w:val="6"/>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20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amount recognized at year end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comprehensive income attributable to change in additional minimum liability recognition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32"/>
        </w:trPr>
        <w:tc>
          <w:tcPr>
            <w:tcW w:w="7880" w:type="dxa"/>
            <w:vAlign w:val="bottom"/>
            <w:gridSpan w:val="6"/>
            <w:vMerge w:val="restart"/>
          </w:tcPr>
          <w:p>
            <w:pPr>
              <w:jc w:val="right"/>
              <w:ind w:right="2080"/>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88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-4236720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-4236720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-4236720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-4236720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-4236720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-4236720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-3035935</wp:posOffset>
            </wp:positionV>
            <wp:extent cx="8013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013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-3035935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-3035935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-3035935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-1689735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-1689735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-1689735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-1689735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-1689735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-1689735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-626110</wp:posOffset>
            </wp:positionV>
            <wp:extent cx="8013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0137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-626110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-626110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8013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013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80" w:type="dxa"/>
            <w:vAlign w:val="bottom"/>
            <w:gridSpan w:val="3"/>
          </w:tcPr>
          <w:p>
            <w:pPr>
              <w:spacing w:after="0"/>
              <w:rPr>
                <w:sz w:val="20"/>
                <w:szCs w:val="20"/>
                <w:color w:val="auto"/>
              </w:rPr>
            </w:pPr>
            <w:r>
              <w:rPr>
                <w:rFonts w:ascii="Arial" w:cs="Arial" w:eastAsia="Arial" w:hAnsi="Arial"/>
                <w:sz w:val="18"/>
                <w:szCs w:val="18"/>
                <w:color w:val="auto"/>
                <w:w w:val="89"/>
              </w:rPr>
              <w:t>Net pension benefit for the year ended January 29, 2005 and January 31, 2004 includes the following components:</w:t>
            </w: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January 29, 2005</w:t>
            </w:r>
          </w:p>
        </w:tc>
        <w:tc>
          <w:tcPr>
            <w:tcW w:w="1280" w:type="dxa"/>
            <w:vAlign w:val="bottom"/>
            <w:gridSpan w:val="3"/>
          </w:tcPr>
          <w:p>
            <w:pPr>
              <w:spacing w:after="0"/>
              <w:rPr>
                <w:sz w:val="20"/>
                <w:szCs w:val="20"/>
                <w:color w:val="auto"/>
              </w:rPr>
            </w:pPr>
            <w:r>
              <w:rPr>
                <w:rFonts w:ascii="Arial" w:cs="Arial" w:eastAsia="Arial" w:hAnsi="Arial"/>
                <w:sz w:val="18"/>
                <w:szCs w:val="18"/>
                <w:color w:val="auto"/>
                <w:w w:val="90"/>
              </w:rPr>
              <w:t>January 31, 2004</w:t>
            </w:r>
          </w:p>
        </w:tc>
        <w:tc>
          <w:tcPr>
            <w:tcW w:w="0" w:type="dxa"/>
            <w:vAlign w:val="bottom"/>
          </w:tcPr>
          <w:p>
            <w:pPr>
              <w:spacing w:after="0"/>
              <w:rPr>
                <w:sz w:val="1"/>
                <w:szCs w:val="1"/>
                <w:color w:val="auto"/>
              </w:rPr>
            </w:pPr>
          </w:p>
        </w:tc>
      </w:tr>
      <w:tr>
        <w:trPr>
          <w:trHeight w:val="110"/>
        </w:trPr>
        <w:tc>
          <w:tcPr>
            <w:tcW w:w="7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6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75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Service cost earned during the year</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1,127</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(1,603)</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Recognized actuarial (gain) loss</w:t>
            </w:r>
          </w:p>
        </w:tc>
        <w:tc>
          <w:tcPr>
            <w:tcW w:w="620" w:type="dxa"/>
            <w:vAlign w:val="bottom"/>
          </w:tcPr>
          <w:p>
            <w:pPr>
              <w:spacing w:after="0"/>
              <w:rPr>
                <w:sz w:val="19"/>
                <w:szCs w:val="19"/>
                <w:color w:val="auto"/>
              </w:rPr>
            </w:pPr>
          </w:p>
        </w:tc>
        <w:tc>
          <w:tcPr>
            <w:tcW w:w="1960" w:type="dxa"/>
            <w:vAlign w:val="bottom"/>
            <w:gridSpan w:val="2"/>
          </w:tcPr>
          <w:p>
            <w:pPr>
              <w:jc w:val="right"/>
              <w:ind w:right="1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pension benefit</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(476)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key actuarial assumptions used to determine the benefit obligations as of January 29, 2005 and January 31, 2004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86"/>
              </w:rPr>
              <w:t>January 29, 2005</w:t>
            </w:r>
          </w:p>
        </w:tc>
        <w:tc>
          <w:tcPr>
            <w:tcW w:w="1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86"/>
              </w:rPr>
              <w:t>January 31, 2004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Expected long-term rate of return</w:t>
            </w:r>
          </w:p>
        </w:tc>
        <w:tc>
          <w:tcPr>
            <w:tcW w:w="1220" w:type="dxa"/>
            <w:vAlign w:val="bottom"/>
          </w:tcPr>
          <w:p>
            <w:pPr>
              <w:jc w:val="right"/>
              <w:spacing w:after="0"/>
              <w:rPr>
                <w:sz w:val="20"/>
                <w:szCs w:val="20"/>
                <w:color w:val="auto"/>
              </w:rPr>
            </w:pPr>
            <w:r>
              <w:rPr>
                <w:rFonts w:ascii="Arial" w:cs="Arial" w:eastAsia="Arial" w:hAnsi="Arial"/>
                <w:sz w:val="18"/>
                <w:szCs w:val="18"/>
                <w:color w:val="auto"/>
              </w:rPr>
              <w:t>8.00%</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summary of the Company’s key actuarial assumptions used to determine net periodic benefit cost for the years ended January 29, 2005 and January 31, 2004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January 29, 2005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w w:val="86"/>
              </w:rPr>
              <w:t>January 31, 2004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Expected long-term rate of return</w:t>
            </w:r>
          </w:p>
        </w:tc>
        <w:tc>
          <w:tcPr>
            <w:tcW w:w="1220" w:type="dxa"/>
            <w:vAlign w:val="bottom"/>
          </w:tcPr>
          <w:p>
            <w:pPr>
              <w:jc w:val="right"/>
              <w:spacing w:after="0"/>
              <w:rPr>
                <w:sz w:val="20"/>
                <w:szCs w:val="20"/>
                <w:color w:val="auto"/>
              </w:rPr>
            </w:pPr>
            <w:r>
              <w:rPr>
                <w:rFonts w:ascii="Arial" w:cs="Arial" w:eastAsia="Arial" w:hAnsi="Arial"/>
                <w:sz w:val="18"/>
                <w:szCs w:val="18"/>
                <w:color w:val="auto"/>
              </w:rPr>
              <w:t>8.00%</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56"/>
        </w:trPr>
        <w:tc>
          <w:tcPr>
            <w:tcW w:w="10200" w:type="dxa"/>
            <w:vAlign w:val="bottom"/>
            <w:gridSpan w:val="5"/>
          </w:tcPr>
          <w:p>
            <w:pPr>
              <w:spacing w:after="0"/>
              <w:rPr>
                <w:sz w:val="20"/>
                <w:szCs w:val="20"/>
                <w:color w:val="auto"/>
              </w:rPr>
            </w:pPr>
            <w:r>
              <w:rPr>
                <w:rFonts w:ascii="Arial" w:cs="Arial" w:eastAsia="Arial" w:hAnsi="Arial"/>
                <w:sz w:val="18"/>
                <w:szCs w:val="18"/>
                <w:color w:val="auto"/>
                <w:w w:val="89"/>
              </w:rPr>
              <w:t>The expected long-term rate of return assumption was developed considering historical and future expectations for returns for each asset class.</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Estimated Future Benefit Payments</w:t>
            </w:r>
          </w:p>
        </w:tc>
        <w:tc>
          <w:tcPr>
            <w:tcW w:w="5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860" w:type="dxa"/>
            <w:vAlign w:val="bottom"/>
            <w:gridSpan w:val="3"/>
          </w:tcPr>
          <w:p>
            <w:pPr>
              <w:spacing w:after="0"/>
              <w:rPr>
                <w:sz w:val="20"/>
                <w:szCs w:val="20"/>
                <w:color w:val="auto"/>
              </w:rPr>
            </w:pPr>
            <w:r>
              <w:rPr>
                <w:rFonts w:ascii="Arial" w:cs="Arial" w:eastAsia="Arial" w:hAnsi="Arial"/>
                <w:sz w:val="18"/>
                <w:szCs w:val="18"/>
                <w:color w:val="auto"/>
              </w:rPr>
              <w:t>The estimated future benefits for the next ten fiscal years are as follows:</w:t>
            </w: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860" w:type="dxa"/>
            <w:vAlign w:val="bottom"/>
            <w:gridSpan w:val="3"/>
          </w:tcPr>
          <w:p>
            <w:pPr>
              <w:spacing w:after="0"/>
              <w:rPr>
                <w:sz w:val="20"/>
                <w:szCs w:val="20"/>
                <w:color w:val="auto"/>
              </w:rPr>
            </w:pPr>
            <w:r>
              <w:rPr>
                <w:rFonts w:ascii="Arial" w:cs="Arial" w:eastAsia="Arial" w:hAnsi="Arial"/>
                <w:sz w:val="18"/>
                <w:szCs w:val="18"/>
                <w:color w:val="auto"/>
              </w:rPr>
              <w:t>FISCAL YEAR</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2007</w:t>
            </w: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2009</w:t>
            </w: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2011-2015</w:t>
            </w:r>
          </w:p>
        </w:tc>
        <w:tc>
          <w:tcPr>
            <w:tcW w:w="5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 asset allocation for fiscal 2005 and its asset allocation at January 29, 2005 and January 31, 2004 were as follows, by asset category: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360" w:type="dxa"/>
            <w:vAlign w:val="bottom"/>
          </w:tcPr>
          <w:p>
            <w:pPr>
              <w:jc w:val="right"/>
              <w:ind w:right="932"/>
              <w:spacing w:after="0"/>
              <w:rPr>
                <w:sz w:val="20"/>
                <w:szCs w:val="20"/>
                <w:color w:val="auto"/>
              </w:rPr>
            </w:pPr>
            <w:r>
              <w:rPr>
                <w:rFonts w:ascii="Arial" w:cs="Arial" w:eastAsia="Arial" w:hAnsi="Arial"/>
                <w:sz w:val="18"/>
                <w:szCs w:val="18"/>
                <w:color w:val="auto"/>
              </w:rPr>
              <w:t>Target allocation</w:t>
            </w:r>
          </w:p>
        </w:tc>
        <w:tc>
          <w:tcPr>
            <w:tcW w:w="3780" w:type="dxa"/>
            <w:vAlign w:val="bottom"/>
          </w:tcPr>
          <w:p>
            <w:pPr>
              <w:jc w:val="right"/>
              <w:spacing w:after="0"/>
              <w:rPr>
                <w:sz w:val="20"/>
                <w:szCs w:val="20"/>
                <w:color w:val="auto"/>
              </w:rPr>
            </w:pPr>
            <w:r>
              <w:rPr>
                <w:rFonts w:ascii="Arial" w:cs="Arial" w:eastAsia="Arial" w:hAnsi="Arial"/>
                <w:sz w:val="18"/>
                <w:szCs w:val="18"/>
                <w:color w:val="auto"/>
              </w:rPr>
              <w:t>Percentage of plan assets at</w:t>
            </w:r>
          </w:p>
        </w:tc>
        <w:tc>
          <w:tcPr>
            <w:tcW w:w="1740" w:type="dxa"/>
            <w:vAlign w:val="bottom"/>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Asset category:</w:t>
            </w:r>
          </w:p>
        </w:tc>
        <w:tc>
          <w:tcPr>
            <w:tcW w:w="3360" w:type="dxa"/>
            <w:vAlign w:val="bottom"/>
          </w:tcPr>
          <w:p>
            <w:pPr>
              <w:jc w:val="right"/>
              <w:ind w:right="1112"/>
              <w:spacing w:after="0"/>
              <w:rPr>
                <w:sz w:val="20"/>
                <w:szCs w:val="20"/>
                <w:color w:val="auto"/>
              </w:rPr>
            </w:pPr>
            <w:r>
              <w:rPr>
                <w:rFonts w:ascii="Arial" w:cs="Arial" w:eastAsia="Arial" w:hAnsi="Arial"/>
                <w:sz w:val="18"/>
                <w:szCs w:val="18"/>
                <w:color w:val="auto"/>
              </w:rPr>
              <w:t>Fiscal 2005</w:t>
            </w:r>
          </w:p>
        </w:tc>
        <w:tc>
          <w:tcPr>
            <w:tcW w:w="3780" w:type="dxa"/>
            <w:vAlign w:val="bottom"/>
          </w:tcPr>
          <w:p>
            <w:pPr>
              <w:jc w:val="right"/>
              <w:ind w:right="1512"/>
              <w:spacing w:after="0"/>
              <w:rPr>
                <w:sz w:val="20"/>
                <w:szCs w:val="20"/>
                <w:color w:val="auto"/>
              </w:rPr>
            </w:pPr>
            <w:r>
              <w:rPr>
                <w:rFonts w:ascii="Arial" w:cs="Arial" w:eastAsia="Arial" w:hAnsi="Arial"/>
                <w:sz w:val="18"/>
                <w:szCs w:val="18"/>
                <w:color w:val="auto"/>
              </w:rPr>
              <w:t>January 29, 2005</w:t>
            </w:r>
          </w:p>
        </w:tc>
        <w:tc>
          <w:tcPr>
            <w:tcW w:w="1740" w:type="dxa"/>
            <w:vAlign w:val="bottom"/>
          </w:tcPr>
          <w:p>
            <w:pPr>
              <w:jc w:val="right"/>
              <w:ind w:right="352"/>
              <w:spacing w:after="0"/>
              <w:rPr>
                <w:sz w:val="20"/>
                <w:szCs w:val="20"/>
                <w:color w:val="auto"/>
              </w:rPr>
            </w:pPr>
            <w:r>
              <w:rPr>
                <w:rFonts w:ascii="Arial" w:cs="Arial" w:eastAsia="Arial" w:hAnsi="Arial"/>
                <w:sz w:val="18"/>
                <w:szCs w:val="18"/>
                <w:color w:val="auto"/>
                <w:w w:val="91"/>
              </w:rPr>
              <w:t>January 31, 2004</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Equity securities</w:t>
            </w:r>
          </w:p>
        </w:tc>
        <w:tc>
          <w:tcPr>
            <w:tcW w:w="3360" w:type="dxa"/>
            <w:vAlign w:val="bottom"/>
          </w:tcPr>
          <w:p>
            <w:pPr>
              <w:jc w:val="right"/>
              <w:ind w:right="892"/>
              <w:spacing w:after="0"/>
              <w:rPr>
                <w:sz w:val="20"/>
                <w:szCs w:val="20"/>
                <w:color w:val="auto"/>
              </w:rPr>
            </w:pPr>
            <w:r>
              <w:rPr>
                <w:rFonts w:ascii="Arial" w:cs="Arial" w:eastAsia="Arial" w:hAnsi="Arial"/>
                <w:sz w:val="18"/>
                <w:szCs w:val="18"/>
                <w:color w:val="auto"/>
              </w:rPr>
              <w:t>70.00%</w:t>
            </w:r>
          </w:p>
        </w:tc>
        <w:tc>
          <w:tcPr>
            <w:tcW w:w="3780" w:type="dxa"/>
            <w:vAlign w:val="bottom"/>
          </w:tcPr>
          <w:p>
            <w:pPr>
              <w:jc w:val="right"/>
              <w:ind w:right="1012"/>
              <w:spacing w:after="0"/>
              <w:rPr>
                <w:sz w:val="20"/>
                <w:szCs w:val="20"/>
                <w:color w:val="auto"/>
              </w:rPr>
            </w:pPr>
            <w:r>
              <w:rPr>
                <w:rFonts w:ascii="Arial" w:cs="Arial" w:eastAsia="Arial" w:hAnsi="Arial"/>
                <w:sz w:val="18"/>
                <w:szCs w:val="18"/>
                <w:color w:val="auto"/>
              </w:rPr>
              <w:t>48.99%</w:t>
            </w:r>
          </w:p>
        </w:tc>
        <w:tc>
          <w:tcPr>
            <w:tcW w:w="1740" w:type="dxa"/>
            <w:vAlign w:val="bottom"/>
          </w:tcPr>
          <w:p>
            <w:pPr>
              <w:jc w:val="right"/>
              <w:spacing w:after="0"/>
              <w:rPr>
                <w:sz w:val="20"/>
                <w:szCs w:val="20"/>
                <w:color w:val="auto"/>
              </w:rPr>
            </w:pPr>
            <w:r>
              <w:rPr>
                <w:rFonts w:ascii="Arial" w:cs="Arial" w:eastAsia="Arial" w:hAnsi="Arial"/>
                <w:sz w:val="18"/>
                <w:szCs w:val="18"/>
                <w:color w:val="auto"/>
              </w:rPr>
              <w:t>68.05%</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Debt securities</w:t>
            </w:r>
          </w:p>
        </w:tc>
        <w:tc>
          <w:tcPr>
            <w:tcW w:w="3360" w:type="dxa"/>
            <w:vAlign w:val="bottom"/>
          </w:tcPr>
          <w:p>
            <w:pPr>
              <w:jc w:val="right"/>
              <w:ind w:right="892"/>
              <w:spacing w:after="0"/>
              <w:rPr>
                <w:sz w:val="20"/>
                <w:szCs w:val="20"/>
                <w:color w:val="auto"/>
              </w:rPr>
            </w:pPr>
            <w:r>
              <w:rPr>
                <w:rFonts w:ascii="Arial" w:cs="Arial" w:eastAsia="Arial" w:hAnsi="Arial"/>
                <w:sz w:val="18"/>
                <w:szCs w:val="18"/>
                <w:color w:val="auto"/>
              </w:rPr>
              <w:t>20.00%</w:t>
            </w:r>
          </w:p>
        </w:tc>
        <w:tc>
          <w:tcPr>
            <w:tcW w:w="3780" w:type="dxa"/>
            <w:vAlign w:val="bottom"/>
          </w:tcPr>
          <w:p>
            <w:pPr>
              <w:jc w:val="right"/>
              <w:ind w:right="1012"/>
              <w:spacing w:after="0"/>
              <w:rPr>
                <w:sz w:val="20"/>
                <w:szCs w:val="20"/>
                <w:color w:val="auto"/>
              </w:rPr>
            </w:pPr>
            <w:r>
              <w:rPr>
                <w:rFonts w:ascii="Arial" w:cs="Arial" w:eastAsia="Arial" w:hAnsi="Arial"/>
                <w:sz w:val="18"/>
                <w:szCs w:val="18"/>
                <w:color w:val="auto"/>
              </w:rPr>
              <w:t>39.68%</w:t>
            </w:r>
          </w:p>
        </w:tc>
        <w:tc>
          <w:tcPr>
            <w:tcW w:w="1740" w:type="dxa"/>
            <w:vAlign w:val="bottom"/>
          </w:tcPr>
          <w:p>
            <w:pPr>
              <w:jc w:val="right"/>
              <w:spacing w:after="0"/>
              <w:rPr>
                <w:sz w:val="20"/>
                <w:szCs w:val="20"/>
                <w:color w:val="auto"/>
              </w:rPr>
            </w:pPr>
            <w:r>
              <w:rPr>
                <w:rFonts w:ascii="Arial" w:cs="Arial" w:eastAsia="Arial" w:hAnsi="Arial"/>
                <w:sz w:val="18"/>
                <w:szCs w:val="18"/>
                <w:color w:val="auto"/>
              </w:rPr>
              <w:t>20.43%</w:t>
            </w:r>
          </w:p>
        </w:tc>
      </w:tr>
      <w:tr>
        <w:trPr>
          <w:trHeight w:val="223"/>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Insurance contracts</w:t>
            </w:r>
          </w:p>
        </w:tc>
        <w:tc>
          <w:tcPr>
            <w:tcW w:w="336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rPr>
              <w:t>10.00%</w:t>
            </w:r>
          </w:p>
        </w:tc>
        <w:tc>
          <w:tcPr>
            <w:tcW w:w="378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color w:val="auto"/>
              </w:rPr>
              <w:t>11.33%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r>
      <w:tr>
        <w:trPr>
          <w:trHeight w:val="217"/>
        </w:trPr>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3360" w:type="dxa"/>
            <w:vAlign w:val="bottom"/>
          </w:tcPr>
          <w:p>
            <w:pPr>
              <w:jc w:val="right"/>
              <w:ind w:right="892"/>
              <w:spacing w:after="0"/>
              <w:rPr>
                <w:sz w:val="20"/>
                <w:szCs w:val="20"/>
                <w:color w:val="auto"/>
              </w:rPr>
            </w:pPr>
            <w:r>
              <w:rPr>
                <w:rFonts w:ascii="Arial" w:cs="Arial" w:eastAsia="Arial" w:hAnsi="Arial"/>
                <w:sz w:val="18"/>
                <w:szCs w:val="18"/>
                <w:color w:val="auto"/>
              </w:rPr>
              <w:t>100.00%</w:t>
            </w:r>
          </w:p>
        </w:tc>
        <w:tc>
          <w:tcPr>
            <w:tcW w:w="3780" w:type="dxa"/>
            <w:vAlign w:val="bottom"/>
          </w:tcPr>
          <w:p>
            <w:pPr>
              <w:jc w:val="right"/>
              <w:ind w:right="1012"/>
              <w:spacing w:after="0"/>
              <w:rPr>
                <w:sz w:val="20"/>
                <w:szCs w:val="20"/>
                <w:color w:val="auto"/>
              </w:rPr>
            </w:pPr>
            <w:r>
              <w:rPr>
                <w:rFonts w:ascii="Arial" w:cs="Arial" w:eastAsia="Arial" w:hAnsi="Arial"/>
                <w:sz w:val="18"/>
                <w:szCs w:val="18"/>
                <w:color w:val="auto"/>
              </w:rPr>
              <w:t>100.00%</w:t>
            </w:r>
          </w:p>
        </w:tc>
        <w:tc>
          <w:tcPr>
            <w:tcW w:w="174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13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Retirement Plan</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connection with the Casual Male acquisition, the Company also assumed the liability of the Casual Male Supplemental Retirement Plan (the “Supplemental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Supplemental Plan’s funded status at January 29, 2005 and January 31, 2004: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January 29, 2005</w:t>
            </w:r>
          </w:p>
        </w:tc>
        <w:tc>
          <w:tcPr>
            <w:tcW w:w="1280" w:type="dxa"/>
            <w:vAlign w:val="bottom"/>
            <w:gridSpan w:val="3"/>
          </w:tcPr>
          <w:p>
            <w:pPr>
              <w:spacing w:after="0"/>
              <w:rPr>
                <w:sz w:val="20"/>
                <w:szCs w:val="20"/>
                <w:color w:val="auto"/>
              </w:rPr>
            </w:pPr>
            <w:r>
              <w:rPr>
                <w:rFonts w:ascii="Arial" w:cs="Arial" w:eastAsia="Arial" w:hAnsi="Arial"/>
                <w:sz w:val="18"/>
                <w:szCs w:val="18"/>
                <w:color w:val="auto"/>
                <w:w w:val="90"/>
              </w:rPr>
              <w:t>January 31, 2004</w:t>
            </w:r>
          </w:p>
        </w:tc>
        <w:tc>
          <w:tcPr>
            <w:tcW w:w="0" w:type="dxa"/>
            <w:vAlign w:val="bottom"/>
          </w:tcPr>
          <w:p>
            <w:pPr>
              <w:spacing w:after="0"/>
              <w:rPr>
                <w:sz w:val="1"/>
                <w:szCs w:val="1"/>
                <w:color w:val="auto"/>
              </w:rPr>
            </w:pPr>
          </w:p>
        </w:tc>
      </w:tr>
      <w:tr>
        <w:trPr>
          <w:trHeight w:val="110"/>
        </w:trPr>
        <w:tc>
          <w:tcPr>
            <w:tcW w:w="7480" w:type="dxa"/>
            <w:vAlign w:val="bottom"/>
            <w:gridSpan w:val="6"/>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748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60" w:type="dxa"/>
            <w:vAlign w:val="bottom"/>
            <w:gridSpan w:val="5"/>
            <w:shd w:val="clear" w:color="auto" w:fill="CCEEFF"/>
          </w:tcPr>
          <w:p>
            <w:pPr>
              <w:spacing w:after="0" w:line="177" w:lineRule="exact"/>
              <w:rPr>
                <w:sz w:val="20"/>
                <w:szCs w:val="20"/>
                <w:color w:val="auto"/>
              </w:rPr>
            </w:pPr>
            <w:r>
              <w:rPr>
                <w:rFonts w:ascii="Arial" w:cs="Arial" w:eastAsia="Arial" w:hAnsi="Arial"/>
                <w:sz w:val="18"/>
                <w:szCs w:val="18"/>
                <w:color w:val="auto"/>
              </w:rPr>
              <w:t>Change in benefit obligation:</w:t>
            </w: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Balance at beginning of period</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438</w:t>
            </w:r>
          </w:p>
        </w:tc>
        <w:tc>
          <w:tcPr>
            <w:tcW w:w="14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Benefits and expenses paid</w:t>
            </w:r>
          </w:p>
        </w:tc>
        <w:tc>
          <w:tcPr>
            <w:tcW w:w="4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Actuarial loss</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Service and interest costs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Change in fair value of plan assets</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Balance at beginning of period</w:t>
            </w:r>
          </w:p>
        </w:tc>
        <w:tc>
          <w:tcPr>
            <w:tcW w:w="5060" w:type="dxa"/>
            <w:vAlign w:val="bottom"/>
            <w:tcBorders>
              <w:top w:val="single" w:sz="8" w:color="CCEEFF"/>
            </w:tcBorders>
            <w:gridSpan w:val="2"/>
          </w:tcPr>
          <w:p>
            <w:pPr>
              <w:spacing w:after="0"/>
              <w:rPr>
                <w:sz w:val="18"/>
                <w:szCs w:val="18"/>
                <w:color w:val="auto"/>
              </w:rPr>
            </w:pPr>
          </w:p>
        </w:tc>
        <w:tc>
          <w:tcPr>
            <w:tcW w:w="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CCEEFF"/>
            </w:tcBorders>
            <w:gridSpan w:val="2"/>
          </w:tcPr>
          <w:p>
            <w:pPr>
              <w:jc w:val="right"/>
              <w:ind w:right="15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Benefits and expenses paid</w:t>
            </w:r>
          </w:p>
        </w:tc>
        <w:tc>
          <w:tcPr>
            <w:tcW w:w="480" w:type="dxa"/>
            <w:vAlign w:val="bottom"/>
          </w:tcPr>
          <w:p>
            <w:pPr>
              <w:spacing w:after="0"/>
              <w:rPr>
                <w:sz w:val="19"/>
                <w:szCs w:val="19"/>
                <w:color w:val="auto"/>
              </w:rPr>
            </w:pPr>
          </w:p>
        </w:tc>
        <w:tc>
          <w:tcPr>
            <w:tcW w:w="2180" w:type="dxa"/>
            <w:vAlign w:val="bottom"/>
            <w:gridSpan w:val="2"/>
          </w:tcPr>
          <w:p>
            <w:pPr>
              <w:jc w:val="right"/>
              <w:ind w:right="138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Reconciliation of Funded Status</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Projected benefit obligation</w:t>
            </w:r>
          </w:p>
        </w:tc>
        <w:tc>
          <w:tcPr>
            <w:tcW w:w="5220" w:type="dxa"/>
            <w:vAlign w:val="bottom"/>
            <w:tcBorders>
              <w:top w:val="single" w:sz="8" w:color="CCEEFF"/>
            </w:tcBorders>
            <w:gridSpan w:val="3"/>
          </w:tcPr>
          <w:p>
            <w:pPr>
              <w:spacing w:after="0"/>
              <w:rPr>
                <w:sz w:val="18"/>
                <w:szCs w:val="18"/>
                <w:color w:val="auto"/>
              </w:rPr>
            </w:pPr>
          </w:p>
        </w:tc>
        <w:tc>
          <w:tcPr>
            <w:tcW w:w="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448</w:t>
            </w:r>
          </w:p>
        </w:tc>
        <w:tc>
          <w:tcPr>
            <w:tcW w:w="14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438</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4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Funded Status</w:t>
            </w:r>
          </w:p>
        </w:tc>
        <w:tc>
          <w:tcPr>
            <w:tcW w:w="4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Unrecognized actuarial loss</w:t>
            </w:r>
          </w:p>
        </w:tc>
        <w:tc>
          <w:tcPr>
            <w:tcW w:w="480" w:type="dxa"/>
            <w:vAlign w:val="bottom"/>
          </w:tcPr>
          <w:p>
            <w:pPr>
              <w:spacing w:after="0"/>
              <w:rPr>
                <w:sz w:val="19"/>
                <w:szCs w:val="19"/>
                <w:color w:val="auto"/>
              </w:rPr>
            </w:pPr>
          </w:p>
        </w:tc>
        <w:tc>
          <w:tcPr>
            <w:tcW w:w="21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amount recognized at year end</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Amounts recognized in the statement of financial position:</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Prepaid benefit cost</w:t>
            </w:r>
          </w:p>
        </w:tc>
        <w:tc>
          <w:tcPr>
            <w:tcW w:w="3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CCEEFF"/>
            </w:tcBorders>
            <w:gridSpan w:val="2"/>
          </w:tcPr>
          <w:p>
            <w:pPr>
              <w:jc w:val="right"/>
              <w:ind w:right="15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benefit liability</w:t>
            </w:r>
          </w:p>
        </w:tc>
        <w:tc>
          <w:tcPr>
            <w:tcW w:w="4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tcPr>
          <w:p>
            <w:pPr>
              <w:spacing w:after="0"/>
              <w:rPr>
                <w:sz w:val="19"/>
                <w:szCs w:val="19"/>
                <w:color w:val="auto"/>
              </w:rPr>
            </w:pPr>
          </w:p>
        </w:tc>
        <w:tc>
          <w:tcPr>
            <w:tcW w:w="21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amount recognized at year end</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-3785235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-3785235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-3785235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-3785235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-3785235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-3785235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-2439035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-2439035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-2439035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-2439035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-2439035</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-2439035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-1092835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-1092835</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-1092835</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-1092835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-1092835</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-1092835</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Assumptions used to determine the benefit obligations as of January 29, 2005 and January 31, 2004 included a discount rate of 6.00% for both fiscal years. Assumptions used to determine the net periodic benefit cost for the years ended January 29, 2005 and January 31, 2004 included a discount rate of 6.00% and 6.55% for fiscal 2004 and fiscal 2003,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fiscal 2004, in addition to the Company’s existing defined contribution 401(k) plan, the Company assumed an additional defined contribution plan as a result of the Rochester Acquisition in October 2004.</w:t>
      </w:r>
    </w:p>
    <w:p>
      <w:pPr>
        <w:spacing w:after="0" w:line="12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Casual Male 401(k) plan covers all eligible employees who have completed six months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2004, the matching contribution by the Company was set at 50% of contributions by eligible employees up to a maximum of 6% of salary. The Rochester 401(k) plan is an elective plan pursuant to which participant’s contributions are voluntary and Rochester has at a minimum contributed the required 3% minimum. The Company intends to merge the 401(k) plans during fiscal 2005.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$782,112, $572,218 and $385,355 of expense under these plans in fiscal 2004, 2003 and 2002, respectively.</w:t>
      </w:r>
    </w:p>
    <w:p>
      <w:pPr>
        <w:spacing w:after="0" w:line="158" w:lineRule="exact"/>
        <w:rPr>
          <w:sz w:val="20"/>
          <w:szCs w:val="20"/>
          <w:color w:val="auto"/>
        </w:rPr>
      </w:pPr>
    </w:p>
    <w:p>
      <w:pPr>
        <w:ind w:right="5920" w:firstLine="8"/>
        <w:spacing w:after="0" w:line="422" w:lineRule="auto"/>
        <w:tabs>
          <w:tab w:leader="none" w:pos="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RESTRUCTURING CHARGES AND DISCONTINUED OPERATIONS </w:t>
      </w:r>
      <w:r>
        <w:rPr>
          <w:rFonts w:ascii="Arial" w:cs="Arial" w:eastAsia="Arial" w:hAnsi="Arial"/>
          <w:sz w:val="18"/>
          <w:szCs w:val="18"/>
          <w:u w:val="single" w:color="auto"/>
          <w:color w:val="auto"/>
        </w:rPr>
        <w:t>Restructuring Charges</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fiscal 2002, the Company implemented an aggressive plan to downsize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with the intention to eventually exit it completely. Under the plan, the Company planned to close between 50 to 55 stores over a 24 month period, thereby reducing the sales base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business to less than 10% of the Company’s total sales. At the same time, the Company also decided to exit its Candies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business, which consisted of 12 stores.</w:t>
      </w:r>
    </w:p>
    <w:p>
      <w:pPr>
        <w:spacing w:after="0" w:line="47"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In fiscal 2002, the Company closed 20 of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pursuant to this plan and an additional 25 stores in fiscal 2003. During fiscal 2004, the Company closed 26 additional stores. As discussed in Note M, in the fourth quarter of fiscal 2004, the Company sold its remaining 32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p>
      <w:pPr>
        <w:spacing w:after="0" w:line="14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connection with this plan, in fiscal 2002 the Company recorded restructuring charges totaling $33.3 million related to the closure of these stores and for certain integration costs associated with the Casual Male acquisition. Approximately $28.2 million of these costs related to the closure of the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the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and as such are included in the Company’s results from discontinued operations for fiscal 2002. The remaining $5.1 million associated with the integration costs of the acquisition are included as part of continuing operations for fiscal 2002 under “Provision for impairment of assets, store closings and severance.”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income $646,000 in fiscal 2003 as a result of excess reserves for landlord settlements. In fiscal 2004, the Company recognized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totaling $2.5 million related to the reversal of excess restructuring reserves primarily due to the sale of the remaining 32 stores. Of the total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$591,000 was recognized in the third quarter and $1.9 million in the fourth quarter. The Company recorded both reversals of $646,000 and $2.5 million in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2003 and fiscal 2004, respectively, as part of its results for discontinued operations, see “Discontinued Operations” below.</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At January 29, 2005, there were no remaining reserves related to these store closings. Below is a table showing the changes in the components of the reserves from January 31, 2004 to January 29, 2005.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82"/>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81"/>
              </w:rPr>
              <w:t>January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Balance at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Net</w:t>
            </w:r>
          </w:p>
        </w:tc>
        <w:tc>
          <w:tcPr>
            <w:tcW w:w="5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85"/>
              </w:rPr>
              <w:t>Charges/Write-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w w:val="84"/>
              </w:rPr>
              <w:t>January 31, 2004</w:t>
            </w:r>
          </w:p>
        </w:tc>
        <w:tc>
          <w:tcPr>
            <w:tcW w:w="80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rPr>
              <w:t>Provisions/(Income)</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offs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w w:val="84"/>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1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w:t>
            </w:r>
          </w:p>
        </w:tc>
        <w:tc>
          <w:tcPr>
            <w:tcW w:w="8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10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Accrued liabilities for severance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00" w:type="dxa"/>
            <w:vAlign w:val="bottom"/>
            <w:gridSpan w:val="2"/>
          </w:tcPr>
          <w:p>
            <w:pPr>
              <w:spacing w:after="0"/>
              <w:rPr>
                <w:sz w:val="20"/>
                <w:szCs w:val="20"/>
                <w:color w:val="auto"/>
              </w:rPr>
            </w:pPr>
            <w:r>
              <w:rPr>
                <w:rFonts w:ascii="Arial" w:cs="Arial" w:eastAsia="Arial" w:hAnsi="Arial"/>
                <w:sz w:val="18"/>
                <w:szCs w:val="18"/>
                <w:color w:val="auto"/>
              </w:rPr>
              <w:t>and store closings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ind w:left="82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reserves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5"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The following table summarizes the results of operations from the Company’s discontinued operations for the past three fiscal years. No tax benefit or provision was realized on discontinued operations for any of the three fiscal years. Included in discontinued operations are the results of operations for the Company’s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and fiscal 2002 also includes the results of operations for the Company’s Candie’s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which were closed at the end of fiscal 2002. Below is a summary of the results of operations for these closed stores for the past three fiscal years: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 xml:space="preserve">Fiscal 2004 </w:t>
            </w:r>
            <w:r>
              <w:rPr>
                <w:rFonts w:ascii="Arial" w:cs="Arial" w:eastAsia="Arial" w:hAnsi="Arial"/>
                <w:sz w:val="22"/>
                <w:szCs w:val="22"/>
                <w:color w:val="auto"/>
                <w:vertAlign w:val="superscript"/>
              </w:rPr>
              <w:t>(1)</w:t>
            </w:r>
          </w:p>
        </w:tc>
        <w:tc>
          <w:tcPr>
            <w:tcW w:w="1880" w:type="dxa"/>
            <w:vAlign w:val="bottom"/>
            <w:gridSpan w:val="3"/>
          </w:tcPr>
          <w:p>
            <w:pPr>
              <w:spacing w:after="0"/>
              <w:rPr>
                <w:sz w:val="20"/>
                <w:szCs w:val="20"/>
                <w:color w:val="auto"/>
              </w:rPr>
            </w:pPr>
            <w:r>
              <w:rPr>
                <w:rFonts w:ascii="Arial" w:cs="Arial" w:eastAsia="Arial" w:hAnsi="Arial"/>
                <w:sz w:val="18"/>
                <w:szCs w:val="18"/>
                <w:color w:val="auto"/>
              </w:rPr>
              <w:t xml:space="preserve">Fiscal 2003 </w:t>
            </w:r>
            <w:r>
              <w:rPr>
                <w:rFonts w:ascii="Arial" w:cs="Arial" w:eastAsia="Arial" w:hAnsi="Arial"/>
                <w:sz w:val="22"/>
                <w:szCs w:val="22"/>
                <w:color w:val="auto"/>
                <w:vertAlign w:val="superscript"/>
              </w:rPr>
              <w:t>(2)</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w w:val="88"/>
              </w:rPr>
              <w:t xml:space="preserve">Fiscal 2002 </w:t>
            </w:r>
            <w:r>
              <w:rPr>
                <w:rFonts w:ascii="Arial" w:cs="Arial" w:eastAsia="Arial" w:hAnsi="Arial"/>
                <w:sz w:val="22"/>
                <w:szCs w:val="22"/>
                <w:color w:val="auto"/>
                <w:w w:val="88"/>
                <w:vertAlign w:val="superscript"/>
              </w:rPr>
              <w:t>(3)</w:t>
            </w:r>
          </w:p>
        </w:tc>
        <w:tc>
          <w:tcPr>
            <w:tcW w:w="0" w:type="dxa"/>
            <w:vAlign w:val="bottom"/>
          </w:tcPr>
          <w:p>
            <w:pPr>
              <w:spacing w:after="0"/>
              <w:rPr>
                <w:sz w:val="1"/>
                <w:szCs w:val="1"/>
                <w:color w:val="auto"/>
              </w:rPr>
            </w:pPr>
          </w:p>
        </w:tc>
      </w:tr>
      <w:tr>
        <w:trPr>
          <w:trHeight w:val="103"/>
        </w:trPr>
        <w:tc>
          <w:tcPr>
            <w:tcW w:w="66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6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Provision (reversal) for impairment of assets, store</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2"/>
          </w:tcPr>
          <w:p>
            <w:pPr>
              <w:ind w:left="80"/>
              <w:spacing w:after="0"/>
              <w:rPr>
                <w:sz w:val="20"/>
                <w:szCs w:val="20"/>
                <w:color w:val="auto"/>
              </w:rPr>
            </w:pPr>
            <w:r>
              <w:rPr>
                <w:rFonts w:ascii="Arial" w:cs="Arial" w:eastAsia="Arial" w:hAnsi="Arial"/>
                <w:sz w:val="18"/>
                <w:szCs w:val="18"/>
                <w:color w:val="auto"/>
              </w:rPr>
              <w:t>closings and severance</w:t>
            </w:r>
          </w:p>
        </w:tc>
        <w:tc>
          <w:tcPr>
            <w:tcW w:w="360" w:type="dxa"/>
            <w:vAlign w:val="bottom"/>
          </w:tcPr>
          <w:p>
            <w:pPr>
              <w:spacing w:after="0"/>
              <w:rPr>
                <w:sz w:val="20"/>
                <w:szCs w:val="20"/>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65595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69" w:lineRule="exact"/>
        <w:rPr>
          <w:sz w:val="20"/>
          <w:szCs w:val="20"/>
          <w:color w:val="auto"/>
        </w:rPr>
      </w:pPr>
    </w:p>
    <w:p>
      <w:pPr>
        <w:ind w:left="340" w:right="220" w:hanging="332"/>
        <w:spacing w:after="0" w:line="182" w:lineRule="auto"/>
        <w:tabs>
          <w:tab w:leader="none" w:pos="340" w:val="left"/>
        </w:tabs>
        <w:numPr>
          <w:ilvl w:val="0"/>
          <w:numId w:val="25"/>
        </w:numPr>
        <w:rPr>
          <w:rFonts w:ascii="Arial" w:cs="Arial" w:eastAsia="Arial" w:hAnsi="Arial"/>
          <w:sz w:val="26"/>
          <w:szCs w:val="26"/>
          <w:color w:val="auto"/>
          <w:vertAlign w:val="superscript"/>
        </w:rPr>
      </w:pPr>
      <w:r>
        <w:rPr>
          <w:rFonts w:ascii="Arial" w:cs="Arial" w:eastAsia="Arial" w:hAnsi="Arial"/>
          <w:sz w:val="13"/>
          <w:szCs w:val="13"/>
          <w:color w:val="auto"/>
        </w:rPr>
        <w:t>Fiscal 2004 includes a gain of $1.2 million that the Company recognized in connection with the sale of 32 of its Levi’s</w:t>
      </w:r>
      <w:r>
        <w:rPr>
          <w:rFonts w:ascii="Arial" w:cs="Arial" w:eastAsia="Arial" w:hAnsi="Arial"/>
          <w:sz w:val="21"/>
          <w:szCs w:val="21"/>
          <w:color w:val="auto"/>
          <w:vertAlign w:val="superscript"/>
        </w:rPr>
        <w:t>®</w:t>
      </w:r>
      <w:r>
        <w:rPr>
          <w:rFonts w:ascii="Arial" w:cs="Arial" w:eastAsia="Arial" w:hAnsi="Arial"/>
          <w:sz w:val="13"/>
          <w:szCs w:val="13"/>
          <w:color w:val="auto"/>
        </w:rPr>
        <w:t>/Dockers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outlet stores in the fourth quarter. Results also include income of $2.5 million recognized in the second and fourth quarters as a result of the reversal of excess restructuring reserves.</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Fiscal 2003 includes income of $646,000 as a result of revised accruals for certain landlord settlements.</w:t>
      </w:r>
    </w:p>
    <w:p>
      <w:pPr>
        <w:ind w:left="340" w:right="340" w:hanging="332"/>
        <w:spacing w:after="0" w:line="189" w:lineRule="auto"/>
        <w:tabs>
          <w:tab w:leader="none" w:pos="340" w:val="left"/>
        </w:tabs>
        <w:numPr>
          <w:ilvl w:val="0"/>
          <w:numId w:val="25"/>
        </w:numPr>
        <w:rPr>
          <w:rFonts w:ascii="Arial" w:cs="Arial" w:eastAsia="Arial" w:hAnsi="Arial"/>
          <w:sz w:val="26"/>
          <w:szCs w:val="26"/>
          <w:color w:val="auto"/>
          <w:vertAlign w:val="superscript"/>
        </w:rPr>
      </w:pPr>
      <w:r>
        <w:rPr>
          <w:rFonts w:ascii="Arial" w:cs="Arial" w:eastAsia="Arial" w:hAnsi="Arial"/>
          <w:sz w:val="13"/>
          <w:szCs w:val="13"/>
          <w:color w:val="auto"/>
        </w:rPr>
        <w:t>Fiscal 2002 includes $28.2 million in charges, related to discontinued operations, recorded by the Company related to the exiting of its Levi’s</w:t>
      </w:r>
      <w:r>
        <w:rPr>
          <w:rFonts w:ascii="Arial" w:cs="Arial" w:eastAsia="Arial" w:hAnsi="Arial"/>
          <w:sz w:val="21"/>
          <w:szCs w:val="21"/>
          <w:color w:val="auto"/>
          <w:vertAlign w:val="superscript"/>
        </w:rPr>
        <w:t>®</w:t>
      </w:r>
      <w:r>
        <w:rPr>
          <w:rFonts w:ascii="Arial" w:cs="Arial" w:eastAsia="Arial" w:hAnsi="Arial"/>
          <w:sz w:val="13"/>
          <w:szCs w:val="13"/>
          <w:color w:val="auto"/>
        </w:rPr>
        <w:t>/Dockers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Candie’s</w:t>
      </w:r>
      <w:r>
        <w:rPr>
          <w:rFonts w:ascii="Arial" w:cs="Arial" w:eastAsia="Arial" w:hAnsi="Arial"/>
          <w:sz w:val="21"/>
          <w:szCs w:val="21"/>
          <w:color w:val="auto"/>
          <w:vertAlign w:val="superscript"/>
        </w:rPr>
        <w:t>®</w:t>
      </w:r>
      <w:r>
        <w:rPr>
          <w:rFonts w:ascii="Arial" w:cs="Arial" w:eastAsia="Arial" w:hAnsi="Arial"/>
          <w:sz w:val="13"/>
          <w:szCs w:val="13"/>
          <w:color w:val="auto"/>
        </w:rPr>
        <w:t xml:space="preserve"> businesses. Of the total $28.2 million, approximately $16.3 million is included in gross margin as markdown costs, the remaining $11.9 million is included in “Provision (reversal) for impairment of assets, store closings and severance.”</w:t>
      </w:r>
    </w:p>
    <w:p>
      <w:pPr>
        <w:spacing w:after="0" w:line="129"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ROCHESTER ACQUISITION</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October 29, 2004 the Company completed the acquisition of substantially all of the assets of Rochester Big &amp; Tall Clothing (the “Rochester Acquisition”). The purchase price was $15.0 million in cash and the assumption of bank and subordinated debt of approximately $5.0 million, in addition to the assumption of identified operating liabilities such as accounts payable and accrued liabilities. The $5.0 million that the Company assumed in subordinated debt from Rochester was paid in full on October 29, 2004. There is a potential payment over a three-year period of an additional $4.0 million, which is subject to an earn-out provision.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The Company has allocated the purchase price as follows:</w:t>
            </w:r>
          </w:p>
        </w:tc>
        <w:tc>
          <w:tcPr>
            <w:tcW w:w="5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8"/>
                <w:szCs w:val="18"/>
                <w:i w:val="1"/>
                <w:iCs w:val="1"/>
                <w:color w:val="auto"/>
                <w:w w:val="92"/>
              </w:rPr>
              <w:t>(in thousands)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54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780" w:type="dxa"/>
            <w:vAlign w:val="bottom"/>
            <w:gridSpan w:val="2"/>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Accounts receivable</w:t>
            </w: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Prepaid expenses</w:t>
            </w: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assets</w:t>
            </w: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Trademarks</w:t>
            </w: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Accounts payable</w:t>
            </w: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Accrual for estimated transaction and severance costs</w:t>
            </w:r>
          </w:p>
        </w:tc>
        <w:tc>
          <w:tcPr>
            <w:tcW w:w="5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assets acquired and liabilities assumed</w:t>
            </w:r>
          </w:p>
        </w:tc>
        <w:tc>
          <w:tcPr>
            <w:tcW w:w="5780" w:type="dxa"/>
            <w:vAlign w:val="bottom"/>
            <w:gridSpan w:val="2"/>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5480" w:type="dxa"/>
            <w:vAlign w:val="bottom"/>
            <w:vMerge w:val="restart"/>
          </w:tcPr>
          <w:p>
            <w:pPr>
              <w:jc w:val="right"/>
              <w:ind w:right="4452"/>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6563360</wp:posOffset>
            </wp:positionH>
            <wp:positionV relativeFrom="paragraph">
              <wp:posOffset>-325755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financed the transaction with a $7.5 million term loan from Bank of America Retail Group, Inc., together with borrowings on its existing credit facility, which was amended in connection with the acquisition. See Note C for a detailed discussion of the borrowings.</w:t>
      </w:r>
    </w:p>
    <w:p>
      <w:pPr>
        <w:spacing w:after="0" w:line="11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 OF INTEREST IN ECKO JOINT VENTURE AND MARKDOWN ALLOWANCE AGREEMENT</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Beginning in March 2002 and through July 30, 2004, the Company operated a joint venture with Ecko.Complex, LLC (“Ecko”) under which the Company, a 50.5% partner, owned and managed retail outlet stores bearing the name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featuring Ecko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merchandise. Ecko, a 49.5% partner, contributed to the joint venture the use of its trademark and the merchandise requirements, at cost, of the retail outlet stores. Under the joint venture arrangement, the Company contributed all real estate and operating requirements for the retail outlet stores, including, but not limited to, the real estate leases, payroll needs and advertising. Each partner shared in the operating profits of the joint venture, after each partner had received reimbursements for its cost contributions. For financial reporting purposes, Ecko’s 49.5% ownership in the joint venture was included in the Company’s consolidated financial statements as a minority interest, through July 30, 2004.</w:t>
      </w:r>
    </w:p>
    <w:p>
      <w:pPr>
        <w:spacing w:after="0" w:line="14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July 30, 2004, the Company sold to Ecko its 50.5% interest in the joint venture for a purchase price of $800,000 in cash and a secured promissory note in the principal amount of $6.2 million. The secured promissory note accrued interest at 8% annually and was secured by all of the membership interests of the former joint venture and substantially all of its assets. This note required Ecko to make monthly principal payments to the Company of $516,667 plus interest, commencing August 31, 2004. As of January 29, 2005, the promissory note had been paid in full. Through January 2005, the Company received fees based on a percentage of sales for providing transitional services to the joint venture related to its operating and accounting systems.</w:t>
      </w:r>
    </w:p>
    <w:p>
      <w:pPr>
        <w:spacing w:after="0" w:line="102"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Pursuant to a mark-down allowance agreement entered into on July 30, 2004, Ecko also executed and delivered an additional secured promissory note for $1.0 million as a markdown allowance with respect to purchases of certain goods made by the Company from Ecko. The secured promissory note accrued interest at 8% annually and was also secured by all of the membership interests of the former joint venture and substantially all of its assets. This note required Ecko to make monthly principal payments in the amount of $83,333 plus interest commencing August 31, 2004. As of January 29, 2005, Ecko had paid the note in full.</w:t>
      </w:r>
    </w:p>
    <w:p>
      <w:pPr>
        <w:spacing w:after="0" w:line="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above sales transaction resulted in a gain of approximately $3.1 million, which is included in the Consolidated Statements of Operations as a component of “Other income (expense)” for fiscal 2004.</w:t>
      </w:r>
    </w:p>
    <w:p>
      <w:pPr>
        <w:spacing w:after="0" w:line="118"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 OF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w:t>
      </w:r>
    </w:p>
    <w:p>
      <w:pPr>
        <w:spacing w:after="0" w:line="11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On November 24, 2004, the Company entered into an Asset Purchase Agreement with Hub Holding Corp., an affiliate of Sun Capital Partners, Inc. (“Hub Holding”), pursuant to which the Company sold 32 of its remaining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to Hub Holding. The closing of the transaction occurred on November 24, 2004. The sale price was approximately $12.8 million in cash. In addition, the Company also received $325,000 as part of an earn out payment based on the stores’ financial performance through January 31, 2005. In connection with the sale, Hub Holding assumed all outstanding accounts payable and accrued liabilities incurred in the ordinary course of business, including the remaining lease obligations for these 32 store locations. The Company recognized a gain on the sale of $1.2 million which was included in discontinued operations for the fourth quarter and fiscal year 2004. In addition, the Company recognized income of approximately $2.5 million related to the reversal of restructuring reserves no longer needed as a result of the sale. See Note J, “Discontinued Operations” for additional information.</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sale, the Company and Hub Holding also entered into a Transition Services Agreement, pursuant to which the Company agreed to provide Hub Holding and certain of its affiliates certain transitional services for a period of up to four months. All transitional services were completed as of January 29,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sale were used by the Company to reduce borrowings under its Amended Credit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Since the Casual Male acquisition in May 2002, the Company has operated its business under two reportable store segments: (i) the Big &amp; Tall Apparel business and (ii) Other Branded Apparel businesses.</w:t>
      </w:r>
    </w:p>
    <w:p>
      <w:pPr>
        <w:spacing w:after="0" w:line="118"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However, with the completion of the closure of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and the sale of its Ecko joint venture interest, the Company has completely exited all operations of its Other Branded Apparel business. As a result, beginning in fiscal 2005 the Company will report its operations as one reportable segment, Big</w:t>
      </w:r>
    </w:p>
    <w:p>
      <w:pPr>
        <w:ind w:right="4420" w:firstLine="8"/>
        <w:spacing w:after="0" w:line="471" w:lineRule="auto"/>
        <w:tabs>
          <w:tab w:leader="none" w:pos="1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Tall Men’s Apparel, which will consist of the Company’s Casual Male and Rochester businesses. At January 29, 2005, the Company’s results were reported in the following segments:</w:t>
      </w:r>
    </w:p>
    <w:p>
      <w:pPr>
        <w:spacing w:after="0" w:line="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i w:val="1"/>
          <w:iCs w:val="1"/>
          <w:color w:val="auto"/>
        </w:rPr>
        <w:t xml:space="preserve">The Big &amp; Tall Apparel business: </w:t>
      </w:r>
      <w:r>
        <w:rPr>
          <w:rFonts w:ascii="Arial" w:cs="Arial" w:eastAsia="Arial" w:hAnsi="Arial"/>
          <w:sz w:val="18"/>
          <w:szCs w:val="18"/>
          <w:color w:val="auto"/>
        </w:rPr>
        <w:t>This group includes the Company’s 415 Casual Male Big &amp; Tall retail stores, 66 Casual Male Big &amp; Tall outlet stores, 13</w:t>
      </w:r>
      <w:r>
        <w:rPr>
          <w:rFonts w:ascii="Arial" w:cs="Arial" w:eastAsia="Arial" w:hAnsi="Arial"/>
          <w:sz w:val="18"/>
          <w:szCs w:val="18"/>
          <w:i w:val="1"/>
          <w:iCs w:val="1"/>
          <w:color w:val="auto"/>
        </w:rPr>
        <w:t xml:space="preserve"> </w:t>
      </w:r>
      <w:r>
        <w:rPr>
          <w:rFonts w:ascii="Arial" w:cs="Arial" w:eastAsia="Arial" w:hAnsi="Arial"/>
          <w:sz w:val="18"/>
          <w:szCs w:val="18"/>
          <w:color w:val="auto"/>
        </w:rPr>
        <w:t>Casual Male at Sears Canada stores, and it 22 Rochester Big &amp; Tall stores in addition to its catalog and e-commerce businesses. Fiscal 2004 includes the operating results of Rochester since its acquisition on October 30, 2004. Fiscal 2002 includes the operating results of the Casual Male business since its acquisition on May 14, 2002.</w:t>
      </w:r>
    </w:p>
    <w:p>
      <w:pPr>
        <w:spacing w:after="0" w:line="130"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 Due to the completion of the closure of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during fiscal 2004, this segment excludes</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operating results for that business since all operations have been reclassed to discontinued operations for all fiscal years. See Note J for discontinued operations. Therefore, this segment includes only the results of operations through July 30, 2004 of the 29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owned and operated through a joint venture with Ecko.Complex, LLC. As discussed above in Note L, on July 30, 2004, the Company sold its 50.5% interest in the joint venture to Ecko.Complex, LLC.</w:t>
      </w:r>
    </w:p>
    <w:p>
      <w:pPr>
        <w:spacing w:after="0" w:line="144"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A above. The Company evaluates individual store profitability in terms of a store’s “Operating Profit” which is defined by the Company as gross margin less occupancy costs, direct selling costs and an allocation of indirect selling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Below are the results of operations on a segment basis for fiscal 2004, fiscal 2003 and fiscal 2002.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Fiscal 2004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i w:val="1"/>
                <w:iCs w:val="1"/>
                <w:color w:val="auto"/>
              </w:rPr>
              <w:t>Big &amp; Tall</w:t>
            </w:r>
          </w:p>
        </w:tc>
        <w:tc>
          <w:tcPr>
            <w:tcW w:w="2040" w:type="dxa"/>
            <w:vAlign w:val="bottom"/>
            <w:shd w:val="clear" w:color="auto" w:fill="CCEEFF"/>
          </w:tcPr>
          <w:p>
            <w:pPr>
              <w:jc w:val="right"/>
              <w:ind w:right="352"/>
              <w:spacing w:after="0"/>
              <w:rPr>
                <w:sz w:val="20"/>
                <w:szCs w:val="20"/>
                <w:color w:val="auto"/>
              </w:rPr>
            </w:pPr>
            <w:r>
              <w:rPr>
                <w:rFonts w:ascii="Arial" w:cs="Arial" w:eastAsia="Arial" w:hAnsi="Arial"/>
                <w:sz w:val="18"/>
                <w:szCs w:val="18"/>
                <w:i w:val="1"/>
                <w:iCs w:val="1"/>
                <w:color w:val="auto"/>
              </w:rPr>
              <w:t>Other Branded</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3560" w:type="dxa"/>
            <w:vAlign w:val="bottom"/>
            <w:tcBorders>
              <w:bottom w:val="single" w:sz="8" w:color="auto"/>
            </w:tcBorders>
            <w:gridSpan w:val="2"/>
            <w:shd w:val="clear" w:color="auto" w:fill="CCEEFF"/>
          </w:tcPr>
          <w:p>
            <w:pPr>
              <w:jc w:val="right"/>
              <w:ind w:right="292"/>
              <w:spacing w:after="0"/>
              <w:rPr>
                <w:sz w:val="20"/>
                <w:szCs w:val="20"/>
                <w:color w:val="auto"/>
              </w:rPr>
            </w:pPr>
            <w:r>
              <w:rPr>
                <w:rFonts w:ascii="Arial" w:cs="Arial" w:eastAsia="Arial" w:hAnsi="Arial"/>
                <w:sz w:val="18"/>
                <w:szCs w:val="18"/>
                <w:i w:val="1"/>
                <w:iCs w:val="1"/>
                <w:color w:val="auto"/>
              </w:rPr>
              <w:t>Apparel Business</w:t>
            </w:r>
          </w:p>
        </w:tc>
        <w:tc>
          <w:tcPr>
            <w:tcW w:w="2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i w:val="1"/>
                <w:iCs w:val="1"/>
                <w:color w:val="auto"/>
              </w:rPr>
              <w:t>Apparel Businesses</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i w:val="1"/>
                <w:iCs w:val="1"/>
                <w:color w:val="auto"/>
              </w:rPr>
              <w:t>Total</w:t>
            </w:r>
          </w:p>
        </w:tc>
      </w:tr>
      <w:tr>
        <w:trPr>
          <w:trHeight w:val="211"/>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Statement of Operations:</w:t>
            </w: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82"/>
              </w:rPr>
              <w:t>352,428</w:t>
            </w:r>
          </w:p>
        </w:tc>
        <w:tc>
          <w:tcPr>
            <w:tcW w:w="2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$12,619</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365,047</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margin</w:t>
            </w:r>
          </w:p>
        </w:tc>
        <w:tc>
          <w:tcPr>
            <w:tcW w:w="2340" w:type="dxa"/>
            <w:vAlign w:val="bottom"/>
          </w:tcPr>
          <w:p>
            <w:pPr>
              <w:spacing w:after="0"/>
              <w:rPr>
                <w:sz w:val="18"/>
                <w:szCs w:val="18"/>
                <w:color w:val="auto"/>
              </w:rPr>
            </w:pPr>
          </w:p>
        </w:tc>
        <w:tc>
          <w:tcPr>
            <w:tcW w:w="1220" w:type="dxa"/>
            <w:vAlign w:val="bottom"/>
          </w:tcPr>
          <w:p>
            <w:pPr>
              <w:jc w:val="right"/>
              <w:ind w:right="572"/>
              <w:spacing w:after="0"/>
              <w:rPr>
                <w:sz w:val="20"/>
                <w:szCs w:val="20"/>
                <w:color w:val="auto"/>
              </w:rPr>
            </w:pPr>
            <w:r>
              <w:rPr>
                <w:rFonts w:ascii="Arial" w:cs="Arial" w:eastAsia="Arial" w:hAnsi="Arial"/>
                <w:sz w:val="18"/>
                <w:szCs w:val="18"/>
                <w:color w:val="auto"/>
                <w:w w:val="82"/>
              </w:rPr>
              <w:t>146,537</w:t>
            </w:r>
          </w:p>
        </w:tc>
        <w:tc>
          <w:tcPr>
            <w:tcW w:w="2040" w:type="dxa"/>
            <w:vAlign w:val="bottom"/>
          </w:tcPr>
          <w:p>
            <w:pPr>
              <w:jc w:val="center"/>
              <w:ind w:left="192"/>
              <w:spacing w:after="0"/>
              <w:rPr>
                <w:sz w:val="20"/>
                <w:szCs w:val="20"/>
                <w:color w:val="auto"/>
              </w:rPr>
            </w:pPr>
            <w:r>
              <w:rPr>
                <w:rFonts w:ascii="Arial" w:cs="Arial" w:eastAsia="Arial" w:hAnsi="Arial"/>
                <w:sz w:val="18"/>
                <w:szCs w:val="18"/>
                <w:color w:val="auto"/>
                <w:w w:val="88"/>
              </w:rPr>
              <w:t>3,903</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150,440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82"/>
              </w:rPr>
              <w:t>127,927</w:t>
            </w:r>
          </w:p>
        </w:tc>
        <w:tc>
          <w:tcPr>
            <w:tcW w:w="20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4,627</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132,554</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1220" w:type="dxa"/>
            <w:vAlign w:val="bottom"/>
          </w:tcPr>
          <w:p>
            <w:pPr>
              <w:jc w:val="right"/>
              <w:ind w:right="572"/>
              <w:spacing w:after="0"/>
              <w:rPr>
                <w:sz w:val="20"/>
                <w:szCs w:val="20"/>
                <w:color w:val="auto"/>
              </w:rPr>
            </w:pPr>
            <w:r>
              <w:rPr>
                <w:rFonts w:ascii="Arial" w:cs="Arial" w:eastAsia="Arial" w:hAnsi="Arial"/>
                <w:sz w:val="18"/>
                <w:szCs w:val="18"/>
                <w:color w:val="auto"/>
              </w:rPr>
              <w:t>9,221</w:t>
            </w:r>
          </w:p>
        </w:tc>
        <w:tc>
          <w:tcPr>
            <w:tcW w:w="2040" w:type="dxa"/>
            <w:vAlign w:val="bottom"/>
          </w:tcPr>
          <w:p>
            <w:pPr>
              <w:jc w:val="right"/>
              <w:ind w:right="592"/>
              <w:spacing w:after="0"/>
              <w:rPr>
                <w:sz w:val="20"/>
                <w:szCs w:val="20"/>
                <w:color w:val="auto"/>
              </w:rPr>
            </w:pPr>
            <w:r>
              <w:rPr>
                <w:rFonts w:ascii="Arial" w:cs="Arial" w:eastAsia="Arial" w:hAnsi="Arial"/>
                <w:sz w:val="18"/>
                <w:szCs w:val="18"/>
                <w:color w:val="auto"/>
              </w:rPr>
              <w:t>637</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9,858</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9,389</w:t>
            </w:r>
          </w:p>
        </w:tc>
        <w:tc>
          <w:tcPr>
            <w:tcW w:w="20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1"/>
              </w:rPr>
              <w:t>(1,361)</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Balance Sheet:</w:t>
            </w: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98"/>
              </w:rPr>
              <w:t>79,858</w:t>
            </w:r>
          </w:p>
        </w:tc>
        <w:tc>
          <w:tcPr>
            <w:tcW w:w="204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79,858</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Fixed assets</w:t>
            </w:r>
          </w:p>
        </w:tc>
        <w:tc>
          <w:tcPr>
            <w:tcW w:w="3560" w:type="dxa"/>
            <w:vAlign w:val="bottom"/>
            <w:gridSpan w:val="2"/>
          </w:tcPr>
          <w:p>
            <w:pPr>
              <w:jc w:val="right"/>
              <w:ind w:right="472"/>
              <w:spacing w:after="0" w:line="217" w:lineRule="exact"/>
              <w:rPr>
                <w:sz w:val="20"/>
                <w:szCs w:val="20"/>
                <w:color w:val="auto"/>
              </w:rPr>
            </w:pPr>
            <w:r>
              <w:rPr>
                <w:rFonts w:ascii="Arial" w:cs="Arial" w:eastAsia="Arial" w:hAnsi="Arial"/>
                <w:sz w:val="18"/>
                <w:szCs w:val="18"/>
                <w:color w:val="auto"/>
              </w:rPr>
              <w:t xml:space="preserve">74,651 </w:t>
            </w:r>
            <w:r>
              <w:rPr>
                <w:rFonts w:ascii="Arial" w:cs="Arial" w:eastAsia="Arial" w:hAnsi="Arial"/>
                <w:sz w:val="22"/>
                <w:szCs w:val="22"/>
                <w:color w:val="auto"/>
                <w:vertAlign w:val="superscript"/>
              </w:rPr>
              <w:t>(1)</w:t>
            </w:r>
          </w:p>
        </w:tc>
        <w:tc>
          <w:tcPr>
            <w:tcW w:w="204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74,651</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98"/>
              </w:rPr>
              <w:t>87,893</w:t>
            </w:r>
          </w:p>
        </w:tc>
        <w:tc>
          <w:tcPr>
            <w:tcW w:w="204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87,893</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3560" w:type="dxa"/>
            <w:vAlign w:val="bottom"/>
            <w:gridSpan w:val="2"/>
          </w:tcPr>
          <w:p>
            <w:pPr>
              <w:jc w:val="right"/>
              <w:ind w:right="472"/>
              <w:spacing w:after="0" w:line="217" w:lineRule="exact"/>
              <w:rPr>
                <w:sz w:val="20"/>
                <w:szCs w:val="20"/>
                <w:color w:val="auto"/>
              </w:rPr>
            </w:pPr>
            <w:r>
              <w:rPr>
                <w:rFonts w:ascii="Arial" w:cs="Arial" w:eastAsia="Arial" w:hAnsi="Arial"/>
                <w:sz w:val="18"/>
                <w:szCs w:val="18"/>
                <w:color w:val="auto"/>
              </w:rPr>
              <w:t xml:space="preserve">27,110 </w:t>
            </w:r>
            <w:r>
              <w:rPr>
                <w:rFonts w:ascii="Arial" w:cs="Arial" w:eastAsia="Arial" w:hAnsi="Arial"/>
                <w:sz w:val="22"/>
                <w:szCs w:val="22"/>
                <w:color w:val="auto"/>
                <w:vertAlign w:val="superscript"/>
              </w:rPr>
              <w:t>(2)</w:t>
            </w:r>
          </w:p>
        </w:tc>
        <w:tc>
          <w:tcPr>
            <w:tcW w:w="204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27,110</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98"/>
              </w:rPr>
              <w:t>20,637</w:t>
            </w:r>
          </w:p>
        </w:tc>
        <w:tc>
          <w:tcPr>
            <w:tcW w:w="204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20,637</w:t>
            </w:r>
          </w:p>
        </w:tc>
      </w:tr>
    </w:tbl>
    <w:p>
      <w:pPr>
        <w:spacing w:after="0" w:line="5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corporate assets of $43.1 million.</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corporate non-merchandise payables of $9.4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Fiscal 2003</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92"/>
              <w:spacing w:after="0"/>
              <w:rPr>
                <w:sz w:val="20"/>
                <w:szCs w:val="20"/>
                <w:color w:val="auto"/>
              </w:rPr>
            </w:pPr>
            <w:r>
              <w:rPr>
                <w:rFonts w:ascii="Arial" w:cs="Arial" w:eastAsia="Arial" w:hAnsi="Arial"/>
                <w:sz w:val="18"/>
                <w:szCs w:val="18"/>
                <w:i w:val="1"/>
                <w:iCs w:val="1"/>
                <w:color w:val="auto"/>
              </w:rPr>
              <w:t>Big &amp; Tall</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32"/>
              <w:spacing w:after="0"/>
              <w:rPr>
                <w:sz w:val="20"/>
                <w:szCs w:val="20"/>
                <w:color w:val="auto"/>
              </w:rPr>
            </w:pPr>
            <w:r>
              <w:rPr>
                <w:rFonts w:ascii="Arial" w:cs="Arial" w:eastAsia="Arial" w:hAnsi="Arial"/>
                <w:sz w:val="18"/>
                <w:szCs w:val="18"/>
                <w:i w:val="1"/>
                <w:iCs w:val="1"/>
                <w:color w:val="auto"/>
              </w:rPr>
              <w:t>Other Branded</w:t>
            </w:r>
          </w:p>
        </w:tc>
        <w:tc>
          <w:tcPr>
            <w:tcW w:w="22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ind w:left="120"/>
              <w:spacing w:after="0"/>
              <w:rPr>
                <w:sz w:val="20"/>
                <w:szCs w:val="20"/>
                <w:color w:val="auto"/>
              </w:rPr>
            </w:pPr>
            <w:r>
              <w:rPr>
                <w:rFonts w:ascii="Arial" w:cs="Arial" w:eastAsia="Arial" w:hAnsi="Arial"/>
                <w:sz w:val="18"/>
                <w:szCs w:val="18"/>
                <w:i w:val="1"/>
                <w:iCs w:val="1"/>
                <w:color w:val="auto"/>
              </w:rPr>
              <w:t>Discontinued</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i w:val="1"/>
                <w:iCs w:val="1"/>
                <w:color w:val="auto"/>
                <w:w w:val="95"/>
              </w:rPr>
              <w:t>Apparel Business</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i w:val="1"/>
                <w:iCs w:val="1"/>
                <w:color w:val="auto"/>
                <w:w w:val="94"/>
              </w:rPr>
              <w:t>Apparel Businesses</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3"/>
            <w:shd w:val="clear" w:color="auto" w:fill="CCEEFF"/>
          </w:tcPr>
          <w:p>
            <w:pPr>
              <w:ind w:left="100"/>
              <w:spacing w:after="0" w:line="224" w:lineRule="exact"/>
              <w:rPr>
                <w:sz w:val="20"/>
                <w:szCs w:val="20"/>
                <w:color w:val="auto"/>
              </w:rPr>
            </w:pPr>
            <w:r>
              <w:rPr>
                <w:rFonts w:ascii="Arial" w:cs="Arial" w:eastAsia="Arial" w:hAnsi="Arial"/>
                <w:sz w:val="18"/>
                <w:szCs w:val="18"/>
                <w:i w:val="1"/>
                <w:iCs w:val="1"/>
                <w:color w:val="auto"/>
              </w:rPr>
              <w:t xml:space="preserve">Operations </w:t>
            </w:r>
            <w:r>
              <w:rPr>
                <w:rFonts w:ascii="Arial" w:cs="Arial" w:eastAsia="Arial" w:hAnsi="Arial"/>
                <w:sz w:val="22"/>
                <w:szCs w:val="22"/>
                <w:i w:val="1"/>
                <w:iCs w:val="1"/>
                <w:color w:val="auto"/>
                <w:vertAlign w:val="superscript"/>
              </w:rPr>
              <w:t>(3)</w:t>
            </w:r>
          </w:p>
        </w:tc>
        <w:tc>
          <w:tcPr>
            <w:tcW w:w="7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i w:val="1"/>
                <w:i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Statement of Operations: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5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$319,209</w:t>
            </w:r>
          </w:p>
        </w:tc>
        <w:tc>
          <w:tcPr>
            <w:tcW w:w="19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$ 20,096</w:t>
            </w:r>
          </w:p>
        </w:tc>
        <w:tc>
          <w:tcPr>
            <w:tcW w:w="1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Gross margin</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132,525</w:t>
            </w:r>
          </w:p>
        </w:tc>
        <w:tc>
          <w:tcPr>
            <w:tcW w:w="1900" w:type="dxa"/>
            <w:vAlign w:val="bottom"/>
            <w:gridSpan w:val="2"/>
          </w:tcPr>
          <w:p>
            <w:pPr>
              <w:jc w:val="right"/>
              <w:ind w:right="432"/>
              <w:spacing w:after="0"/>
              <w:rPr>
                <w:sz w:val="20"/>
                <w:szCs w:val="20"/>
                <w:color w:val="auto"/>
              </w:rPr>
            </w:pPr>
            <w:r>
              <w:rPr>
                <w:rFonts w:ascii="Arial" w:cs="Arial" w:eastAsia="Arial" w:hAnsi="Arial"/>
                <w:sz w:val="18"/>
                <w:szCs w:val="18"/>
                <w:color w:val="auto"/>
              </w:rPr>
              <w:t>7,651</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109,326</w:t>
            </w:r>
          </w:p>
        </w:tc>
        <w:tc>
          <w:tcPr>
            <w:tcW w:w="19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6,244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6,706</w:t>
            </w:r>
          </w:p>
        </w:tc>
        <w:tc>
          <w:tcPr>
            <w:tcW w:w="1900" w:type="dxa"/>
            <w:vAlign w:val="bottom"/>
            <w:gridSpan w:val="2"/>
          </w:tcPr>
          <w:p>
            <w:pPr>
              <w:jc w:val="right"/>
              <w:ind w:right="432"/>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5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16,493</w:t>
            </w:r>
          </w:p>
        </w:tc>
        <w:tc>
          <w:tcPr>
            <w:tcW w:w="19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i w:val="1"/>
                <w:iCs w:val="1"/>
                <w:color w:val="auto"/>
              </w:rPr>
              <w:t>Balance Sheet:</w:t>
            </w:r>
          </w:p>
        </w:tc>
        <w:tc>
          <w:tcPr>
            <w:tcW w:w="23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Inventory</w:t>
            </w:r>
          </w:p>
        </w:tc>
        <w:tc>
          <w:tcPr>
            <w:tcW w:w="2320" w:type="dxa"/>
            <w:vAlign w:val="bottom"/>
          </w:tcPr>
          <w:p>
            <w:pPr>
              <w:jc w:val="right"/>
              <w:spacing w:after="0"/>
              <w:rPr>
                <w:sz w:val="20"/>
                <w:szCs w:val="20"/>
                <w:color w:val="auto"/>
              </w:rPr>
            </w:pPr>
            <w:r>
              <w:rPr>
                <w:rFonts w:ascii="Arial" w:cs="Arial" w:eastAsia="Arial" w:hAnsi="Arial"/>
                <w:sz w:val="18"/>
                <w:szCs w:val="18"/>
                <w:color w:val="auto"/>
              </w:rPr>
              <w:t>$ 67,533</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Fixed assets</w:t>
            </w:r>
          </w:p>
        </w:tc>
        <w:tc>
          <w:tcPr>
            <w:tcW w:w="2320" w:type="dxa"/>
            <w:vAlign w:val="bottom"/>
          </w:tcPr>
          <w:p>
            <w:pPr>
              <w:jc w:val="right"/>
              <w:ind w:right="12"/>
              <w:spacing w:after="0"/>
              <w:rPr>
                <w:sz w:val="20"/>
                <w:szCs w:val="20"/>
                <w:color w:val="auto"/>
              </w:rPr>
            </w:pPr>
            <w:r>
              <w:rPr>
                <w:rFonts w:ascii="Arial" w:cs="Arial" w:eastAsia="Arial" w:hAnsi="Arial"/>
                <w:sz w:val="18"/>
                <w:szCs w:val="18"/>
                <w:color w:val="auto"/>
              </w:rPr>
              <w:t>61,047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320" w:type="dxa"/>
            <w:vAlign w:val="bottom"/>
          </w:tcPr>
          <w:p>
            <w:pPr>
              <w:jc w:val="right"/>
              <w:spacing w:after="0"/>
              <w:rPr>
                <w:sz w:val="20"/>
                <w:szCs w:val="20"/>
                <w:color w:val="auto"/>
              </w:rPr>
            </w:pPr>
            <w:r>
              <w:rPr>
                <w:rFonts w:ascii="Arial" w:cs="Arial" w:eastAsia="Arial" w:hAnsi="Arial"/>
                <w:sz w:val="18"/>
                <w:szCs w:val="18"/>
                <w:color w:val="auto"/>
              </w:rPr>
              <w:t>81,306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320" w:type="dxa"/>
            <w:vAlign w:val="bottom"/>
          </w:tcPr>
          <w:p>
            <w:pPr>
              <w:jc w:val="right"/>
              <w:spacing w:after="0"/>
              <w:rPr>
                <w:sz w:val="20"/>
                <w:szCs w:val="20"/>
                <w:color w:val="auto"/>
              </w:rPr>
            </w:pPr>
            <w:r>
              <w:rPr>
                <w:rFonts w:ascii="Arial" w:cs="Arial" w:eastAsia="Arial" w:hAnsi="Arial"/>
                <w:sz w:val="18"/>
                <w:szCs w:val="18"/>
                <w:color w:val="auto"/>
              </w:rPr>
              <w:t>23,935</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Capital expenditures</w:t>
            </w:r>
          </w:p>
        </w:tc>
        <w:tc>
          <w:tcPr>
            <w:tcW w:w="2320" w:type="dxa"/>
            <w:vAlign w:val="bottom"/>
          </w:tcPr>
          <w:p>
            <w:pPr>
              <w:jc w:val="right"/>
              <w:spacing w:after="0"/>
              <w:rPr>
                <w:sz w:val="20"/>
                <w:szCs w:val="20"/>
                <w:color w:val="auto"/>
              </w:rPr>
            </w:pPr>
            <w:r>
              <w:rPr>
                <w:rFonts w:ascii="Arial" w:cs="Arial" w:eastAsia="Arial" w:hAnsi="Arial"/>
                <w:sz w:val="18"/>
                <w:szCs w:val="18"/>
                <w:color w:val="auto"/>
              </w:rPr>
              <w:t>8,452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jc w:val="right"/>
        <w:ind w:right="200"/>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w w:val="98"/>
              </w:rPr>
              <w:t>$  5,821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$ 25,319</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98,673</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4,399</w:t>
            </w:r>
          </w:p>
        </w:tc>
        <w:tc>
          <w:tcPr>
            <w:tcW w:w="1400" w:type="dxa"/>
            <w:vAlign w:val="bottom"/>
          </w:tcPr>
          <w:p>
            <w:pPr>
              <w:jc w:val="center"/>
              <w:ind w:left="432"/>
              <w:spacing w:after="0"/>
              <w:rPr>
                <w:sz w:val="20"/>
                <w:szCs w:val="20"/>
                <w:color w:val="auto"/>
              </w:rPr>
            </w:pPr>
            <w:r>
              <w:rPr>
                <w:rFonts w:ascii="Arial" w:cs="Arial" w:eastAsia="Arial" w:hAnsi="Arial"/>
                <w:sz w:val="18"/>
                <w:szCs w:val="18"/>
                <w:color w:val="auto"/>
                <w:w w:val="88"/>
              </w:rPr>
              <w:t>2,899</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68,345</w:t>
            </w:r>
          </w:p>
        </w:tc>
      </w:tr>
      <w:tr>
        <w:trPr>
          <w:trHeight w:val="216"/>
        </w:trPr>
        <w:tc>
          <w:tcPr>
            <w:tcW w:w="116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41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81,306</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3,308</w:t>
            </w:r>
          </w:p>
        </w:tc>
        <w:tc>
          <w:tcPr>
            <w:tcW w:w="1400" w:type="dxa"/>
            <w:vAlign w:val="bottom"/>
          </w:tcPr>
          <w:p>
            <w:pPr>
              <w:jc w:val="center"/>
              <w:ind w:left="432"/>
              <w:spacing w:after="0"/>
              <w:rPr>
                <w:sz w:val="20"/>
                <w:szCs w:val="20"/>
                <w:color w:val="auto"/>
              </w:rPr>
            </w:pPr>
            <w:r>
              <w:rPr>
                <w:rFonts w:ascii="Arial" w:cs="Arial" w:eastAsia="Arial" w:hAnsi="Arial"/>
                <w:sz w:val="18"/>
                <w:szCs w:val="18"/>
                <w:color w:val="auto"/>
                <w:w w:val="88"/>
              </w:rPr>
              <w:t>4,882</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32,125</w:t>
            </w:r>
          </w:p>
        </w:tc>
      </w:tr>
      <w:tr>
        <w:trPr>
          <w:trHeight w:val="222"/>
        </w:trPr>
        <w:tc>
          <w:tcPr>
            <w:tcW w:w="1160" w:type="dxa"/>
            <w:vAlign w:val="bottom"/>
          </w:tcPr>
          <w:p>
            <w:pPr>
              <w:jc w:val="right"/>
              <w:ind w:right="412"/>
              <w:spacing w:after="0"/>
              <w:rPr>
                <w:sz w:val="20"/>
                <w:szCs w:val="20"/>
                <w:color w:val="auto"/>
              </w:rPr>
            </w:pPr>
            <w:r>
              <w:rPr>
                <w:rFonts w:ascii="Arial" w:cs="Arial" w:eastAsia="Arial" w:hAnsi="Arial"/>
                <w:sz w:val="18"/>
                <w:szCs w:val="18"/>
                <w:color w:val="auto"/>
              </w:rPr>
              <w:t>3,868</w:t>
            </w:r>
          </w:p>
        </w:tc>
        <w:tc>
          <w:tcPr>
            <w:tcW w:w="1400" w:type="dxa"/>
            <w:vAlign w:val="bottom"/>
          </w:tcPr>
          <w:p>
            <w:pPr>
              <w:jc w:val="center"/>
              <w:ind w:left="41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12,320</w:t>
            </w:r>
          </w:p>
        </w:tc>
      </w:tr>
    </w:tbl>
    <w:p>
      <w:pPr>
        <w:spacing w:after="0" w:line="1" w:lineRule="exact"/>
        <w:rPr>
          <w:sz w:val="20"/>
          <w:szCs w:val="20"/>
          <w:color w:val="auto"/>
        </w:rPr>
      </w:pPr>
    </w:p>
    <w:p>
      <w:pPr>
        <w:sectPr>
          <w:pgSz w:w="11900" w:h="16838" w:orient="portrait"/>
          <w:cols w:equalWidth="0" w:num="3">
            <w:col w:w="6540" w:space="60"/>
            <w:col w:w="360" w:space="720"/>
            <w:col w:w="3740"/>
          </w:cols>
          <w:pgMar w:left="240" w:top="459" w:right="239" w:bottom="1440" w:gutter="0" w:footer="0" w:header="0"/>
          <w:type w:val="continuous"/>
        </w:sectPr>
      </w:pPr>
    </w:p>
    <w:p>
      <w:pPr>
        <w:ind w:left="340" w:hanging="332"/>
        <w:spacing w:after="0" w:line="190" w:lineRule="auto"/>
        <w:tabs>
          <w:tab w:leader="none" w:pos="340" w:val="left"/>
        </w:tabs>
        <w:numPr>
          <w:ilvl w:val="0"/>
          <w:numId w:val="32"/>
        </w:numPr>
        <w:rPr>
          <w:rFonts w:ascii="Arial" w:cs="Arial" w:eastAsia="Arial" w:hAnsi="Arial"/>
          <w:sz w:val="27"/>
          <w:szCs w:val="27"/>
          <w:color w:val="auto"/>
          <w:vertAlign w:val="superscript"/>
        </w:rPr>
      </w:pPr>
      <w:r>
        <w:rPr>
          <w:rFonts w:ascii="Arial" w:cs="Arial" w:eastAsia="Arial" w:hAnsi="Arial"/>
          <w:sz w:val="14"/>
          <w:szCs w:val="14"/>
          <w:color w:val="auto"/>
        </w:rPr>
        <w:t>Balances represent assets and liabilities as of January 31, 2004 for the Company’s discontinued Levi’s</w:t>
      </w:r>
      <w:r>
        <w:rPr>
          <w:rFonts w:ascii="Arial" w:cs="Arial" w:eastAsia="Arial" w:hAnsi="Arial"/>
          <w:sz w:val="22"/>
          <w:szCs w:val="22"/>
          <w:color w:val="auto"/>
          <w:vertAlign w:val="superscript"/>
        </w:rPr>
        <w:t>®</w:t>
      </w:r>
      <w:r>
        <w:rPr>
          <w:rFonts w:ascii="Arial" w:cs="Arial" w:eastAsia="Arial" w:hAnsi="Arial"/>
          <w:sz w:val="14"/>
          <w:szCs w:val="14"/>
          <w:color w:val="auto"/>
        </w:rPr>
        <w:t>/Dockers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outlet business.</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corporate assets of $39.6 million.</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corporate non-merchandise payables of $6.3 million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Fiscal 2002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i w:val="1"/>
                <w:iCs w:val="1"/>
                <w:color w:val="auto"/>
              </w:rPr>
              <w:t>Big &amp; Tall</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232"/>
              <w:spacing w:after="0"/>
              <w:rPr>
                <w:sz w:val="20"/>
                <w:szCs w:val="20"/>
                <w:color w:val="auto"/>
              </w:rPr>
            </w:pPr>
            <w:r>
              <w:rPr>
                <w:rFonts w:ascii="Arial" w:cs="Arial" w:eastAsia="Arial" w:hAnsi="Arial"/>
                <w:sz w:val="18"/>
                <w:szCs w:val="18"/>
                <w:i w:val="1"/>
                <w:iCs w:val="1"/>
                <w:color w:val="auto"/>
              </w:rPr>
              <w:t>Other Branded</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Discontinued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Borders>
              <w:bottom w:val="single" w:sz="8" w:color="auto"/>
            </w:tcBorders>
            <w:gridSpan w:val="2"/>
            <w:shd w:val="clear" w:color="auto" w:fill="CCEEFF"/>
          </w:tcPr>
          <w:p>
            <w:pPr>
              <w:jc w:val="right"/>
              <w:ind w:right="92"/>
              <w:spacing w:after="0" w:line="224" w:lineRule="exact"/>
              <w:rPr>
                <w:sz w:val="20"/>
                <w:szCs w:val="20"/>
                <w:color w:val="auto"/>
              </w:rPr>
            </w:pPr>
            <w:r>
              <w:rPr>
                <w:rFonts w:ascii="Arial" w:cs="Arial" w:eastAsia="Arial" w:hAnsi="Arial"/>
                <w:sz w:val="18"/>
                <w:szCs w:val="18"/>
                <w:i w:val="1"/>
                <w:iCs w:val="1"/>
                <w:color w:val="auto"/>
                <w:w w:val="94"/>
              </w:rPr>
              <w:t xml:space="preserve">Apparel Business </w:t>
            </w:r>
            <w:r>
              <w:rPr>
                <w:rFonts w:ascii="Arial" w:cs="Arial" w:eastAsia="Arial" w:hAnsi="Arial"/>
                <w:sz w:val="22"/>
                <w:szCs w:val="22"/>
                <w:i w:val="1"/>
                <w:iCs w:val="1"/>
                <w:color w:val="auto"/>
                <w:w w:val="94"/>
                <w:vertAlign w:val="superscript"/>
              </w:rPr>
              <w:t>(6)</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i w:val="1"/>
                <w:iCs w:val="1"/>
                <w:color w:val="auto"/>
                <w:w w:val="95"/>
              </w:rPr>
              <w:t>Apparel Businesses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spacing w:after="0" w:line="224" w:lineRule="exact"/>
              <w:rPr>
                <w:sz w:val="20"/>
                <w:szCs w:val="20"/>
                <w:color w:val="auto"/>
              </w:rPr>
            </w:pPr>
            <w:r>
              <w:rPr>
                <w:rFonts w:ascii="Arial" w:cs="Arial" w:eastAsia="Arial" w:hAnsi="Arial"/>
                <w:sz w:val="18"/>
                <w:szCs w:val="18"/>
                <w:i w:val="1"/>
                <w:iCs w:val="1"/>
                <w:color w:val="auto"/>
                <w:w w:val="86"/>
              </w:rPr>
              <w:t xml:space="preserve">Operations </w:t>
            </w:r>
            <w:r>
              <w:rPr>
                <w:rFonts w:ascii="Arial" w:cs="Arial" w:eastAsia="Arial" w:hAnsi="Arial"/>
                <w:sz w:val="22"/>
                <w:szCs w:val="22"/>
                <w:i w:val="1"/>
                <w:iCs w:val="1"/>
                <w:color w:val="auto"/>
                <w:w w:val="86"/>
                <w:vertAlign w:val="superscript"/>
              </w:rPr>
              <w:t>(7)</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i w:val="1"/>
                <w:i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i w:val="1"/>
                <w:iCs w:val="1"/>
                <w:color w:val="auto"/>
              </w:rPr>
              <w:t>Statement of Operations:</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6"/>
              </w:rPr>
              <w:t>242,677</w:t>
            </w:r>
          </w:p>
        </w:tc>
        <w:tc>
          <w:tcPr>
            <w:tcW w:w="18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$4,932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w w:val="86"/>
              </w:rPr>
              <w:t>102,703</w:t>
            </w:r>
          </w:p>
        </w:tc>
        <w:tc>
          <w:tcPr>
            <w:tcW w:w="1800" w:type="dxa"/>
            <w:vAlign w:val="bottom"/>
            <w:gridSpan w:val="2"/>
          </w:tcPr>
          <w:p>
            <w:pPr>
              <w:jc w:val="right"/>
              <w:ind w:right="512"/>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79,068</w:t>
            </w:r>
          </w:p>
        </w:tc>
        <w:tc>
          <w:tcPr>
            <w:tcW w:w="1800" w:type="dxa"/>
            <w:vAlign w:val="bottom"/>
            <w:gridSpan w:val="2"/>
          </w:tcPr>
          <w:p>
            <w:pPr>
              <w:jc w:val="right"/>
              <w:ind w:right="512"/>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Provision for impairment of assets, store closings and severance </w:t>
            </w:r>
            <w:r>
              <w:rPr>
                <w:rFonts w:ascii="Arial" w:cs="Arial" w:eastAsia="Arial" w:hAnsi="Arial"/>
                <w:sz w:val="22"/>
                <w:szCs w:val="22"/>
                <w:color w:val="auto"/>
                <w:vertAlign w:val="superscript"/>
              </w:rPr>
              <w:t>(8)</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color w:val="auto"/>
              </w:rPr>
              <w:t>6,007</w:t>
            </w:r>
          </w:p>
        </w:tc>
        <w:tc>
          <w:tcPr>
            <w:tcW w:w="1800" w:type="dxa"/>
            <w:vAlign w:val="bottom"/>
            <w:gridSpan w:val="2"/>
          </w:tcPr>
          <w:p>
            <w:pPr>
              <w:jc w:val="right"/>
              <w:ind w:right="5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94"/>
              </w:rPr>
              <w:t>12,575</w:t>
            </w:r>
          </w:p>
        </w:tc>
        <w:tc>
          <w:tcPr>
            <w:tcW w:w="18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80" w:type="dxa"/>
            <w:vAlign w:val="bottom"/>
            <w:gridSpan w:val="2"/>
          </w:tcPr>
          <w:p>
            <w:pPr>
              <w:spacing w:after="0"/>
              <w:rPr>
                <w:sz w:val="20"/>
                <w:szCs w:val="20"/>
                <w:color w:val="auto"/>
              </w:rPr>
            </w:pPr>
            <w:r>
              <w:rPr>
                <w:rFonts w:ascii="Arial" w:cs="Arial" w:eastAsia="Arial" w:hAnsi="Arial"/>
                <w:sz w:val="18"/>
                <w:szCs w:val="18"/>
                <w:i w:val="1"/>
                <w:iCs w:val="1"/>
                <w:color w:val="auto"/>
              </w:rPr>
              <w:t>Balance Sheet:</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62,307</w:t>
            </w:r>
          </w:p>
        </w:tc>
        <w:tc>
          <w:tcPr>
            <w:tcW w:w="18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$1,290</w:t>
            </w:r>
          </w:p>
        </w:tc>
        <w:tc>
          <w:tcPr>
            <w:tcW w:w="13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6"/>
              </w:rPr>
              <w:t>$39,625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Fixed assets</w:t>
            </w:r>
          </w:p>
        </w:tc>
        <w:tc>
          <w:tcPr>
            <w:tcW w:w="62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color w:val="auto"/>
                <w:w w:val="94"/>
              </w:rPr>
              <w:t>55,985</w:t>
            </w:r>
          </w:p>
        </w:tc>
        <w:tc>
          <w:tcPr>
            <w:tcW w:w="1800" w:type="dxa"/>
            <w:vAlign w:val="bottom"/>
            <w:gridSpan w:val="2"/>
          </w:tcPr>
          <w:p>
            <w:pPr>
              <w:jc w:val="right"/>
              <w:ind w:right="512"/>
              <w:spacing w:after="0"/>
              <w:rPr>
                <w:sz w:val="20"/>
                <w:szCs w:val="20"/>
                <w:color w:val="auto"/>
              </w:rPr>
            </w:pPr>
            <w:r>
              <w:rPr>
                <w:rFonts w:ascii="Arial" w:cs="Arial" w:eastAsia="Arial" w:hAnsi="Arial"/>
                <w:sz w:val="18"/>
                <w:szCs w:val="18"/>
                <w:color w:val="auto"/>
              </w:rPr>
              <w:t>1,429</w:t>
            </w:r>
          </w:p>
        </w:tc>
        <w:tc>
          <w:tcPr>
            <w:tcW w:w="132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6,648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94"/>
              </w:rPr>
              <w:t>81,427</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Trade accounts payable</w:t>
            </w:r>
          </w:p>
        </w:tc>
        <w:tc>
          <w:tcPr>
            <w:tcW w:w="62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Arial" w:cs="Arial" w:eastAsia="Arial" w:hAnsi="Arial"/>
                <w:sz w:val="18"/>
                <w:szCs w:val="18"/>
                <w:color w:val="auto"/>
                <w:w w:val="94"/>
              </w:rPr>
              <w:t>25,614</w:t>
            </w:r>
          </w:p>
        </w:tc>
        <w:tc>
          <w:tcPr>
            <w:tcW w:w="1800" w:type="dxa"/>
            <w:vAlign w:val="bottom"/>
            <w:gridSpan w:val="2"/>
          </w:tcPr>
          <w:p>
            <w:pPr>
              <w:jc w:val="right"/>
              <w:ind w:right="512"/>
              <w:spacing w:after="0"/>
              <w:rPr>
                <w:sz w:val="20"/>
                <w:szCs w:val="20"/>
                <w:color w:val="auto"/>
              </w:rPr>
            </w:pPr>
            <w:r>
              <w:rPr>
                <w:rFonts w:ascii="Arial" w:cs="Arial" w:eastAsia="Arial" w:hAnsi="Arial"/>
                <w:sz w:val="18"/>
                <w:szCs w:val="18"/>
                <w:color w:val="auto"/>
              </w:rPr>
              <w:t>877</w:t>
            </w:r>
          </w:p>
        </w:tc>
        <w:tc>
          <w:tcPr>
            <w:tcW w:w="1320" w:type="dxa"/>
            <w:vAlign w:val="bottom"/>
            <w:gridSpan w:val="2"/>
          </w:tcPr>
          <w:p>
            <w:pPr>
              <w:jc w:val="center"/>
              <w:ind w:left="212"/>
              <w:spacing w:after="0"/>
              <w:rPr>
                <w:sz w:val="20"/>
                <w:szCs w:val="20"/>
                <w:color w:val="auto"/>
              </w:rPr>
            </w:pPr>
            <w:r>
              <w:rPr>
                <w:rFonts w:ascii="Arial" w:cs="Arial" w:eastAsia="Arial" w:hAnsi="Arial"/>
                <w:sz w:val="18"/>
                <w:szCs w:val="18"/>
                <w:color w:val="auto"/>
                <w:w w:val="84"/>
              </w:rPr>
              <w:t>7,411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8,114</w:t>
            </w:r>
          </w:p>
        </w:tc>
        <w:tc>
          <w:tcPr>
            <w:tcW w:w="180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4,358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16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results for the Big &amp; Tall Apparel business include the results for the Company’s Casual Male business from May 2002, the date of acquisition. Pro forma results for the Big &amp; Tall Apparel business assuming the acquisition had occurred on February 3, 2002 would have been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Sales</w:t>
            </w:r>
          </w:p>
        </w:tc>
        <w:tc>
          <w:tcPr>
            <w:tcW w:w="456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140,100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3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780" w:type="dxa"/>
            <w:vAlign w:val="bottom"/>
          </w:tcPr>
          <w:p>
            <w:pPr>
              <w:spacing w:after="0"/>
              <w:rPr>
                <w:sz w:val="7"/>
                <w:szCs w:val="7"/>
                <w:color w:val="auto"/>
              </w:rPr>
            </w:pPr>
          </w:p>
        </w:tc>
        <w:tc>
          <w:tcPr>
            <w:tcW w:w="39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profit</w:t>
            </w:r>
          </w:p>
        </w:tc>
        <w:tc>
          <w:tcPr>
            <w:tcW w:w="45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188" w:lineRule="auto"/>
        <w:tabs>
          <w:tab w:leader="none" w:pos="340" w:val="left"/>
        </w:tabs>
        <w:numPr>
          <w:ilvl w:val="0"/>
          <w:numId w:val="34"/>
        </w:numPr>
        <w:rPr>
          <w:rFonts w:ascii="Arial" w:cs="Arial" w:eastAsia="Arial" w:hAnsi="Arial"/>
          <w:sz w:val="27"/>
          <w:szCs w:val="27"/>
          <w:color w:val="auto"/>
          <w:vertAlign w:val="superscript"/>
        </w:rPr>
      </w:pPr>
      <w:r>
        <w:rPr>
          <w:rFonts w:ascii="Arial" w:cs="Arial" w:eastAsia="Arial" w:hAnsi="Arial"/>
          <w:sz w:val="14"/>
          <w:szCs w:val="14"/>
          <w:color w:val="auto"/>
        </w:rPr>
        <w:t>Balances represent assets and liabilities as of February 1, 2003 for the Company’s discontinued Levi’s</w:t>
      </w:r>
      <w:r>
        <w:rPr>
          <w:rFonts w:ascii="Arial" w:cs="Arial" w:eastAsia="Arial" w:hAnsi="Arial"/>
          <w:sz w:val="22"/>
          <w:szCs w:val="22"/>
          <w:color w:val="auto"/>
          <w:vertAlign w:val="superscript"/>
        </w:rPr>
        <w:t>®</w:t>
      </w:r>
      <w:r>
        <w:rPr>
          <w:rFonts w:ascii="Arial" w:cs="Arial" w:eastAsia="Arial" w:hAnsi="Arial"/>
          <w:sz w:val="14"/>
          <w:szCs w:val="14"/>
          <w:color w:val="auto"/>
        </w:rPr>
        <w:t>/Dockers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outlet business.</w:t>
      </w:r>
    </w:p>
    <w:p>
      <w:pPr>
        <w:spacing w:after="0" w:line="1" w:lineRule="exact"/>
        <w:rPr>
          <w:rFonts w:ascii="Arial" w:cs="Arial" w:eastAsia="Arial" w:hAnsi="Arial"/>
          <w:sz w:val="27"/>
          <w:szCs w:val="27"/>
          <w:color w:val="auto"/>
          <w:vertAlign w:val="superscript"/>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$5.0 million related to integration charges recorded as part of the Company’s 2002 Restructuring Program. See Note J.</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SELECTED QUARTERLY DATA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FIRST</w:t>
            </w:r>
          </w:p>
        </w:tc>
        <w:tc>
          <w:tcPr>
            <w:tcW w:w="20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w w:val="96"/>
              </w:rPr>
              <w:t>SECOND</w:t>
            </w: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THIRD</w:t>
            </w:r>
          </w:p>
        </w:tc>
        <w:tc>
          <w:tcPr>
            <w:tcW w:w="200" w:type="dxa"/>
            <w:vAlign w:val="bottom"/>
          </w:tcPr>
          <w:p>
            <w:pPr>
              <w:spacing w:after="0"/>
              <w:rPr>
                <w:sz w:val="18"/>
                <w:szCs w:val="18"/>
                <w:color w:val="auto"/>
              </w:rPr>
            </w:pP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w w:val="98"/>
              </w:rPr>
              <w:t>FOURTH</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FULL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QUARTER</w:t>
            </w:r>
          </w:p>
        </w:tc>
        <w:tc>
          <w:tcPr>
            <w:tcW w:w="1100" w:type="dxa"/>
            <w:vAlign w:val="bottom"/>
            <w:gridSpan w:val="3"/>
          </w:tcPr>
          <w:p>
            <w:pPr>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19"/>
                <w:szCs w:val="19"/>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00" w:type="dxa"/>
            <w:vAlign w:val="bottom"/>
            <w:gridSpan w:val="9"/>
          </w:tcPr>
          <w:p>
            <w:pPr>
              <w:jc w:val="right"/>
              <w:ind w:right="840"/>
              <w:spacing w:after="0"/>
              <w:rPr>
                <w:sz w:val="20"/>
                <w:szCs w:val="20"/>
                <w:color w:val="auto"/>
              </w:rPr>
            </w:pPr>
            <w:r>
              <w:rPr>
                <w:rFonts w:ascii="Arial" w:cs="Arial" w:eastAsia="Arial" w:hAnsi="Arial"/>
                <w:sz w:val="18"/>
                <w:szCs w:val="18"/>
                <w:i w:val="1"/>
                <w:iCs w:val="1"/>
                <w:color w:val="auto"/>
                <w:w w:val="90"/>
              </w:rPr>
              <w:t>(In Thousands, Except Per Share Data)</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84,175</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88,076</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74,646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118,150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365,047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line="217"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2"/>
                <w:szCs w:val="22"/>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Income (loss) from discontinued operations </w:t>
            </w:r>
            <w:r>
              <w:rPr>
                <w:rFonts w:ascii="Arial" w:cs="Arial" w:eastAsia="Arial" w:hAnsi="Arial"/>
                <w:sz w:val="22"/>
                <w:szCs w:val="22"/>
                <w:color w:val="auto"/>
                <w:vertAlign w:val="superscript"/>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line="217"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2"/>
                <w:szCs w:val="22"/>
                <w:color w:val="auto"/>
                <w:vertAlign w:val="superscript"/>
              </w:rPr>
              <w:t>(1)</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Earnings (loss) per share – 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0.00</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0.22</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FISCAL YEAR 2003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74,829</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82,573</w:t>
            </w:r>
          </w:p>
        </w:tc>
        <w:tc>
          <w:tcPr>
            <w:tcW w:w="4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79,782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102,121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339,305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line="217" w:lineRule="exact"/>
              <w:rPr>
                <w:sz w:val="20"/>
                <w:szCs w:val="20"/>
                <w:color w:val="auto"/>
              </w:rPr>
            </w:pPr>
            <w:r>
              <w:rPr>
                <w:rFonts w:ascii="Arial" w:cs="Arial" w:eastAsia="Arial" w:hAnsi="Arial"/>
                <w:sz w:val="18"/>
                <w:szCs w:val="18"/>
                <w:color w:val="auto"/>
              </w:rPr>
              <w:t xml:space="preserve">Loss from continuing operations </w:t>
            </w:r>
            <w:r>
              <w:rPr>
                <w:rFonts w:ascii="Arial" w:cs="Arial" w:eastAsia="Arial" w:hAnsi="Arial"/>
                <w:sz w:val="22"/>
                <w:szCs w:val="22"/>
                <w:color w:val="auto"/>
                <w:vertAlign w:val="superscript"/>
              </w:rPr>
              <w:t>(2)</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(7,566)</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Income (loss) from discontinued operations </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line="217"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22"/>
                <w:szCs w:val="22"/>
                <w:color w:val="auto"/>
                <w:vertAlign w:val="superscript"/>
              </w:rPr>
              <w:t>(2)</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40" w:right="20" w:hanging="332"/>
        <w:spacing w:after="0" w:line="204" w:lineRule="auto"/>
        <w:tabs>
          <w:tab w:leader="none" w:pos="340" w:val="left"/>
        </w:tabs>
        <w:numPr>
          <w:ilvl w:val="0"/>
          <w:numId w:val="36"/>
        </w:numPr>
        <w:rPr>
          <w:rFonts w:ascii="Arial" w:cs="Arial" w:eastAsia="Arial" w:hAnsi="Arial"/>
          <w:sz w:val="24"/>
          <w:szCs w:val="24"/>
          <w:color w:val="auto"/>
          <w:vertAlign w:val="superscript"/>
        </w:rPr>
      </w:pPr>
      <w:r>
        <w:rPr>
          <w:rFonts w:ascii="Arial" w:cs="Arial" w:eastAsia="Arial" w:hAnsi="Arial"/>
          <w:sz w:val="12"/>
          <w:szCs w:val="12"/>
          <w:color w:val="auto"/>
        </w:rPr>
        <w:t>Results for fiscal 2004 include a gain of $3.1 million which was recognized in the second quarter in connection with the Company’s sale of its joint venture interest in Ecko Unltd.</w:t>
      </w:r>
      <w:r>
        <w:rPr>
          <w:rFonts w:ascii="Arial" w:cs="Arial" w:eastAsia="Arial" w:hAnsi="Arial"/>
          <w:sz w:val="20"/>
          <w:szCs w:val="20"/>
          <w:color w:val="auto"/>
          <w:vertAlign w:val="superscript"/>
        </w:rPr>
        <w:t>®</w:t>
      </w:r>
      <w:r>
        <w:rPr>
          <w:rFonts w:ascii="Arial" w:cs="Arial" w:eastAsia="Arial" w:hAnsi="Arial"/>
          <w:sz w:val="12"/>
          <w:szCs w:val="12"/>
          <w:color w:val="auto"/>
        </w:rPr>
        <w:t>. This gain was partially offset during the second quarter by $1.9 million of costs associated with the Company’s prepayment of debt and a charge of $0.9 million for the write off of certain costs associated with the postponement of the Company’s spin-off of its subsidiary, LPI. Discontinued Operations for fiscal 2004 include a gain of $1.2 million related to the sale of the Company’s 32 Levi’s</w:t>
      </w:r>
      <w:r>
        <w:rPr>
          <w:rFonts w:ascii="Arial" w:cs="Arial" w:eastAsia="Arial" w:hAnsi="Arial"/>
          <w:sz w:val="20"/>
          <w:szCs w:val="20"/>
          <w:color w:val="auto"/>
          <w:vertAlign w:val="superscript"/>
        </w:rPr>
        <w:t>®</w:t>
      </w:r>
      <w:r>
        <w:rPr>
          <w:rFonts w:ascii="Arial" w:cs="Arial" w:eastAsia="Arial" w:hAnsi="Arial"/>
          <w:sz w:val="12"/>
          <w:szCs w:val="12"/>
          <w:color w:val="auto"/>
        </w:rPr>
        <w:t>/Dockers</w:t>
      </w:r>
      <w:r>
        <w:rPr>
          <w:rFonts w:ascii="Arial" w:cs="Arial" w:eastAsia="Arial" w:hAnsi="Arial"/>
          <w:sz w:val="20"/>
          <w:szCs w:val="20"/>
          <w:color w:val="auto"/>
          <w:vertAlign w:val="superscript"/>
        </w:rPr>
        <w:t>®</w:t>
      </w:r>
      <w:r>
        <w:rPr>
          <w:rFonts w:ascii="Arial" w:cs="Arial" w:eastAsia="Arial" w:hAnsi="Arial"/>
          <w:sz w:val="12"/>
          <w:szCs w:val="12"/>
          <w:color w:val="auto"/>
        </w:rPr>
        <w:t xml:space="preserve"> outlet stores which was recognized in the fourth quarter and approximately $2.5 million of income recognized in the second and fourth quarters in connection with the reversal of excess restructuring reserves.</w:t>
      </w:r>
    </w:p>
    <w:p>
      <w:pPr>
        <w:ind w:left="340" w:right="120" w:hanging="332"/>
        <w:spacing w:after="0" w:line="227"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in the Loss from Continuing Operations for the fourth quarter and fiscal year 2003 is approximately $13.7 million and $14.1 million, respectively, in expenses which were primarily related to costs associated with the Company’s prepayment of debt. Discontinued operations for the fourth quarter and fiscal year 2003 also include $646,000 of income from restructuring for the reversal of excess reserves related to landlord settlements.</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Consistent with the retail apparel industry, the Company’s business is seasonal with the largest volume of its sales generated during the Father’s Day selling season in June and the Christmas selling season in December. As a result of the impact of the Christmas selling season, the majority of the Company’s operating income is generated in the fourth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i w:val="1"/>
          <w:iCs w:val="1"/>
          <w:color w:val="auto"/>
        </w:rPr>
        <w:t>Changes in and Disagreements with Accountants on Accounting and Financial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i w:val="1"/>
          <w:i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Conclusions Regarding the Effectiveness of Disclosure Controls and Procedures</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January 29, 2005. Based on this evaluation, the Company’s Chief Executive Officer and Chief Financial Officer concluded that, as of January 29, 2005,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Annual Report on Internal Control Over Financial Reporting</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The Company’s internal control over financial reporting is a process designed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48" w:lineRule="exact"/>
        <w:rPr>
          <w:sz w:val="20"/>
          <w:szCs w:val="20"/>
          <w:color w:val="auto"/>
        </w:rPr>
      </w:pPr>
    </w:p>
    <w:p>
      <w:pPr>
        <w:ind w:left="520" w:hanging="336"/>
        <w:spacing w:after="0"/>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99" w:lineRule="exact"/>
        <w:rPr>
          <w:rFonts w:ascii="Arial" w:cs="Arial" w:eastAsia="Arial" w:hAnsi="Arial"/>
          <w:sz w:val="16"/>
          <w:szCs w:val="16"/>
          <w:color w:val="auto"/>
        </w:rPr>
      </w:pPr>
    </w:p>
    <w:p>
      <w:pPr>
        <w:ind w:right="400" w:firstLine="184"/>
        <w:spacing w:after="0" w:line="259" w:lineRule="auto"/>
        <w:tabs>
          <w:tab w:leader="none" w:pos="5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45" w:lineRule="exact"/>
        <w:rPr>
          <w:rFonts w:ascii="Arial" w:cs="Arial" w:eastAsia="Arial" w:hAnsi="Arial"/>
          <w:sz w:val="18"/>
          <w:szCs w:val="18"/>
          <w:color w:val="auto"/>
        </w:rPr>
      </w:pPr>
    </w:p>
    <w:p>
      <w:pPr>
        <w:ind w:right="40" w:firstLine="184"/>
        <w:spacing w:after="0" w:line="268" w:lineRule="auto"/>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assessed the design and effectiveness of the Company’s internal control over financial reporting as of January 29, 2005. In making this assessment, management used the criteria set forth by the Committee of Sponsoring Organizations of the Treadway Commission (COSO) in Internal Control- Integrated Framework.</w:t>
      </w:r>
    </w:p>
    <w:p>
      <w:pPr>
        <w:spacing w:after="0" w:line="12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evaluation of and conclusion on the effectiveness of internal control over financial reporting excludes the internal controls of Rochester Big &amp; Tall Clothing (“Rochester”) which the Company acquired on October 29, 2004. The Rochester business constituted approximately $26.5 million, or 9.9%, of the Company’s total consolidated assets at January 29, 2005 and approximately $21.1 million, or 5.8%, of consolidated revenues for fiscal 2004. The purchase price of the acquisition was $15.0 million in cash and the assumption of bank and subordinated debt of approximately $5.0 million. Management’s annual report on internal control over financial reporting for fiscal 2005 will include Rochester.</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management’s assessment and those criteria, management determined that the Company maintained effective internal control over financial reporting as of January 29, 2005.</w:t>
      </w:r>
    </w:p>
    <w:p>
      <w:pPr>
        <w:spacing w:after="0" w:line="118"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As indicated in its Attestation Report included below, Ernst &amp; Young LLP, the independent registered public accounting firm that audited the financial statements included in this report, has attested to management’s assessment regarding the effectiveness of its internal control over financial reporting as of January 29, 2005.</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Attestation 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Casual Male Retail Group, Inc.:</w:t>
      </w:r>
    </w:p>
    <w:p>
      <w:pPr>
        <w:spacing w:after="0" w:line="15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Annual Report on Internal Control Over Financial Reporting, that Casual Male Retail Group, Inc. maintained effective internal control over financial reporting as of January 29, 2005, based on criteria established in Internal Control—Integrated Framework issued by the Committee of Sponsoring Organizations of the Treadway Commission (the COSO criteria). Casual Male Retail Group,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Rochester Big &amp; Tall Clothing, which was acquired on October 29, 2004 and included in the fiscal 2004 consolidated financial statements of Casual Male Retail Group, Inc. The acquisition of Rochester Big &amp; Tall Clothing constituted approximately $26.5 million, or 9.9%, of the Company’s total consolidated assets at January 29, 2005 and approximately $21.1 million, or</w:t>
      </w:r>
    </w:p>
    <w:p>
      <w:pPr>
        <w:spacing w:after="0" w:line="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5.8%, of consolidated revenues for fiscal 2004. The purchase price of the acquisition was $15.0 million in cash and the assumption of bank and subordinated debt of approximately $5.0 million. Management did not assess the effectiveness of internal control over financial reporting at this entity as it was acquired during the latter half of fiscal 2004. Our audit of internal control over financial reporting of Casual Male Retail Group, Inc. also did not include an evaluation of the internal control over financial reporting of Rochester Big &amp; Tall Clothing.</w:t>
      </w:r>
    </w:p>
    <w:p>
      <w:pPr>
        <w:spacing w:after="0" w:line="13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In our opinion, management’s assessment that Casual Male Retail Group, Inc. maintained effective internal control over financial reporting as of January 29, 2005, is fairly stated, in all material respects, based on the COSO criteria. Also, in our opinion, Casual Male Retail Group, Inc. maintained, in all material respects, effective internal control over financial reporting as of January 29, 2005, based on the COSO criteria.</w:t>
      </w:r>
    </w:p>
    <w:p>
      <w:pPr>
        <w:spacing w:after="0" w:line="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of Casual Male Retail Group, Inc. as of January 29, 2005 and January 31, 2004 and the related consolidated statements of operations, changes in stockholders’ equity and cash flows for each of the three years in the period ended January 29, 2005 of Casual Male Retail Group, Inc. and our report dated April 7, 2005 expressed an unqualified opinion thereon.</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7,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change in the Company’s internal control over financial reporting (as defined in Rules 13a-15(f) and 15d-15(f) under the Exchange Act) occurred during the fiscal quarter ended January 29, 2005 that has materially affected, or is reasonably likely to materially affect, the Company’s internal control over financial reporting.</w:t>
      </w:r>
    </w:p>
    <w:p>
      <w:pPr>
        <w:spacing w:after="0" w:line="1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i w:val="1"/>
          <w:iCs w:val="1"/>
          <w:color w:val="auto"/>
        </w:rPr>
        <w:t>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Pursuant to Paragraph G(3) of the General Instructions to Form 10-K, the information required by Part III (Items 10, 11, 12, 13 and 14) is being incorporated by reference herein from the Company’s definitive proxy statement (or an amendment to this Annual Report on Form 10-K) to be filed with the Securities and Exchange Commission within 120 days of the end of the fiscal year ended January 29, 2005 in connection with our 2005 Annual Meeting of Stockholders.</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i w:val="1"/>
          <w:iCs w:val="1"/>
          <w:color w:val="auto"/>
        </w:rPr>
        <w:t>Directors and Executive Officers of the Registrant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the Company’s definitive proxy statement (or amendment to this Annual Report on Form 10-K) to be filed with the Commission within 120 days of the end of the fiscal year ended January 29, 2005.</w:t>
      </w:r>
    </w:p>
    <w:p>
      <w:pPr>
        <w:spacing w:after="0" w:line="1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i w:val="1"/>
          <w:iCs w:val="1"/>
          <w:color w:val="auto"/>
        </w:rPr>
        <w:t>Executive Compensation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the Company’s definitive proxy statement (or amendment to this Annual Report on Form 10-K) to be filed with the Commission within 120 days of the end of the fiscal year ended January 29, 2005.</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i w:val="1"/>
          <w:iCs w:val="1"/>
          <w:color w:val="auto"/>
        </w:rPr>
        <w:t>Security Ownership of Certain Beneficial Owners and Management and Related Stockholder Matters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Information with respect to this item is incorporated by reference from the Company’s definitive proxy statement (or amendment to this Annual Report on Form 10-K) to be filed with the Commission within 120 days of the end of the fiscal year ended January 29, 2005.</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i w:val="1"/>
          <w:iCs w:val="1"/>
          <w:color w:val="auto"/>
        </w:rPr>
        <w:t>Certain Relationships and Related Transactions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the Company’s definitive proxy statement (or amendment to this Annual Report on Form 10-K) to be filed with the Commission within 120 days of the end of the fiscal year ended January 29, 2005.</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i w:val="1"/>
          <w:iCs w:val="1"/>
          <w:color w:val="auto"/>
        </w:rPr>
        <w:t>Principal Accounting Fees and Services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with respect to this item is incorporated by reference from the Company’s definitive proxy statement (or amendment to this Annual Report on Form 10-K) to be filed with the Commission within 120 days of the end of the fiscal year ended January 29, 2005.</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80"/>
          </w:cols>
          <w:pgMar w:left="24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i w:val="1"/>
          <w:iCs w:val="1"/>
          <w:color w:val="auto"/>
        </w:rPr>
        <w:t>Exhibits, Financial Statement Schedules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15(a)(1) Financial Statements</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list of consolidated financial statements and notes required by this Item 15(a)(1) is set forth in the “Index to Consolidated Financial Statements” on page 35 of this Annual Report.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15(a)(2) Financial Statement Schedules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Schedule II “Valuation and Qualifying Accounts” for the three fiscal years ended January 29, 2005, January 31, 2004 and February 1, 2003 is set forth on page 70 of this Annual Report.</w:t>
      </w:r>
    </w:p>
    <w:p>
      <w:pPr>
        <w:spacing w:after="0" w:line="11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All other schedules, other than the schedule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15(a)(3)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required by this Item 15(a)(3) is set forth in the “Index to Exhibits” beginning on page 71 of this Annual Report.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Years Ended January 29, 2005, January 31, 2004 and February 1, 2003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86"/>
              </w:rPr>
              <w:t>Balance at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Charges/</w:t>
            </w:r>
          </w:p>
        </w:tc>
        <w:tc>
          <w:tcPr>
            <w:tcW w:w="106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86"/>
              </w:rPr>
              <w:t>Balance</w:t>
            </w: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91"/>
              </w:rPr>
              <w:t>Beginning of</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9"/>
              </w:rPr>
              <w:t>Net Provision</w:t>
            </w:r>
          </w:p>
        </w:tc>
        <w:tc>
          <w:tcPr>
            <w:tcW w:w="6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Write-</w:t>
            </w:r>
          </w:p>
        </w:tc>
        <w:tc>
          <w:tcPr>
            <w:tcW w:w="106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2"/>
              </w:rPr>
              <w:t>At End</w:t>
            </w:r>
          </w:p>
        </w:tc>
        <w:tc>
          <w:tcPr>
            <w:tcW w:w="3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rPr>
              <w:t>Description</w:t>
            </w:r>
          </w:p>
        </w:tc>
        <w:tc>
          <w:tcPr>
            <w:tcW w:w="1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right="252"/>
              <w:spacing w:after="0"/>
              <w:rPr>
                <w:sz w:val="20"/>
                <w:szCs w:val="20"/>
                <w:color w:val="auto"/>
              </w:rPr>
            </w:pPr>
            <w:r>
              <w:rPr>
                <w:rFonts w:ascii="Arial" w:cs="Arial" w:eastAsia="Arial" w:hAnsi="Arial"/>
                <w:sz w:val="18"/>
                <w:szCs w:val="18"/>
                <w:color w:val="auto"/>
                <w:w w:val="84"/>
              </w:rPr>
              <w:t>Year</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(Benefit)</w:t>
            </w:r>
          </w:p>
        </w:tc>
        <w:tc>
          <w:tcPr>
            <w:tcW w:w="6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offs</w:t>
            </w:r>
          </w:p>
        </w:tc>
        <w:tc>
          <w:tcPr>
            <w:tcW w:w="1060" w:type="dxa"/>
            <w:vAlign w:val="bottom"/>
            <w:tcBorders>
              <w:bottom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84"/>
              </w:rPr>
              <w:t>Year</w:t>
            </w:r>
          </w:p>
        </w:tc>
        <w:tc>
          <w:tcPr>
            <w:tcW w:w="300" w:type="dxa"/>
            <w:vAlign w:val="bottom"/>
            <w:tcBorders>
              <w:bottom w:val="single" w:sz="8" w:color="auto"/>
            </w:tcBorders>
            <w:shd w:val="clear" w:color="auto" w:fill="CCEEFF"/>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Reserves</w:t>
            </w: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Year ended February 1, 2003 (fiscal 2002)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33,309</w:t>
            </w:r>
          </w:p>
        </w:tc>
        <w:tc>
          <w:tcPr>
            <w:tcW w:w="60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 (15,946)</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$ 17,363</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Year ended January 31, 2004 (fiscal 2003)</w:t>
            </w:r>
          </w:p>
        </w:tc>
        <w:tc>
          <w:tcPr>
            <w:tcW w:w="1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17,363</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6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12,886</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Year ended January 29, 2005 (fiscal 2004)</w:t>
            </w:r>
          </w:p>
        </w:tc>
        <w:tc>
          <w:tcPr>
            <w:tcW w:w="1180" w:type="dxa"/>
            <w:vAlign w:val="bottom"/>
          </w:tcPr>
          <w:p>
            <w:pPr>
              <w:spacing w:after="0"/>
              <w:rPr>
                <w:sz w:val="19"/>
                <w:szCs w:val="19"/>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3,831</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(2,538)</w:t>
            </w:r>
          </w:p>
        </w:tc>
        <w:tc>
          <w:tcPr>
            <w:tcW w:w="600" w:type="dxa"/>
            <w:vAlign w:val="bottom"/>
          </w:tcPr>
          <w:p>
            <w:pPr>
              <w:jc w:val="right"/>
              <w:ind w:right="212"/>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1,293</w:t>
            </w: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bl>
    <w:p>
      <w:pPr>
        <w:spacing w:after="0" w:line="13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Included in the restructuring charges for fiscal 2002 of $33.3 million is $16.4 million for the liquidation of inventory, which was included in cost of goods sold for fiscal 2002.</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Included in the reserve balance at February 1, 2003 is a markdown reserve for inventory of $11.1 million, which was included in inventory on the consolidated balance sheet.</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reversal of excess reserves related to landlord settlements.</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Included in the reserve balance at January 31, 2004 is a markdown reserve for inventory of $0.8 million, which was included in inventory on the consolidated balance sheet.</w:t>
      </w:r>
    </w:p>
    <w:p>
      <w:pPr>
        <w:ind w:left="340" w:hanging="332"/>
        <w:spacing w:after="0" w:line="203" w:lineRule="auto"/>
        <w:tabs>
          <w:tab w:leader="none" w:pos="340" w:val="left"/>
        </w:tabs>
        <w:numPr>
          <w:ilvl w:val="0"/>
          <w:numId w:val="38"/>
        </w:numPr>
        <w:rPr>
          <w:rFonts w:ascii="Arial" w:cs="Arial" w:eastAsia="Arial" w:hAnsi="Arial"/>
          <w:sz w:val="27"/>
          <w:szCs w:val="27"/>
          <w:color w:val="auto"/>
          <w:vertAlign w:val="superscript"/>
        </w:rPr>
      </w:pPr>
      <w:r>
        <w:rPr>
          <w:rFonts w:ascii="Arial" w:cs="Arial" w:eastAsia="Arial" w:hAnsi="Arial"/>
          <w:sz w:val="14"/>
          <w:szCs w:val="14"/>
          <w:color w:val="auto"/>
        </w:rPr>
        <w:t>Represents the reversal of excess reserves for the Company’s remaining Levi’s</w:t>
      </w:r>
      <w:r>
        <w:rPr>
          <w:rFonts w:ascii="Arial" w:cs="Arial" w:eastAsia="Arial" w:hAnsi="Arial"/>
          <w:sz w:val="22"/>
          <w:szCs w:val="22"/>
          <w:color w:val="auto"/>
          <w:vertAlign w:val="superscript"/>
        </w:rPr>
        <w:t>®</w:t>
      </w:r>
      <w:r>
        <w:rPr>
          <w:rFonts w:ascii="Arial" w:cs="Arial" w:eastAsia="Arial" w:hAnsi="Arial"/>
          <w:sz w:val="14"/>
          <w:szCs w:val="14"/>
          <w:color w:val="auto"/>
        </w:rPr>
        <w:t>/Dockers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outlet stores that were closed or sold in fiscal 2004.</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Index to Exhibits</w:t>
            </w:r>
          </w:p>
        </w:tc>
        <w:tc>
          <w:tcPr>
            <w:tcW w:w="200" w:type="dxa"/>
            <w:vAlign w:val="bottom"/>
          </w:tcPr>
          <w:p>
            <w:pPr>
              <w:spacing w:after="0"/>
              <w:rPr>
                <w:sz w:val="17"/>
                <w:szCs w:val="17"/>
                <w:color w:val="auto"/>
              </w:rPr>
            </w:pPr>
          </w:p>
        </w:tc>
      </w:tr>
      <w:tr>
        <w:trPr>
          <w:trHeight w:val="383"/>
        </w:trPr>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8"/>
              </w:rPr>
              <w:t>Exhibits</w:t>
            </w:r>
          </w:p>
        </w:tc>
        <w:tc>
          <w:tcPr>
            <w:tcW w:w="44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8"/>
        </w:trPr>
        <w:tc>
          <w:tcPr>
            <w:tcW w:w="66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2"/>
              </w:rPr>
              <w:t>Restated Certificate of Incorporation of the Company, as amended (included as Exhibit 3.1 to Amendment No. 3 of the Company’s Registration</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Statement on Form S-1 (No. 33-13402),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2"/>
              </w:rPr>
              <w:t>Certificate of Amendment to Restated Certificate of Incorporation, as amended, dated June 22, 1993 (included as Exhibit 3.2 to the Company’s</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Quarterly Report on Form 10-Q filed on June 18, 1996,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1"/>
              </w:rPr>
              <w:t>Certificate of Amendment to Restated Certificate of Incorporation, as amended, dated August 8, 2002 (included as Exhibit 3.3 to the Company’s</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Quarterly Report on Form 10-Q filed on September 17, 2002,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rPr>
              <w:t>3.4</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4"/>
              </w:rPr>
              <w:t>Certificate of Designations, Preferences and Rights of a Series of Preferred Stock of the Company establishing Series A Junior Participating</w:t>
            </w:r>
          </w:p>
        </w:tc>
        <w:tc>
          <w:tcPr>
            <w:tcW w:w="2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1"/>
              </w:rPr>
              <w:t>Cumulative Preferred Stock dated May 1, 1995 (included as Exhibit 3.2 to the Company’s Annual Report on Form 10-K filed on May 3, 1996, and</w:t>
            </w:r>
          </w:p>
        </w:tc>
        <w:tc>
          <w:tcPr>
            <w:tcW w:w="2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rPr>
              <w:t>3.5</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6"/>
              </w:rPr>
              <w:t>Certificate of Designations, Preferences and Relative, Participating, Optional and Other Special Rights and Qualifications, Limitations and</w:t>
            </w:r>
          </w:p>
        </w:tc>
        <w:tc>
          <w:tcPr>
            <w:tcW w:w="2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3"/>
              </w:rPr>
              <w:t>Restrictions of Series B Convertible Preferred Stock dated May 14, 2002 (included as Exhibit 3.1 to the Company’s Form 8-K filed on May 23,</w:t>
            </w:r>
          </w:p>
        </w:tc>
        <w:tc>
          <w:tcPr>
            <w:tcW w:w="2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2002,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rPr>
              <w:t>3.6</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89"/>
              </w:rPr>
              <w:t>By-Laws of the Company, as amended (included as Exhibit 3.4 to the Company’s Quarterly Report on Form 10-Q filed on December 12, 2000, and</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rPr>
              <w:t>4.1</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1"/>
              </w:rPr>
              <w:t>Indenture, dated as of November 18, 2003, between the Company and U.S. Bank National Association, as Trustee (included as Exhibit 4.1 to the</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10.1</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89"/>
              </w:rPr>
              <w:t>1992 Stock Incentive Plan, as amended (included as Exhibit 10.1 to the Company’s Quarterly Report on Form 10-Q filed on December 9, 2003, and</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10.2</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2"/>
              </w:rPr>
              <w:t>Executive Incentive Program for fiscal year ending January 29, 2005, as amended August 26, 2004 (included as Exhibit 10.2 to the Company’s</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Quarterly Report on Form 10-Q filed on December 9, 2004,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10.3</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1"/>
              </w:rPr>
              <w:t>Fourth Amended and Restated Loan and Security Agreement dated October 29, 2004, by and among Fleet Retail Group, Inc., as Administrative</w:t>
            </w:r>
          </w:p>
        </w:tc>
        <w:tc>
          <w:tcPr>
            <w:tcW w:w="2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89"/>
              </w:rPr>
              <w:t>Agent and Collateral Agent, the Lenders identified herein, the Company, as Borrowers’ Representative and the Company and Designs Apparel, Inc.</w:t>
            </w:r>
          </w:p>
        </w:tc>
        <w:tc>
          <w:tcPr>
            <w:tcW w:w="2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1"/>
              </w:rPr>
              <w:t>as Borrowers (included as Exhibit 10.1 to the Company’s Quarterly Report on Form 10-Q filed on December 9, 2004, and incorporated herein by</w:t>
            </w:r>
          </w:p>
        </w:tc>
        <w:tc>
          <w:tcPr>
            <w:tcW w:w="2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10.4</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1"/>
              </w:rPr>
              <w:t>Note Agreement, dated as of July 2, 2003, among the Company, certain subsidiaries of the Company, and the Initial Purchasers identified on the</w:t>
            </w:r>
          </w:p>
        </w:tc>
        <w:tc>
          <w:tcPr>
            <w:tcW w:w="2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0"/>
              </w:rPr>
              <w:t>signature pages thereto (the “Note Agreement”) (included as Exhibit 10.4 to the Company’s Quarterly Report on Form 10-Q filed on September 16,</w:t>
            </w:r>
          </w:p>
        </w:tc>
        <w:tc>
          <w:tcPr>
            <w:tcW w:w="2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10.5</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1"/>
              </w:rPr>
              <w:t>Form of 12% Senior Subordinated Note due 2010 (included as Exhibit 10.5 to the Company’s Quarterly Report on Form 10-Q filed on September</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10.6</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w w:val="90"/>
              </w:rPr>
              <w:t>Form of Warrant issued to the Initial Purchasers under the Note Agreement (included as Exhibit 10.6 to the Company’s Quarterly Report on Form</w:t>
            </w:r>
          </w:p>
        </w:tc>
        <w:tc>
          <w:tcPr>
            <w:tcW w:w="2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10-Q filed on September 16, 2003, and incorporated herein by reference).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660" w:type="dxa"/>
            <w:vAlign w:val="bottom"/>
          </w:tcPr>
          <w:p>
            <w:pPr>
              <w:spacing w:after="0"/>
              <w:rPr>
                <w:sz w:val="24"/>
                <w:szCs w:val="24"/>
                <w:color w:val="auto"/>
              </w:rPr>
            </w:pPr>
          </w:p>
        </w:tc>
        <w:tc>
          <w:tcPr>
            <w:tcW w:w="5700" w:type="dxa"/>
            <w:vAlign w:val="bottom"/>
            <w:gridSpan w:val="2"/>
          </w:tcPr>
          <w:p>
            <w:pPr>
              <w:ind w:left="4960"/>
              <w:spacing w:after="0"/>
              <w:rPr>
                <w:sz w:val="20"/>
                <w:szCs w:val="20"/>
                <w:color w:val="auto"/>
              </w:rPr>
            </w:pPr>
            <w:r>
              <w:rPr>
                <w:rFonts w:ascii="Arial" w:cs="Arial" w:eastAsia="Arial" w:hAnsi="Arial"/>
                <w:sz w:val="18"/>
                <w:szCs w:val="18"/>
                <w:color w:val="auto"/>
              </w:rPr>
              <w:t>72</w:t>
            </w: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10.7</w:t>
            </w:r>
          </w:p>
        </w:tc>
        <w:tc>
          <w:tcPr>
            <w:tcW w:w="10620" w:type="dxa"/>
            <w:vAlign w:val="bottom"/>
          </w:tcPr>
          <w:p>
            <w:pPr>
              <w:ind w:left="180"/>
              <w:spacing w:after="0"/>
              <w:rPr>
                <w:sz w:val="20"/>
                <w:szCs w:val="20"/>
                <w:color w:val="auto"/>
              </w:rPr>
            </w:pPr>
            <w:r>
              <w:rPr>
                <w:rFonts w:ascii="Arial" w:cs="Arial" w:eastAsia="Arial" w:hAnsi="Arial"/>
                <w:sz w:val="18"/>
                <w:szCs w:val="18"/>
                <w:color w:val="auto"/>
                <w:w w:val="92"/>
              </w:rPr>
              <w:t>Consulting Agreement dated as of October 28, 1999 between the Company and Jewelcor Management, Inc. (included as Exhibit 10.20 to the</w:t>
            </w:r>
          </w:p>
        </w:tc>
        <w:tc>
          <w:tcPr>
            <w:tcW w:w="16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Company’s Annual Report on Form 10-K filed on April 28, 2000,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10.8</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Extension to Consulting Agreement, dated as of April 28, 2001, between the Company and Jewelcor Management, Inc. (included as Exhibit 10.15</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to the Company’s Quarterly Report on Form 10-Q filed on September 18, 2001,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10.9</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Extension to Consulting Agreement, dated as of April 28, 2002, between the Company and Jewelcor Management, Inc. (included as Exhibit 10.30</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to the Company’s Quarterly Report on Form 10-Q filed on June 18, 2002,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10.10</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Extension to Consulting Agreement, dated as of April 29, 2003, between the Company and Jewelcor Management, Inc. (included as Exhibit 10.7 to</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the Company’s Annual Report on Form 10-K filed on May 5, 2003,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10.11</w:t>
            </w:r>
          </w:p>
        </w:tc>
        <w:tc>
          <w:tcPr>
            <w:tcW w:w="10620" w:type="dxa"/>
            <w:vAlign w:val="bottom"/>
          </w:tcPr>
          <w:p>
            <w:pPr>
              <w:ind w:left="180"/>
              <w:spacing w:after="0"/>
              <w:rPr>
                <w:sz w:val="20"/>
                <w:szCs w:val="20"/>
                <w:color w:val="auto"/>
              </w:rPr>
            </w:pPr>
            <w:r>
              <w:rPr>
                <w:rFonts w:ascii="Arial" w:cs="Arial" w:eastAsia="Arial" w:hAnsi="Arial"/>
                <w:sz w:val="18"/>
                <w:szCs w:val="18"/>
                <w:color w:val="auto"/>
                <w:w w:val="91"/>
              </w:rPr>
              <w:t>Amendment to Consulting Agreement, effective as of May 1, 2003, between the Company and Jewelcor Management, Inc. (included as Exhibit</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10.1 to the Company’s Quarterly Report on Form 10-Q filed on September 16, 2003,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10.12</w:t>
            </w:r>
          </w:p>
        </w:tc>
        <w:tc>
          <w:tcPr>
            <w:tcW w:w="10620" w:type="dxa"/>
            <w:vAlign w:val="bottom"/>
          </w:tcPr>
          <w:p>
            <w:pPr>
              <w:ind w:left="180"/>
              <w:spacing w:after="0"/>
              <w:rPr>
                <w:sz w:val="20"/>
                <w:szCs w:val="20"/>
                <w:color w:val="auto"/>
              </w:rPr>
            </w:pPr>
            <w:r>
              <w:rPr>
                <w:rFonts w:ascii="Arial" w:cs="Arial" w:eastAsia="Arial" w:hAnsi="Arial"/>
                <w:sz w:val="18"/>
                <w:szCs w:val="18"/>
                <w:color w:val="auto"/>
                <w:w w:val="90"/>
              </w:rPr>
              <w:t>Amendment to Consulting Agreement, dated as of August 26, 2004, between the Company and Jewelcor Management, Inc. (included as Exhibit</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10.5 to the Company’s Quarterly Report on Form 10-Q filed on December 9, 2004,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10.13</w:t>
            </w:r>
          </w:p>
        </w:tc>
        <w:tc>
          <w:tcPr>
            <w:tcW w:w="10620" w:type="dxa"/>
            <w:vAlign w:val="bottom"/>
          </w:tcPr>
          <w:p>
            <w:pPr>
              <w:ind w:left="180"/>
              <w:spacing w:after="0"/>
              <w:rPr>
                <w:sz w:val="20"/>
                <w:szCs w:val="20"/>
                <w:color w:val="auto"/>
              </w:rPr>
            </w:pPr>
            <w:r>
              <w:rPr>
                <w:rFonts w:ascii="Arial" w:cs="Arial" w:eastAsia="Arial" w:hAnsi="Arial"/>
                <w:sz w:val="18"/>
                <w:szCs w:val="18"/>
                <w:color w:val="auto"/>
                <w:w w:val="93"/>
              </w:rPr>
              <w:t>Employment Agreement dated as of March 31, 2000 between the Company and David A. Levin (included as Exhibit 10.27 to the Company’s</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Annual Report on Form 10-K filed on April 28, 2000,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10.14</w:t>
            </w:r>
          </w:p>
        </w:tc>
        <w:tc>
          <w:tcPr>
            <w:tcW w:w="10620" w:type="dxa"/>
            <w:vAlign w:val="bottom"/>
          </w:tcPr>
          <w:p>
            <w:pPr>
              <w:ind w:left="180"/>
              <w:spacing w:after="0"/>
              <w:rPr>
                <w:sz w:val="20"/>
                <w:szCs w:val="20"/>
                <w:color w:val="auto"/>
              </w:rPr>
            </w:pPr>
            <w:r>
              <w:rPr>
                <w:rFonts w:ascii="Arial" w:cs="Arial" w:eastAsia="Arial" w:hAnsi="Arial"/>
                <w:sz w:val="18"/>
                <w:szCs w:val="18"/>
                <w:color w:val="auto"/>
                <w:w w:val="92"/>
              </w:rPr>
              <w:t>First Amendment to Employment Agreement dated April 10, 2001 between the Company and David A. Levin (included as Exhibit 10.19 to the</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June 19, 2001,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10.15</w:t>
            </w:r>
          </w:p>
        </w:tc>
        <w:tc>
          <w:tcPr>
            <w:tcW w:w="10620" w:type="dxa"/>
            <w:vAlign w:val="bottom"/>
          </w:tcPr>
          <w:p>
            <w:pPr>
              <w:ind w:left="180"/>
              <w:spacing w:after="0"/>
              <w:rPr>
                <w:sz w:val="20"/>
                <w:szCs w:val="20"/>
                <w:color w:val="auto"/>
              </w:rPr>
            </w:pPr>
            <w:r>
              <w:rPr>
                <w:rFonts w:ascii="Arial" w:cs="Arial" w:eastAsia="Arial" w:hAnsi="Arial"/>
                <w:sz w:val="18"/>
                <w:szCs w:val="18"/>
                <w:color w:val="auto"/>
                <w:w w:val="92"/>
              </w:rPr>
              <w:t>Second Amendment to Employment Agreement dated as of January 10, 2003 between the Company and David A. Levin (included as Exhibit</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10.10 to the Company’s Annual Report on Form 10-K filed on May 5, 2003,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10.16</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Third Amendment to Employment Agreement, dated as of July 9, 2003, between the Company and David A. Levin (included as Exhibit 10.2 to the</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September 16, 2003,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10.17</w:t>
            </w:r>
          </w:p>
        </w:tc>
        <w:tc>
          <w:tcPr>
            <w:tcW w:w="10620" w:type="dxa"/>
            <w:vAlign w:val="bottom"/>
          </w:tcPr>
          <w:p>
            <w:pPr>
              <w:ind w:left="180"/>
              <w:spacing w:after="0"/>
              <w:rPr>
                <w:sz w:val="20"/>
                <w:szCs w:val="20"/>
                <w:color w:val="auto"/>
              </w:rPr>
            </w:pPr>
            <w:r>
              <w:rPr>
                <w:rFonts w:ascii="Arial" w:cs="Arial" w:eastAsia="Arial" w:hAnsi="Arial"/>
                <w:sz w:val="18"/>
                <w:szCs w:val="18"/>
                <w:color w:val="auto"/>
              </w:rPr>
              <w:t>Fourth Amendment to Employment Agreement dated as of June 29, 2004 between the Company and David A. Levin.</w:t>
            </w:r>
          </w:p>
        </w:tc>
        <w:tc>
          <w:tcPr>
            <w:tcW w:w="160" w:type="dxa"/>
            <w:vAlign w:val="bottom"/>
          </w:tcPr>
          <w:p>
            <w:pPr>
              <w:spacing w:after="0"/>
              <w:rPr>
                <w:sz w:val="24"/>
                <w:szCs w:val="24"/>
                <w:color w:val="auto"/>
              </w:rPr>
            </w:pP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10.18</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Employment Agreement dated as of August 14, 2000 between the Company and Dennis R. Hernreich (included as Exhibit 10.30 to the Company’s</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Quarterly Report on Form 10-Q filed on September 12, 2000,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10.19</w:t>
            </w:r>
          </w:p>
        </w:tc>
        <w:tc>
          <w:tcPr>
            <w:tcW w:w="10620" w:type="dxa"/>
            <w:vAlign w:val="bottom"/>
          </w:tcPr>
          <w:p>
            <w:pPr>
              <w:ind w:left="180"/>
              <w:spacing w:after="0"/>
              <w:rPr>
                <w:sz w:val="20"/>
                <w:szCs w:val="20"/>
                <w:color w:val="auto"/>
              </w:rPr>
            </w:pPr>
            <w:r>
              <w:rPr>
                <w:rFonts w:ascii="Arial" w:cs="Arial" w:eastAsia="Arial" w:hAnsi="Arial"/>
                <w:sz w:val="18"/>
                <w:szCs w:val="18"/>
                <w:color w:val="auto"/>
                <w:w w:val="91"/>
              </w:rPr>
              <w:t>First Amendment to Employment Agreement dated April 25, 2001 between the Company and Dennis R. Hernreich (included as Exhibit 10.23 to</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the Company’s Quarterly Report on Form 10-Q filed on June 19, 2001,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10.20</w:t>
            </w:r>
          </w:p>
        </w:tc>
        <w:tc>
          <w:tcPr>
            <w:tcW w:w="10620" w:type="dxa"/>
            <w:vAlign w:val="bottom"/>
          </w:tcPr>
          <w:p>
            <w:pPr>
              <w:ind w:left="180"/>
              <w:spacing w:after="0"/>
              <w:rPr>
                <w:sz w:val="20"/>
                <w:szCs w:val="20"/>
                <w:color w:val="auto"/>
              </w:rPr>
            </w:pPr>
            <w:r>
              <w:rPr>
                <w:rFonts w:ascii="Arial" w:cs="Arial" w:eastAsia="Arial" w:hAnsi="Arial"/>
                <w:sz w:val="18"/>
                <w:szCs w:val="18"/>
                <w:color w:val="auto"/>
                <w:w w:val="89"/>
              </w:rPr>
              <w:t>Second Amendment to Employment Agreement dated as of January 10, 2003 between the Company and Dennis R. Hernreich (included as Exhibit</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10.15 to the Company’s Annual Report on Form 10-K filed on May 5, 2003,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10.21</w:t>
            </w:r>
          </w:p>
        </w:tc>
        <w:tc>
          <w:tcPr>
            <w:tcW w:w="10620" w:type="dxa"/>
            <w:vAlign w:val="bottom"/>
          </w:tcPr>
          <w:p>
            <w:pPr>
              <w:ind w:left="180"/>
              <w:spacing w:after="0"/>
              <w:rPr>
                <w:sz w:val="20"/>
                <w:szCs w:val="20"/>
                <w:color w:val="auto"/>
              </w:rPr>
            </w:pPr>
            <w:r>
              <w:rPr>
                <w:rFonts w:ascii="Arial" w:cs="Arial" w:eastAsia="Arial" w:hAnsi="Arial"/>
                <w:sz w:val="18"/>
                <w:szCs w:val="18"/>
                <w:color w:val="auto"/>
                <w:w w:val="90"/>
              </w:rPr>
              <w:t>Third Amendment to Employment Agreement, dated as of July 9, 2003, between the Company and Dennis R. Hernreich (included as Exhibit 10.3</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to the Company’s Quarterly Report on Form 10-Q filed on September 16, 2003,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60" w:type="dxa"/>
            <w:vAlign w:val="bottom"/>
          </w:tcPr>
          <w:p>
            <w:pPr>
              <w:spacing w:after="0"/>
              <w:rPr>
                <w:sz w:val="24"/>
                <w:szCs w:val="24"/>
                <w:color w:val="auto"/>
              </w:rPr>
            </w:pPr>
          </w:p>
        </w:tc>
        <w:tc>
          <w:tcPr>
            <w:tcW w:w="10620" w:type="dxa"/>
            <w:vAlign w:val="bottom"/>
          </w:tcPr>
          <w:p>
            <w:pPr>
              <w:ind w:left="498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10.22</w:t>
            </w:r>
          </w:p>
        </w:tc>
        <w:tc>
          <w:tcPr>
            <w:tcW w:w="10600" w:type="dxa"/>
            <w:vAlign w:val="bottom"/>
          </w:tcPr>
          <w:p>
            <w:pPr>
              <w:ind w:left="180"/>
              <w:spacing w:after="0"/>
              <w:rPr>
                <w:sz w:val="20"/>
                <w:szCs w:val="20"/>
                <w:color w:val="auto"/>
              </w:rPr>
            </w:pPr>
            <w:r>
              <w:rPr>
                <w:rFonts w:ascii="Arial" w:cs="Arial" w:eastAsia="Arial" w:hAnsi="Arial"/>
                <w:sz w:val="18"/>
                <w:szCs w:val="18"/>
                <w:color w:val="auto"/>
              </w:rPr>
              <w:t>Fourth Amendment to Employment Agreement, dated as of June 29, 2004, between the Company and Dennis R. Hernreich.</w:t>
            </w:r>
          </w:p>
        </w:tc>
        <w:tc>
          <w:tcPr>
            <w:tcW w:w="180" w:type="dxa"/>
            <w:vAlign w:val="bottom"/>
          </w:tcPr>
          <w:p>
            <w:pPr>
              <w:spacing w:after="0"/>
              <w:rPr>
                <w:sz w:val="19"/>
                <w:szCs w:val="19"/>
                <w:color w:val="auto"/>
              </w:rPr>
            </w:pP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10.23</w:t>
            </w:r>
          </w:p>
        </w:tc>
        <w:tc>
          <w:tcPr>
            <w:tcW w:w="10600" w:type="dxa"/>
            <w:vAlign w:val="bottom"/>
          </w:tcPr>
          <w:p>
            <w:pPr>
              <w:ind w:left="180"/>
              <w:spacing w:after="0"/>
              <w:rPr>
                <w:sz w:val="20"/>
                <w:szCs w:val="20"/>
                <w:color w:val="auto"/>
              </w:rPr>
            </w:pPr>
            <w:r>
              <w:rPr>
                <w:rFonts w:ascii="Arial" w:cs="Arial" w:eastAsia="Arial" w:hAnsi="Arial"/>
                <w:sz w:val="18"/>
                <w:szCs w:val="18"/>
                <w:color w:val="auto"/>
                <w:w w:val="91"/>
              </w:rPr>
              <w:t>Employment Agreement dated as of July 9, 2003 between the Company and Linda Carlo (included as Exhibit 10.5 to the Company’s Quarterly</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Report on Form 10-Q filed on December 9, 2003,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10.24</w:t>
            </w:r>
          </w:p>
        </w:tc>
        <w:tc>
          <w:tcPr>
            <w:tcW w:w="10600" w:type="dxa"/>
            <w:vAlign w:val="bottom"/>
          </w:tcPr>
          <w:p>
            <w:pPr>
              <w:ind w:left="180"/>
              <w:spacing w:after="0"/>
              <w:rPr>
                <w:sz w:val="20"/>
                <w:szCs w:val="20"/>
                <w:color w:val="auto"/>
              </w:rPr>
            </w:pPr>
            <w:r>
              <w:rPr>
                <w:rFonts w:ascii="Arial" w:cs="Arial" w:eastAsia="Arial" w:hAnsi="Arial"/>
                <w:sz w:val="18"/>
                <w:szCs w:val="18"/>
                <w:color w:val="auto"/>
              </w:rPr>
              <w:t>First Amendment to Employment Agreement, dated as of June 29, 2004, between the Company and Linda B. Carlo.</w:t>
            </w:r>
          </w:p>
        </w:tc>
        <w:tc>
          <w:tcPr>
            <w:tcW w:w="180" w:type="dxa"/>
            <w:vAlign w:val="bottom"/>
          </w:tcPr>
          <w:p>
            <w:pPr>
              <w:spacing w:after="0"/>
              <w:rPr>
                <w:sz w:val="24"/>
                <w:szCs w:val="24"/>
                <w:color w:val="auto"/>
              </w:rPr>
            </w:pP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10.25</w:t>
            </w:r>
          </w:p>
        </w:tc>
        <w:tc>
          <w:tcPr>
            <w:tcW w:w="10600" w:type="dxa"/>
            <w:vAlign w:val="bottom"/>
          </w:tcPr>
          <w:p>
            <w:pPr>
              <w:ind w:left="180"/>
              <w:spacing w:after="0"/>
              <w:rPr>
                <w:sz w:val="20"/>
                <w:szCs w:val="20"/>
                <w:color w:val="auto"/>
              </w:rPr>
            </w:pPr>
            <w:r>
              <w:rPr>
                <w:rFonts w:ascii="Arial" w:cs="Arial" w:eastAsia="Arial" w:hAnsi="Arial"/>
                <w:sz w:val="18"/>
                <w:szCs w:val="18"/>
                <w:color w:val="auto"/>
                <w:w w:val="89"/>
              </w:rPr>
              <w:t>Severance Compensation Agreement dated as of May 7, 2002 by and between Casual Male Corp. and Joseph H. Cornely, III (included as Exhibit</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10.6 to the Company’s Quarterly Report on Form 10-Q filed on December 9, 2003,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10.26</w:t>
            </w:r>
          </w:p>
        </w:tc>
        <w:tc>
          <w:tcPr>
            <w:tcW w:w="10600" w:type="dxa"/>
            <w:vAlign w:val="bottom"/>
          </w:tcPr>
          <w:p>
            <w:pPr>
              <w:ind w:left="180"/>
              <w:spacing w:after="0"/>
              <w:rPr>
                <w:sz w:val="20"/>
                <w:szCs w:val="20"/>
                <w:color w:val="auto"/>
              </w:rPr>
            </w:pPr>
            <w:r>
              <w:rPr>
                <w:rFonts w:ascii="Arial" w:cs="Arial" w:eastAsia="Arial" w:hAnsi="Arial"/>
                <w:sz w:val="18"/>
                <w:szCs w:val="18"/>
                <w:color w:val="auto"/>
                <w:w w:val="93"/>
              </w:rPr>
              <w:t>Employment Agreement dated October 29, 2004 between the Company and Robert L. Sockolov (included as Exhibit 99.1 to the Company’s</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Current Report on Form 8-K filed on November 4, 2004,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10.27</w:t>
            </w:r>
          </w:p>
        </w:tc>
        <w:tc>
          <w:tcPr>
            <w:tcW w:w="10600" w:type="dxa"/>
            <w:vAlign w:val="bottom"/>
          </w:tcPr>
          <w:p>
            <w:pPr>
              <w:ind w:left="180"/>
              <w:spacing w:after="0"/>
              <w:rPr>
                <w:sz w:val="20"/>
                <w:szCs w:val="20"/>
                <w:color w:val="auto"/>
              </w:rPr>
            </w:pPr>
            <w:r>
              <w:rPr>
                <w:rFonts w:ascii="Arial" w:cs="Arial" w:eastAsia="Arial" w:hAnsi="Arial"/>
                <w:sz w:val="18"/>
                <w:szCs w:val="18"/>
                <w:color w:val="auto"/>
              </w:rPr>
              <w:t>Employment Agreement dated March 9, 2005 between the Company and Ronald Ramseyer.</w:t>
            </w:r>
          </w:p>
        </w:tc>
        <w:tc>
          <w:tcPr>
            <w:tcW w:w="180" w:type="dxa"/>
            <w:vAlign w:val="bottom"/>
          </w:tcPr>
          <w:p>
            <w:pPr>
              <w:spacing w:after="0"/>
              <w:rPr>
                <w:sz w:val="24"/>
                <w:szCs w:val="24"/>
                <w:color w:val="auto"/>
              </w:rPr>
            </w:pP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10.28</w:t>
            </w:r>
          </w:p>
        </w:tc>
        <w:tc>
          <w:tcPr>
            <w:tcW w:w="10600" w:type="dxa"/>
            <w:vAlign w:val="bottom"/>
          </w:tcPr>
          <w:p>
            <w:pPr>
              <w:ind w:left="180"/>
              <w:spacing w:after="0"/>
              <w:rPr>
                <w:sz w:val="20"/>
                <w:szCs w:val="20"/>
                <w:color w:val="auto"/>
              </w:rPr>
            </w:pPr>
            <w:r>
              <w:rPr>
                <w:rFonts w:ascii="Arial" w:cs="Arial" w:eastAsia="Arial" w:hAnsi="Arial"/>
                <w:sz w:val="18"/>
                <w:szCs w:val="18"/>
                <w:color w:val="auto"/>
                <w:w w:val="89"/>
              </w:rPr>
              <w:t>Asset Purchase Agreement entered into as of May 2, 2002, by and among the Company and Casual Male Corp. and certain subsidiaries (included</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as Exhibit 10.1 to the Company’s Current Report on Form 8-K filed on May 23, 2002,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10.29</w:t>
            </w:r>
          </w:p>
        </w:tc>
        <w:tc>
          <w:tcPr>
            <w:tcW w:w="10600" w:type="dxa"/>
            <w:vAlign w:val="bottom"/>
          </w:tcPr>
          <w:p>
            <w:pPr>
              <w:ind w:left="180"/>
              <w:spacing w:after="0"/>
              <w:rPr>
                <w:sz w:val="20"/>
                <w:szCs w:val="20"/>
                <w:color w:val="auto"/>
              </w:rPr>
            </w:pPr>
            <w:r>
              <w:rPr>
                <w:rFonts w:ascii="Arial" w:cs="Arial" w:eastAsia="Arial" w:hAnsi="Arial"/>
                <w:sz w:val="18"/>
                <w:szCs w:val="18"/>
                <w:color w:val="auto"/>
                <w:w w:val="89"/>
              </w:rPr>
              <w:t>Amended and Restated Note Agreement, dated as of April 26, 2002, and amended and restated as of May 14, 2002, among the Company, certain</w:t>
            </w:r>
          </w:p>
        </w:tc>
        <w:tc>
          <w:tcPr>
            <w:tcW w:w="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w w:val="89"/>
              </w:rPr>
              <w:t>subsidiaries of the Company and the purchasers identified therein (included as Exhibit 10.2 to the Company’s Current Report on Form 8-K filed on</w:t>
            </w:r>
          </w:p>
        </w:tc>
        <w:tc>
          <w:tcPr>
            <w:tcW w:w="18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May 23, 2002,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10.30</w:t>
            </w:r>
          </w:p>
        </w:tc>
        <w:tc>
          <w:tcPr>
            <w:tcW w:w="10600" w:type="dxa"/>
            <w:vAlign w:val="bottom"/>
          </w:tcPr>
          <w:p>
            <w:pPr>
              <w:ind w:left="180"/>
              <w:spacing w:after="0"/>
              <w:rPr>
                <w:sz w:val="20"/>
                <w:szCs w:val="20"/>
                <w:color w:val="auto"/>
              </w:rPr>
            </w:pPr>
            <w:r>
              <w:rPr>
                <w:rFonts w:ascii="Arial" w:cs="Arial" w:eastAsia="Arial" w:hAnsi="Arial"/>
                <w:sz w:val="18"/>
                <w:szCs w:val="18"/>
                <w:color w:val="auto"/>
                <w:w w:val="90"/>
              </w:rPr>
              <w:t>Form of Warrant to Purchase Shares of Common Stock (aggregating 787,500 shares) (included as Exhibit 10.5 to the Company’s Current Report</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10.31</w:t>
            </w:r>
          </w:p>
        </w:tc>
        <w:tc>
          <w:tcPr>
            <w:tcW w:w="10600" w:type="dxa"/>
            <w:vAlign w:val="bottom"/>
          </w:tcPr>
          <w:p>
            <w:pPr>
              <w:ind w:left="180"/>
              <w:spacing w:after="0"/>
              <w:rPr>
                <w:sz w:val="20"/>
                <w:szCs w:val="20"/>
                <w:color w:val="auto"/>
              </w:rPr>
            </w:pPr>
            <w:r>
              <w:rPr>
                <w:rFonts w:ascii="Arial" w:cs="Arial" w:eastAsia="Arial" w:hAnsi="Arial"/>
                <w:sz w:val="18"/>
                <w:szCs w:val="18"/>
                <w:color w:val="auto"/>
                <w:w w:val="90"/>
              </w:rPr>
              <w:t>Form of Warrant to Purchase Shares of Common Stock (aggregating 927,500 shares) (included as Exhibit 10.6 to the Company’s Current Report</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10.32</w:t>
            </w:r>
          </w:p>
        </w:tc>
        <w:tc>
          <w:tcPr>
            <w:tcW w:w="10600" w:type="dxa"/>
            <w:vAlign w:val="bottom"/>
          </w:tcPr>
          <w:p>
            <w:pPr>
              <w:ind w:left="180"/>
              <w:spacing w:after="0"/>
              <w:rPr>
                <w:sz w:val="20"/>
                <w:szCs w:val="20"/>
                <w:color w:val="auto"/>
              </w:rPr>
            </w:pPr>
            <w:r>
              <w:rPr>
                <w:rFonts w:ascii="Arial" w:cs="Arial" w:eastAsia="Arial" w:hAnsi="Arial"/>
                <w:sz w:val="18"/>
                <w:szCs w:val="18"/>
                <w:color w:val="auto"/>
                <w:w w:val="88"/>
              </w:rPr>
              <w:t>Form of Warrant to Purchase Shares of Common Stock (aggregating 1,176,471 shares) (included as Exhibit 10.7 to the Company’s Current Report</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on Form 8-K filed on May 23, 2002,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10.33</w:t>
            </w:r>
          </w:p>
        </w:tc>
        <w:tc>
          <w:tcPr>
            <w:tcW w:w="10600" w:type="dxa"/>
            <w:vAlign w:val="bottom"/>
          </w:tcPr>
          <w:p>
            <w:pPr>
              <w:ind w:left="180"/>
              <w:spacing w:after="0"/>
              <w:rPr>
                <w:sz w:val="20"/>
                <w:szCs w:val="20"/>
                <w:color w:val="auto"/>
              </w:rPr>
            </w:pPr>
            <w:r>
              <w:rPr>
                <w:rFonts w:ascii="Arial" w:cs="Arial" w:eastAsia="Arial" w:hAnsi="Arial"/>
                <w:sz w:val="18"/>
                <w:szCs w:val="18"/>
                <w:color w:val="auto"/>
                <w:w w:val="92"/>
              </w:rPr>
              <w:t>Registration Rights Agreement entered into as of April 26, 2002, by and between the Company and the persons identified therein (included as</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Exhibit 10.8 to the Company’s Current Report on Form 8-K filed on May 23, 2002,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10.34</w:t>
            </w:r>
          </w:p>
        </w:tc>
        <w:tc>
          <w:tcPr>
            <w:tcW w:w="10600" w:type="dxa"/>
            <w:vAlign w:val="bottom"/>
          </w:tcPr>
          <w:p>
            <w:pPr>
              <w:ind w:left="180"/>
              <w:spacing w:after="0"/>
              <w:rPr>
                <w:sz w:val="20"/>
                <w:szCs w:val="20"/>
                <w:color w:val="auto"/>
              </w:rPr>
            </w:pPr>
            <w:r>
              <w:rPr>
                <w:rFonts w:ascii="Arial" w:cs="Arial" w:eastAsia="Arial" w:hAnsi="Arial"/>
                <w:sz w:val="18"/>
                <w:szCs w:val="18"/>
                <w:color w:val="auto"/>
                <w:w w:val="90"/>
              </w:rPr>
              <w:t>Purchase Agreement dated November 12, 2003 by and between the Company and Thomas Weisel Partners LLC (included as Exhibit 10.3 to the</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December 9, 2003,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10.35</w:t>
            </w:r>
          </w:p>
        </w:tc>
        <w:tc>
          <w:tcPr>
            <w:tcW w:w="10600" w:type="dxa"/>
            <w:vAlign w:val="bottom"/>
          </w:tcPr>
          <w:p>
            <w:pPr>
              <w:ind w:left="180"/>
              <w:spacing w:after="0"/>
              <w:rPr>
                <w:sz w:val="20"/>
                <w:szCs w:val="20"/>
                <w:color w:val="auto"/>
              </w:rPr>
            </w:pPr>
            <w:r>
              <w:rPr>
                <w:rFonts w:ascii="Arial" w:cs="Arial" w:eastAsia="Arial" w:hAnsi="Arial"/>
                <w:sz w:val="18"/>
                <w:szCs w:val="18"/>
                <w:color w:val="auto"/>
                <w:w w:val="91"/>
              </w:rPr>
              <w:t>Registration Rights Agreement dated November 18, 2003 by and between the Company And Thomas Weisel Partners LLC (included as Exhibit</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10.4 to the Company’s Quarterly Report on Form 10-Q filed on December 9, 2003,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10.36</w:t>
            </w:r>
          </w:p>
        </w:tc>
        <w:tc>
          <w:tcPr>
            <w:tcW w:w="10600" w:type="dxa"/>
            <w:vAlign w:val="bottom"/>
          </w:tcPr>
          <w:p>
            <w:pPr>
              <w:ind w:left="180"/>
              <w:spacing w:after="0"/>
              <w:rPr>
                <w:sz w:val="20"/>
                <w:szCs w:val="20"/>
                <w:color w:val="auto"/>
              </w:rPr>
            </w:pPr>
            <w:r>
              <w:rPr>
                <w:rFonts w:ascii="Arial" w:cs="Arial" w:eastAsia="Arial" w:hAnsi="Arial"/>
                <w:sz w:val="18"/>
                <w:szCs w:val="18"/>
                <w:color w:val="auto"/>
                <w:w w:val="91"/>
              </w:rPr>
              <w:t>Sourcing Agreement dated May 1, 2002, between the Company and Kellwood Company (included as Exhibit 10.29 to the Company’s Quarterly</w:t>
            </w:r>
          </w:p>
        </w:tc>
        <w:tc>
          <w:tcPr>
            <w:tcW w:w="18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00" w:type="dxa"/>
            <w:vAlign w:val="bottom"/>
          </w:tcPr>
          <w:p>
            <w:pPr>
              <w:ind w:left="180"/>
              <w:spacing w:after="0"/>
              <w:rPr>
                <w:sz w:val="20"/>
                <w:szCs w:val="20"/>
                <w:color w:val="auto"/>
              </w:rPr>
            </w:pPr>
            <w:r>
              <w:rPr>
                <w:rFonts w:ascii="Arial" w:cs="Arial" w:eastAsia="Arial" w:hAnsi="Arial"/>
                <w:sz w:val="18"/>
                <w:szCs w:val="18"/>
                <w:color w:val="auto"/>
              </w:rPr>
              <w:t>Report on Form 10-Q filed on June 18, 2002, and incorporated herein by reference).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560" w:type="dxa"/>
            <w:vAlign w:val="bottom"/>
          </w:tcPr>
          <w:p>
            <w:pPr>
              <w:spacing w:after="0"/>
              <w:rPr>
                <w:sz w:val="24"/>
                <w:szCs w:val="24"/>
                <w:color w:val="auto"/>
              </w:rPr>
            </w:pPr>
          </w:p>
        </w:tc>
        <w:tc>
          <w:tcPr>
            <w:tcW w:w="10600" w:type="dxa"/>
            <w:vAlign w:val="bottom"/>
          </w:tcPr>
          <w:p>
            <w:pPr>
              <w:ind w:left="498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10.37</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3"/>
              </w:rPr>
              <w:t>Form of Warrant to Purchase Shares of Common Stock (aggregating 500,000 shares) (included as Exhibit 10.31 to the Company’s Quarterly</w:t>
            </w:r>
          </w:p>
        </w:tc>
        <w:tc>
          <w:tcPr>
            <w:tcW w:w="16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Report on Form 10-Q filed on September 17, 2002,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10.38</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89"/>
              </w:rPr>
              <w:t>Asset Purchase Agreement by and among the Company and Rochester Big &amp; Tall Clothing, Inc., dated as of August 18, 2004 (included as Exhibit</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10.3 to the Company’s Quarterly Report on Form 10-Q filed on December 9, 2004,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10.39</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0"/>
              </w:rPr>
              <w:t>Asset Purchase Agreement by and among the Company, Designs JV, LLC, Designs Apparel, Inc. and Hub Holding Corp., dated as of November</w:t>
            </w:r>
          </w:p>
        </w:tc>
        <w:tc>
          <w:tcPr>
            <w:tcW w:w="1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3"/>
              </w:rPr>
              <w:t>24, 2004 (included as Exhibit 10.4 to the Company’s Quarterly Report on Form 10-Q filed on December 9, 2004, and incorporated herein by</w:t>
            </w:r>
          </w:p>
        </w:tc>
        <w:tc>
          <w:tcPr>
            <w:tcW w:w="16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Subsidiaries of the Registrant.</w:t>
            </w:r>
          </w:p>
        </w:tc>
        <w:tc>
          <w:tcPr>
            <w:tcW w:w="160" w:type="dxa"/>
            <w:vAlign w:val="bottom"/>
          </w:tcPr>
          <w:p>
            <w:pPr>
              <w:spacing w:after="0"/>
              <w:rPr>
                <w:sz w:val="24"/>
                <w:szCs w:val="24"/>
                <w:color w:val="auto"/>
              </w:rPr>
            </w:pP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23.1</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c>
          <w:tcPr>
            <w:tcW w:w="160" w:type="dxa"/>
            <w:vAlign w:val="bottom"/>
          </w:tcPr>
          <w:p>
            <w:pPr>
              <w:spacing w:after="0"/>
              <w:rPr>
                <w:sz w:val="24"/>
                <w:szCs w:val="24"/>
                <w:color w:val="auto"/>
              </w:rPr>
            </w:pP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31.1</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c>
          <w:tcPr>
            <w:tcW w:w="160" w:type="dxa"/>
            <w:vAlign w:val="bottom"/>
          </w:tcPr>
          <w:p>
            <w:pPr>
              <w:spacing w:after="0"/>
              <w:rPr>
                <w:sz w:val="24"/>
                <w:szCs w:val="24"/>
                <w:color w:val="auto"/>
              </w:rPr>
            </w:pP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31.2</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c>
          <w:tcPr>
            <w:tcW w:w="160" w:type="dxa"/>
            <w:vAlign w:val="bottom"/>
          </w:tcPr>
          <w:p>
            <w:pPr>
              <w:spacing w:after="0"/>
              <w:rPr>
                <w:sz w:val="24"/>
                <w:szCs w:val="24"/>
                <w:color w:val="auto"/>
              </w:rPr>
            </w:pP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32.1</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 of</w:t>
            </w:r>
          </w:p>
        </w:tc>
        <w:tc>
          <w:tcPr>
            <w:tcW w:w="160" w:type="dxa"/>
            <w:vAlign w:val="bottom"/>
          </w:tcPr>
          <w:p>
            <w:pPr>
              <w:spacing w:after="0"/>
              <w:rPr>
                <w:sz w:val="24"/>
                <w:szCs w:val="24"/>
                <w:color w:val="auto"/>
              </w:rPr>
            </w:pPr>
          </w:p>
        </w:tc>
      </w:tr>
      <w:tr>
        <w:trPr>
          <w:trHeight w:val="222"/>
        </w:trPr>
        <w:tc>
          <w:tcPr>
            <w:tcW w:w="560" w:type="dxa"/>
            <w:vAlign w:val="bottom"/>
          </w:tcPr>
          <w:p>
            <w:pPr>
              <w:spacing w:after="0"/>
              <w:rPr>
                <w:sz w:val="19"/>
                <w:szCs w:val="19"/>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w w:val="84"/>
              </w:rPr>
              <w:t>2002.</w:t>
            </w:r>
          </w:p>
        </w:tc>
        <w:tc>
          <w:tcPr>
            <w:tcW w:w="100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24"/>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32.2</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 Act of 2002.</w:t>
            </w:r>
          </w:p>
        </w:tc>
        <w:tc>
          <w:tcPr>
            <w:tcW w:w="160" w:type="dxa"/>
            <w:vAlign w:val="bottom"/>
          </w:tcPr>
          <w:p>
            <w:pPr>
              <w:spacing w:after="0"/>
              <w:rPr>
                <w:sz w:val="24"/>
                <w:szCs w:val="24"/>
                <w:color w:val="auto"/>
              </w:rPr>
            </w:pPr>
          </w:p>
        </w:tc>
      </w:tr>
      <w:tr>
        <w:trPr>
          <w:trHeight w:val="318"/>
        </w:trPr>
        <w:tc>
          <w:tcPr>
            <w:tcW w:w="560" w:type="dxa"/>
            <w:vAlign w:val="bottom"/>
          </w:tcPr>
          <w:p>
            <w:pPr>
              <w:jc w:val="right"/>
              <w:ind w:right="72"/>
              <w:spacing w:after="0"/>
              <w:rPr>
                <w:sz w:val="20"/>
                <w:szCs w:val="20"/>
                <w:color w:val="auto"/>
              </w:rPr>
            </w:pPr>
            <w:r>
              <w:rPr>
                <w:rFonts w:ascii="Arial" w:cs="Arial" w:eastAsia="Arial" w:hAnsi="Arial"/>
                <w:sz w:val="18"/>
                <w:szCs w:val="18"/>
                <w:color w:val="auto"/>
              </w:rPr>
              <w:t>99.1</w:t>
            </w: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1"/>
              </w:rPr>
              <w:t>Certain cautionary statements of the Company to be taken into account in conjunction with consideration and review of the Company’s publicly-</w:t>
            </w:r>
          </w:p>
        </w:tc>
        <w:tc>
          <w:tcPr>
            <w:tcW w:w="16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0"/>
              </w:rPr>
              <w:t>disseminated documents (including oral statements made by others on behalf of the Company) that include forward-looking information (included</w:t>
            </w:r>
          </w:p>
        </w:tc>
        <w:tc>
          <w:tcPr>
            <w:tcW w:w="16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rPr>
              <w:t>as Exhibit 99.1 to the Company’s Current Report on Form 8-K filed on April 8, 2005, and incorporated herein by reference).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6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10040" w:type="dxa"/>
            <w:vAlign w:val="bottom"/>
          </w:tcPr>
          <w:p>
            <w:pPr>
              <w:jc w:val="right"/>
              <w:ind w:right="5472"/>
              <w:spacing w:after="0"/>
              <w:rPr>
                <w:sz w:val="20"/>
                <w:szCs w:val="20"/>
                <w:color w:val="auto"/>
              </w:rPr>
            </w:pPr>
            <w:r>
              <w:rPr>
                <w:rFonts w:ascii="Arial" w:cs="Arial" w:eastAsia="Arial" w:hAnsi="Arial"/>
                <w:sz w:val="18"/>
                <w:szCs w:val="18"/>
                <w:color w:val="auto"/>
                <w:w w:val="88"/>
              </w:rPr>
              <w:t>Previously filed with the Securities and Exchange Commission.</w:t>
            </w:r>
          </w:p>
        </w:tc>
        <w:tc>
          <w:tcPr>
            <w:tcW w:w="160" w:type="dxa"/>
            <w:vAlign w:val="bottom"/>
          </w:tcPr>
          <w:p>
            <w:pPr>
              <w:spacing w:after="0"/>
              <w:rPr>
                <w:sz w:val="24"/>
                <w:szCs w:val="24"/>
                <w:color w:val="auto"/>
              </w:rPr>
            </w:pPr>
          </w:p>
        </w:tc>
      </w:tr>
      <w:tr>
        <w:trPr>
          <w:trHeight w:val="365"/>
        </w:trPr>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40" w:type="dxa"/>
            <w:vAlign w:val="bottom"/>
          </w:tcPr>
          <w:p>
            <w:pPr>
              <w:jc w:val="right"/>
              <w:ind w:right="5372"/>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11, 2005</w:t>
      </w:r>
    </w:p>
    <w:p>
      <w:pPr>
        <w:spacing w:after="0" w:line="219" w:lineRule="exact"/>
        <w:rPr>
          <w:sz w:val="20"/>
          <w:szCs w:val="20"/>
          <w:color w:val="auto"/>
        </w:rPr>
      </w:pPr>
    </w:p>
    <w:p>
      <w:pPr>
        <w:ind w:left="6080"/>
        <w:spacing w:after="0"/>
        <w:tabs>
          <w:tab w:leader="none" w:pos="6500" w:val="left"/>
        </w:tabs>
        <w:rPr>
          <w:sz w:val="20"/>
          <w:szCs w:val="20"/>
          <w:color w:val="auto"/>
        </w:rPr>
      </w:pPr>
      <w:r>
        <w:rPr>
          <w:rFonts w:ascii="Arial" w:cs="Arial" w:eastAsia="Arial" w:hAnsi="Arial"/>
          <w:sz w:val="18"/>
          <w:szCs w:val="18"/>
          <w:color w:val="auto"/>
        </w:rPr>
        <w:t>By:</w:t>
        <w:tab/>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and Exchange Act of 1934, this report has been signed below by the following persons on behalf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in the capacities indicated, on April 11,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/s/ David A. Levin</w:t>
            </w:r>
          </w:p>
        </w:tc>
        <w:tc>
          <w:tcPr>
            <w:tcW w:w="2180" w:type="dxa"/>
            <w:vAlign w:val="bottom"/>
          </w:tcPr>
          <w:p>
            <w:pPr>
              <w:spacing w:after="0"/>
              <w:rPr>
                <w:sz w:val="19"/>
                <w:szCs w:val="19"/>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w w:val="90"/>
              </w:rPr>
              <w:t>President and Chief Executive Officer (Principal Executive Officer)</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David A. Levin</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/s/ Dennis R. Hernreich</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w w:val="91"/>
              </w:rPr>
              <w:t>Executive Vice President, Chief Operating Officer, Chief Financial</w:t>
            </w:r>
          </w:p>
        </w:tc>
        <w:tc>
          <w:tcPr>
            <w:tcW w:w="0" w:type="dxa"/>
            <w:vAlign w:val="bottom"/>
          </w:tcPr>
          <w:p>
            <w:pPr>
              <w:spacing w:after="0"/>
              <w:rPr>
                <w:sz w:val="1"/>
                <w:szCs w:val="1"/>
                <w:color w:val="auto"/>
              </w:rPr>
            </w:pPr>
          </w:p>
        </w:tc>
      </w:tr>
      <w:tr>
        <w:trPr>
          <w:trHeight w:val="116"/>
        </w:trPr>
        <w:tc>
          <w:tcPr>
            <w:tcW w:w="36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5240" w:type="dxa"/>
            <w:vAlign w:val="bottom"/>
            <w:vMerge w:val="restart"/>
          </w:tcPr>
          <w:p>
            <w:pPr>
              <w:ind w:left="680"/>
              <w:spacing w:after="0"/>
              <w:rPr>
                <w:sz w:val="20"/>
                <w:szCs w:val="20"/>
                <w:color w:val="auto"/>
              </w:rPr>
            </w:pPr>
            <w:r>
              <w:rPr>
                <w:rFonts w:ascii="Arial" w:cs="Arial" w:eastAsia="Arial" w:hAnsi="Arial"/>
                <w:sz w:val="18"/>
                <w:szCs w:val="18"/>
                <w:color w:val="auto"/>
                <w:w w:val="91"/>
              </w:rPr>
              <w:t>Officer and Treasurer (Principal Financial Officer and Principal</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2180" w:type="dxa"/>
            <w:vAlign w:val="bottom"/>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r>
              <w:rPr>
                <w:rFonts w:ascii="Arial" w:cs="Arial" w:eastAsia="Arial" w:hAnsi="Arial"/>
                <w:sz w:val="18"/>
                <w:szCs w:val="18"/>
                <w:color w:val="auto"/>
              </w:rPr>
              <w:t>Dennis R. Hernreich</w:t>
            </w:r>
          </w:p>
        </w:tc>
        <w:tc>
          <w:tcPr>
            <w:tcW w:w="2180" w:type="dxa"/>
            <w:vAlign w:val="bottom"/>
          </w:tcPr>
          <w:p>
            <w:pPr>
              <w:spacing w:after="0"/>
              <w:rPr>
                <w:sz w:val="20"/>
                <w:szCs w:val="20"/>
                <w:color w:val="auto"/>
              </w:rPr>
            </w:pPr>
          </w:p>
        </w:tc>
        <w:tc>
          <w:tcPr>
            <w:tcW w:w="5240" w:type="dxa"/>
            <w:vAlign w:val="bottom"/>
          </w:tcPr>
          <w:p>
            <w:pPr>
              <w:ind w:left="68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/s/ Seymour Holtzman</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Seymour Holtzman</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/s/ Alan S. Bernikow</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Alan S. Bernikow</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/s/ Jesse H. Choper</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Jesse H. Choper</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/s/ James P. Frain</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James P. Frain</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/s/ George T. Porter, Jr.</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George T. Porter, Jr.</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/s/ Joseph Pennacchio</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Joseph Pennacchio</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/s/ Robert L. Sockolov</w:t>
            </w:r>
          </w:p>
        </w:tc>
        <w:tc>
          <w:tcPr>
            <w:tcW w:w="2180" w:type="dxa"/>
            <w:vAlign w:val="bottom"/>
          </w:tcPr>
          <w:p>
            <w:pPr>
              <w:spacing w:after="0"/>
              <w:rPr>
                <w:sz w:val="24"/>
                <w:szCs w:val="24"/>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Director and Chief Executive Officer of Rochester Division</w:t>
            </w:r>
          </w:p>
        </w:tc>
        <w:tc>
          <w:tcPr>
            <w:tcW w:w="0" w:type="dxa"/>
            <w:vAlign w:val="bottom"/>
          </w:tcPr>
          <w:p>
            <w:pPr>
              <w:spacing w:after="0"/>
              <w:rPr>
                <w:sz w:val="1"/>
                <w:szCs w:val="1"/>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40" w:type="dxa"/>
            <w:vAlign w:val="bottom"/>
          </w:tcPr>
          <w:p>
            <w:pPr>
              <w:spacing w:after="0"/>
              <w:rPr>
                <w:sz w:val="20"/>
                <w:szCs w:val="20"/>
                <w:color w:val="auto"/>
              </w:rPr>
            </w:pPr>
            <w:r>
              <w:rPr>
                <w:rFonts w:ascii="Arial" w:cs="Arial" w:eastAsia="Arial" w:hAnsi="Arial"/>
                <w:sz w:val="18"/>
                <w:szCs w:val="18"/>
                <w:color w:val="auto"/>
              </w:rPr>
              <w:t>Robert L. Sockolov</w:t>
            </w:r>
          </w:p>
        </w:tc>
        <w:tc>
          <w:tcPr>
            <w:tcW w:w="2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76</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WHEREAS, Casual Male Retail Group, Inc., (formerly Designs, Inc., “CMRG”) and David A. Levin (“Executive”) entered into a certain Employment Agreement dated as of March 31, 2000, as amended by Letter Agreement dated April 10, 2001, Second Amendment to Employment Agreement dated January 30, 2003 and by Third Amendment to Employment Agreement dated July 9, 2003 (hereinafter referred to as the “Agreement”); and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127" w:lineRule="exact"/>
        <w:rPr>
          <w:sz w:val="20"/>
          <w:szCs w:val="20"/>
          <w:color w:val="auto"/>
        </w:rPr>
      </w:pPr>
    </w:p>
    <w:p>
      <w:pPr>
        <w:ind w:left="460" w:right="2980" w:hanging="452"/>
        <w:spacing w:after="0" w:line="422" w:lineRule="auto"/>
        <w:tabs>
          <w:tab w:leader="none" w:pos="4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Section 3 of the Agreement is hereby deleted in its entirety and the following is hereby substituted in lieu thereof: “3. </w:t>
      </w:r>
      <w:r>
        <w:rPr>
          <w:rFonts w:ascii="Arial" w:cs="Arial" w:eastAsia="Arial" w:hAnsi="Arial"/>
          <w:sz w:val="18"/>
          <w:szCs w:val="18"/>
          <w:u w:val="single" w:color="auto"/>
          <w:color w:val="auto"/>
        </w:rPr>
        <w:t>COMPENSATION</w:t>
      </w:r>
    </w:p>
    <w:p>
      <w:pPr>
        <w:spacing w:after="0" w:line="1"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As Compensation for the employment services to be rendered by the Executive hereunder; the Company agrees to pay to Executive, and Executive agrees to accept, payable in equal installments in accordance with Company practice an annual base salary of $575,000, effective as of May 1, 2004.”</w:t>
      </w:r>
    </w:p>
    <w:p>
      <w:pPr>
        <w:spacing w:after="0" w:line="127" w:lineRule="exact"/>
        <w:rPr>
          <w:sz w:val="20"/>
          <w:szCs w:val="20"/>
          <w:color w:val="auto"/>
        </w:rPr>
      </w:pPr>
    </w:p>
    <w:p>
      <w:pPr>
        <w:ind w:left="460" w:right="2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extent modified and amended herein.</w:t>
      </w:r>
    </w:p>
    <w:p>
      <w:pPr>
        <w:spacing w:after="0" w:line="118"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IN WITNESS WHEREOF, the parties hereto have executed this Second Amendment to Employment Agreement as a sealed instrument, in any number of counterpart copies, each of which shall be deemed an original for all purposes, as of the day and year first written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 (Company)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2"/>
          </w:tcPr>
          <w:p>
            <w:pPr>
              <w:spacing w:after="0"/>
              <w:rPr>
                <w:sz w:val="20"/>
                <w:szCs w:val="20"/>
                <w:color w:val="auto"/>
              </w:rPr>
            </w:pPr>
            <w:r>
              <w:rPr>
                <w:rFonts w:ascii="Arial" w:cs="Arial" w:eastAsia="Arial" w:hAnsi="Arial"/>
                <w:sz w:val="18"/>
                <w:szCs w:val="18"/>
                <w:color w:val="auto"/>
              </w:rPr>
              <w:t>By: /s/</w:t>
            </w:r>
          </w:p>
        </w:tc>
        <w:tc>
          <w:tcPr>
            <w:tcW w:w="2260" w:type="dxa"/>
            <w:vAlign w:val="bottom"/>
            <w:gridSpan w:val="2"/>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c>
          <w:tcPr>
            <w:tcW w:w="76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4"/>
              </w:rPr>
              <w:t>June 29, 2004</w:t>
            </w:r>
          </w:p>
        </w:tc>
      </w:tr>
      <w:tr>
        <w:trPr>
          <w:trHeight w:val="228"/>
        </w:trPr>
        <w:tc>
          <w:tcPr>
            <w:tcW w:w="300" w:type="dxa"/>
            <w:vAlign w:val="bottom"/>
          </w:tcPr>
          <w:p>
            <w:pPr>
              <w:spacing w:after="0"/>
              <w:rPr>
                <w:sz w:val="19"/>
                <w:szCs w:val="19"/>
                <w:color w:val="auto"/>
              </w:rPr>
            </w:pPr>
          </w:p>
        </w:tc>
        <w:tc>
          <w:tcPr>
            <w:tcW w:w="2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Dennis R. Hernreich</w:t>
            </w:r>
          </w:p>
        </w:tc>
        <w:tc>
          <w:tcPr>
            <w:tcW w:w="76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16"/>
        </w:trPr>
        <w:tc>
          <w:tcPr>
            <w:tcW w:w="30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w w:val="94"/>
              </w:rPr>
              <w:t>Chief Financial Officer, Treasurer</w:t>
            </w: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and Secretary</w:t>
            </w: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594"/>
        </w:trPr>
        <w:tc>
          <w:tcPr>
            <w:tcW w:w="30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8"/>
                <w:szCs w:val="18"/>
                <w:b w:val="1"/>
                <w:bCs w:val="1"/>
                <w:color w:val="auto"/>
              </w:rPr>
              <w:t>Executive</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2"/>
        </w:trPr>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76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June 29, 2004</w:t>
            </w:r>
          </w:p>
        </w:tc>
      </w:tr>
      <w:tr>
        <w:trPr>
          <w:trHeight w:val="241"/>
        </w:trPr>
        <w:tc>
          <w:tcPr>
            <w:tcW w:w="300" w:type="dxa"/>
            <w:vAlign w:val="bottom"/>
          </w:tcPr>
          <w:p>
            <w:pPr>
              <w:spacing w:after="0"/>
              <w:rPr>
                <w:sz w:val="20"/>
                <w:szCs w:val="20"/>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WHEREAS, Casual Male Retail Group, Inc., (formerly Designs, Inc., “CMRG”) and Dennis R. Hernreich (“Executive”) entered into a certain Employment Agreement dated as of August 14, 2000, as amended by Letter Agreement dated April 25, 2001, Second Amendment to Employment Agreement dated January 30, 2003 and Third Amendment to Employment Agreement dated July 9, 2003 (hereinafter referred to as the “Agreement”); and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127" w:lineRule="exact"/>
        <w:rPr>
          <w:sz w:val="20"/>
          <w:szCs w:val="20"/>
          <w:color w:val="auto"/>
        </w:rPr>
      </w:pPr>
    </w:p>
    <w:p>
      <w:pPr>
        <w:ind w:left="1340" w:right="2780" w:hanging="1332"/>
        <w:spacing w:after="0" w:line="422" w:lineRule="auto"/>
        <w:tabs>
          <w:tab w:leader="none" w:pos="4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Section 3(a) of the Agreement is hereby deleted in its entirety and the following is hereby substituted in lieu thereof: “3. </w:t>
      </w:r>
      <w:r>
        <w:rPr>
          <w:rFonts w:ascii="Arial" w:cs="Arial" w:eastAsia="Arial" w:hAnsi="Arial"/>
          <w:sz w:val="18"/>
          <w:szCs w:val="18"/>
          <w:u w:val="single" w:color="auto"/>
          <w:color w:val="auto"/>
        </w:rPr>
        <w:t>COMPENSATION</w:t>
      </w:r>
    </w:p>
    <w:p>
      <w:pPr>
        <w:spacing w:after="0" w:line="1" w:lineRule="exact"/>
        <w:rPr>
          <w:rFonts w:ascii="Arial" w:cs="Arial" w:eastAsia="Arial" w:hAnsi="Arial"/>
          <w:sz w:val="18"/>
          <w:szCs w:val="18"/>
          <w:color w:val="auto"/>
        </w:rPr>
      </w:pPr>
    </w:p>
    <w:p>
      <w:pPr>
        <w:ind w:left="1500" w:right="60" w:hanging="8"/>
        <w:spacing w:after="0" w:line="259" w:lineRule="auto"/>
        <w:tabs>
          <w:tab w:leader="none" w:pos="173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the Executive hereunder, the Company agrees to pay to Executive, and Executive agrees to accept, payable in equal installments in accordance with Company practice, an annual base salary of $440,000, effective as of May 1, 2004.”</w:t>
      </w:r>
    </w:p>
    <w:p>
      <w:pPr>
        <w:spacing w:after="0" w:line="12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extend modified and amended herein.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WITNESS WHEREOF, the parties hereto have executed this Fourth Amendment to Employment Agreement as a sealed instrument, in any number of counterpart copies, each of which shall be deemed an original for all purposes, as of May 1,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 (Company)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gridSpan w:val="2"/>
          </w:tcPr>
          <w:p>
            <w:pPr>
              <w:spacing w:after="0"/>
              <w:rPr>
                <w:sz w:val="20"/>
                <w:szCs w:val="20"/>
                <w:color w:val="auto"/>
              </w:rPr>
            </w:pPr>
            <w:r>
              <w:rPr>
                <w:rFonts w:ascii="Arial" w:cs="Arial" w:eastAsia="Arial" w:hAnsi="Arial"/>
                <w:sz w:val="18"/>
                <w:szCs w:val="18"/>
                <w:color w:val="auto"/>
              </w:rPr>
              <w:t>By: /s/</w:t>
            </w:r>
          </w:p>
        </w:tc>
        <w:tc>
          <w:tcPr>
            <w:tcW w:w="1760" w:type="dxa"/>
            <w:vAlign w:val="bottom"/>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126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85"/>
              </w:rPr>
              <w:t>June 29, 2004</w:t>
            </w:r>
          </w:p>
        </w:tc>
      </w:tr>
      <w:tr>
        <w:trPr>
          <w:trHeight w:val="110"/>
        </w:trPr>
        <w:tc>
          <w:tcPr>
            <w:tcW w:w="300" w:type="dxa"/>
            <w:vAlign w:val="bottom"/>
          </w:tcPr>
          <w:p>
            <w:pPr>
              <w:spacing w:after="0"/>
              <w:rPr>
                <w:sz w:val="9"/>
                <w:szCs w:val="9"/>
                <w:color w:val="auto"/>
              </w:rPr>
            </w:pPr>
          </w:p>
        </w:tc>
        <w:tc>
          <w:tcPr>
            <w:tcW w:w="2020" w:type="dxa"/>
            <w:vAlign w:val="bottom"/>
            <w:tcBorders>
              <w:bottom w:val="single" w:sz="8" w:color="auto"/>
            </w:tcBorders>
            <w:gridSpan w:val="2"/>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09"/>
        </w:trPr>
        <w:tc>
          <w:tcPr>
            <w:tcW w:w="30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Date</w:t>
            </w:r>
          </w:p>
        </w:tc>
      </w:tr>
      <w:tr>
        <w:trPr>
          <w:trHeight w:val="216"/>
        </w:trPr>
        <w:tc>
          <w:tcPr>
            <w:tcW w:w="30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594"/>
        </w:trPr>
        <w:tc>
          <w:tcPr>
            <w:tcW w:w="30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1760" w:type="dxa"/>
            <w:vAlign w:val="bottom"/>
          </w:tcPr>
          <w:p>
            <w:pPr>
              <w:ind w:left="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ENNIS</w:t>
            </w:r>
            <w:r>
              <w:rPr>
                <w:rFonts w:ascii="Arial" w:cs="Arial" w:eastAsia="Arial" w:hAnsi="Arial"/>
                <w:sz w:val="18"/>
                <w:szCs w:val="18"/>
                <w:color w:val="auto"/>
                <w:w w:val="97"/>
              </w:rPr>
              <w:t xml:space="preserve"> R. H</w:t>
            </w:r>
            <w:r>
              <w:rPr>
                <w:rFonts w:ascii="Arial" w:cs="Arial" w:eastAsia="Arial" w:hAnsi="Arial"/>
                <w:sz w:val="14"/>
                <w:szCs w:val="14"/>
                <w:color w:val="auto"/>
                <w:w w:val="97"/>
              </w:rPr>
              <w:t>ERNREICH</w:t>
            </w:r>
          </w:p>
        </w:tc>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85"/>
              </w:rPr>
              <w:t>June 29, 2004</w:t>
            </w:r>
          </w:p>
        </w:tc>
      </w:tr>
      <w:tr>
        <w:trPr>
          <w:trHeight w:val="110"/>
        </w:trPr>
        <w:tc>
          <w:tcPr>
            <w:tcW w:w="300" w:type="dxa"/>
            <w:vAlign w:val="bottom"/>
          </w:tcPr>
          <w:p>
            <w:pPr>
              <w:spacing w:after="0"/>
              <w:rPr>
                <w:sz w:val="9"/>
                <w:szCs w:val="9"/>
                <w:color w:val="auto"/>
              </w:rPr>
            </w:pPr>
          </w:p>
        </w:tc>
        <w:tc>
          <w:tcPr>
            <w:tcW w:w="2020" w:type="dxa"/>
            <w:vAlign w:val="bottom"/>
            <w:tcBorders>
              <w:bottom w:val="single" w:sz="8" w:color="auto"/>
            </w:tcBorders>
            <w:gridSpan w:val="2"/>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316"/>
        </w:trPr>
        <w:tc>
          <w:tcPr>
            <w:tcW w:w="30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WHEREAS, Casual Male Retail Group, Inc., and Linda B. Carlo (“Executive”) entered into a certain Employment Agreement dated as of July 9, 2003, (hereinafter referred to as the “Agreement”); and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WHEREAS, Company and Executive wish to amend, modify and/or restate certain terms, provisions, conditions, and covenants of the Agreement.</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127" w:lineRule="exact"/>
        <w:rPr>
          <w:sz w:val="20"/>
          <w:szCs w:val="20"/>
          <w:color w:val="auto"/>
        </w:rPr>
      </w:pPr>
    </w:p>
    <w:p>
      <w:pPr>
        <w:ind w:left="900" w:right="2980" w:hanging="892"/>
        <w:spacing w:after="0" w:line="422" w:lineRule="auto"/>
        <w:tabs>
          <w:tab w:leader="none" w:pos="4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Section 2 of the Agreement is hereby deleted in its entirety and the following is hereby substituted in lieu thereof: “2. </w:t>
      </w:r>
      <w:r>
        <w:rPr>
          <w:rFonts w:ascii="Arial" w:cs="Arial" w:eastAsia="Arial" w:hAnsi="Arial"/>
          <w:sz w:val="18"/>
          <w:szCs w:val="18"/>
          <w:u w:val="single" w:color="auto"/>
          <w:color w:val="auto"/>
        </w:rPr>
        <w:t>TERM</w:t>
      </w:r>
    </w:p>
    <w:p>
      <w:pPr>
        <w:spacing w:after="0" w:line="1"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The term of employment under this Agreement shall begin on August 4, 2004 (“Employment Date”) and shall continue for a period of two (2) years from that date subject to prior termination in accordance with the terms hereof.”</w:t>
      </w:r>
    </w:p>
    <w:p>
      <w:pPr>
        <w:spacing w:after="0" w:line="118" w:lineRule="exact"/>
        <w:rPr>
          <w:sz w:val="20"/>
          <w:szCs w:val="20"/>
          <w:color w:val="auto"/>
        </w:rPr>
      </w:pPr>
    </w:p>
    <w:p>
      <w:pPr>
        <w:ind w:left="900" w:right="2780" w:hanging="892"/>
        <w:spacing w:after="0" w:line="422" w:lineRule="auto"/>
        <w:tabs>
          <w:tab w:leader="none" w:pos="4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Section 3(a) of the Agreement is hereby deleted in its entirety and the following is hereby substituted in lieu thereof: “3. </w:t>
      </w:r>
      <w:r>
        <w:rPr>
          <w:rFonts w:ascii="Arial" w:cs="Arial" w:eastAsia="Arial" w:hAnsi="Arial"/>
          <w:sz w:val="18"/>
          <w:szCs w:val="18"/>
          <w:u w:val="single" w:color="auto"/>
          <w:color w:val="auto"/>
        </w:rPr>
        <w:t>COMPENSATION</w:t>
      </w:r>
    </w:p>
    <w:p>
      <w:pPr>
        <w:spacing w:after="0" w:line="1" w:lineRule="exact"/>
        <w:rPr>
          <w:rFonts w:ascii="Arial" w:cs="Arial" w:eastAsia="Arial" w:hAnsi="Arial"/>
          <w:sz w:val="18"/>
          <w:szCs w:val="18"/>
          <w:color w:val="auto"/>
        </w:rPr>
      </w:pPr>
    </w:p>
    <w:p>
      <w:pPr>
        <w:ind w:left="920" w:right="80" w:firstLine="1"/>
        <w:spacing w:after="0" w:line="259" w:lineRule="auto"/>
        <w:tabs>
          <w:tab w:leader="none" w:pos="11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the Executive hereunder, the Company agrees to pay to Executive, and Executive agrees to accept, payable in equal installments in accordance with Company practice, an annual base salary of $303,000.00 effective as of May 1, 2004.”</w:t>
      </w:r>
    </w:p>
    <w:p>
      <w:pPr>
        <w:spacing w:after="0" w:line="12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herein specifically modified and amended, all of the terms, provisions, conditions, and covenants of the Agreement shall continue in full force and effect and shall be deemed unchanged except to the extend modified and amended herein.</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WITNESS WHEREOF, the parties hereto have executed this First Amendment to Employment Agreement as a sealed instrument, in any number of counterpart copies, each of which shall be deemed an original for all purposes, as of the day and year first written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CASUAL MALE RETAIL GROUP, INC. (Company)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2"/>
          </w:tcPr>
          <w:p>
            <w:pPr>
              <w:spacing w:after="0"/>
              <w:rPr>
                <w:sz w:val="20"/>
                <w:szCs w:val="20"/>
                <w:color w:val="auto"/>
              </w:rPr>
            </w:pPr>
            <w:r>
              <w:rPr>
                <w:rFonts w:ascii="Arial" w:cs="Arial" w:eastAsia="Arial" w:hAnsi="Arial"/>
                <w:sz w:val="18"/>
                <w:szCs w:val="18"/>
                <w:color w:val="auto"/>
              </w:rPr>
              <w:t>By: /s/</w:t>
            </w:r>
          </w:p>
        </w:tc>
        <w:tc>
          <w:tcPr>
            <w:tcW w:w="2180" w:type="dxa"/>
            <w:vAlign w:val="bottom"/>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4"/>
              </w:rPr>
              <w:t>June 29, 2004</w:t>
            </w:r>
          </w:p>
        </w:tc>
      </w:tr>
      <w:tr>
        <w:trPr>
          <w:trHeight w:val="228"/>
        </w:trPr>
        <w:tc>
          <w:tcPr>
            <w:tcW w:w="300" w:type="dxa"/>
            <w:vAlign w:val="bottom"/>
          </w:tcPr>
          <w:p>
            <w:pPr>
              <w:spacing w:after="0"/>
              <w:rPr>
                <w:sz w:val="19"/>
                <w:szCs w:val="19"/>
                <w:color w:val="auto"/>
              </w:rPr>
            </w:pPr>
          </w:p>
        </w:tc>
        <w:tc>
          <w:tcPr>
            <w:tcW w:w="2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A. Levin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16"/>
        </w:trPr>
        <w:tc>
          <w:tcPr>
            <w:tcW w:w="30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7"/>
        </w:trPr>
        <w:tc>
          <w:tcPr>
            <w:tcW w:w="560" w:type="dxa"/>
            <w:vAlign w:val="bottom"/>
            <w:gridSpan w:val="2"/>
          </w:tcPr>
          <w:p>
            <w:pPr>
              <w:spacing w:after="0"/>
              <w:rPr>
                <w:sz w:val="20"/>
                <w:szCs w:val="20"/>
                <w:color w:val="auto"/>
              </w:rPr>
            </w:pPr>
            <w:r>
              <w:rPr>
                <w:rFonts w:ascii="Arial" w:cs="Arial" w:eastAsia="Arial" w:hAnsi="Arial"/>
                <w:sz w:val="18"/>
                <w:szCs w:val="18"/>
                <w:color w:val="auto"/>
              </w:rPr>
              <w:t>By: /s/</w:t>
            </w:r>
          </w:p>
        </w:tc>
        <w:tc>
          <w:tcPr>
            <w:tcW w:w="2180" w:type="dxa"/>
            <w:vAlign w:val="bottom"/>
          </w:tcPr>
          <w:p>
            <w:pPr>
              <w:ind w:left="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4"/>
              </w:rPr>
              <w:t>June 29, 2004</w:t>
            </w:r>
          </w:p>
        </w:tc>
      </w:tr>
      <w:tr>
        <w:trPr>
          <w:trHeight w:val="228"/>
        </w:trPr>
        <w:tc>
          <w:tcPr>
            <w:tcW w:w="300" w:type="dxa"/>
            <w:vAlign w:val="bottom"/>
          </w:tcPr>
          <w:p>
            <w:pPr>
              <w:spacing w:after="0"/>
              <w:rPr>
                <w:sz w:val="19"/>
                <w:szCs w:val="19"/>
                <w:color w:val="auto"/>
              </w:rPr>
            </w:pPr>
          </w:p>
        </w:tc>
        <w:tc>
          <w:tcPr>
            <w:tcW w:w="2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Dennis R. Hernreich</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222"/>
        </w:trPr>
        <w:tc>
          <w:tcPr>
            <w:tcW w:w="30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594"/>
        </w:trPr>
        <w:tc>
          <w:tcPr>
            <w:tcW w:w="30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2"/>
        </w:trPr>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B. C</w:t>
            </w:r>
            <w:r>
              <w:rPr>
                <w:rFonts w:ascii="Arial" w:cs="Arial" w:eastAsia="Arial" w:hAnsi="Arial"/>
                <w:sz w:val="14"/>
                <w:szCs w:val="14"/>
                <w:color w:val="auto"/>
              </w:rPr>
              <w:t>ARLO</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June 29, 2004</w:t>
            </w:r>
          </w:p>
        </w:tc>
      </w:tr>
      <w:tr>
        <w:trPr>
          <w:trHeight w:val="241"/>
        </w:trPr>
        <w:tc>
          <w:tcPr>
            <w:tcW w:w="300" w:type="dxa"/>
            <w:vAlign w:val="bottom"/>
          </w:tcPr>
          <w:p>
            <w:pPr>
              <w:spacing w:after="0"/>
              <w:rPr>
                <w:sz w:val="20"/>
                <w:szCs w:val="20"/>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Linda B. Carlo</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10.27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Employment Agreement (“Agreement”) is made as of March 9, 2005 between CASUAL MALE RETAIL GROUP, INC., a Delaware corporation with an office at 555 Turnpike Street, Canton, Massachusetts, 02021 (the “Company”), and Ronald Ramseyer (the “Executive”) having an address at 42 Sunset Road, Duxbury, MA 02332.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Company desires that Executive serve as Executive Vice President, Chief Marketing Officer of the Company, and Executive desires to be so employed by the Company.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promises, representations and covenants herein contained, the parties hereto agree as follows:</w:t>
      </w:r>
    </w:p>
    <w:p>
      <w:pPr>
        <w:spacing w:after="0" w:line="118"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Executive Vice President, Chief Marketing Officer of the Company.</w:t>
      </w:r>
    </w:p>
    <w:p>
      <w:pPr>
        <w:spacing w:after="0" w:line="118"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term of employment under this Agreement shall begin on March 9, 2005 (the “Employment Date”) and shall continue for a period of two (2) years from that date (the “Term”), subject to prior termination in accordance with the terms hereof.</w:t>
      </w:r>
    </w:p>
    <w:p>
      <w:pPr>
        <w:spacing w:after="0" w:line="118"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57" w:lineRule="exact"/>
        <w:rPr>
          <w:rFonts w:ascii="Arial" w:cs="Arial" w:eastAsia="Arial" w:hAnsi="Arial"/>
          <w:sz w:val="18"/>
          <w:szCs w:val="18"/>
          <w:color w:val="auto"/>
        </w:rPr>
      </w:pPr>
    </w:p>
    <w:p>
      <w:pPr>
        <w:ind w:right="80" w:firstLine="464"/>
        <w:spacing w:after="0" w:line="332" w:lineRule="auto"/>
        <w:tabs>
          <w:tab w:leader="none" w:pos="81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As compensation for the employment services to be rendered by Executive hereunder, the Company agrees to pay to Executive, and Executive agrees to accept, payable in equal installments in accordance with Company practice, an annual base salary of three hundred thousand dollars ($300,000.00).</w:t>
      </w:r>
    </w:p>
    <w:p>
      <w:pPr>
        <w:sectPr>
          <w:pgSz w:w="11900" w:h="16838" w:orient="portrait"/>
          <w:cols w:equalWidth="0" w:num="1">
            <w:col w:w="11420"/>
          </w:cols>
          <w:pgMar w:left="240" w:top="125" w:right="239" w:bottom="1440" w:gutter="0" w:footer="0" w:header="0"/>
        </w:sectPr>
      </w:pPr>
    </w:p>
    <w:bookmarkStart w:id="80" w:name="page81"/>
    <w:bookmarkEnd w:id="80"/>
    <w:p>
      <w:pPr>
        <w:ind w:firstLine="464"/>
        <w:spacing w:after="0" w:line="306" w:lineRule="auto"/>
        <w:tabs>
          <w:tab w:leader="none" w:pos="837" w:val="left"/>
        </w:tabs>
        <w:numPr>
          <w:ilvl w:val="1"/>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annual base salary, Executive is eligible to participate in the Company’s annual bonus plan (Bonus) effective March 9, 2005 (FYE 2006). Such Bonus shall be determined in accordance with the Company’s bonus program in effect at the time. Executive will participate in the Company’s bonus program at a bonus incentive rate of 40% (at target, 60% max) of Executive’s actual annual base earnings.</w:t>
      </w:r>
    </w:p>
    <w:p>
      <w:pPr>
        <w:spacing w:after="0" w:line="93"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158"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The Company shall grant to the Executive fifty thousand (50,000) options under the Company’s 1992 Stock Incentive Plan, which are exercisable at a purchase price per share equal to the closing price of the Common Stock on the Employment Date (the “Grant Date”). The options will vest pro rata over a three</w:t>
      </w:r>
    </w:p>
    <w:p>
      <w:pPr>
        <w:ind w:right="140" w:firstLine="8"/>
        <w:spacing w:after="0" w:line="255"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year period commencing on the first anniversary of the Grant Date, with one third of the total vesting becoming exercisable on each of the first, second and third anniversaries of the Grant Date, subject to the terms of the Stock Option Agreement, which the Executive must execute in connection with the grant of the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99"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157" w:lineRule="exact"/>
        <w:rPr>
          <w:rFonts w:ascii="Arial" w:cs="Arial" w:eastAsia="Arial" w:hAnsi="Arial"/>
          <w:sz w:val="18"/>
          <w:szCs w:val="18"/>
          <w:color w:val="auto"/>
        </w:rPr>
      </w:pPr>
    </w:p>
    <w:p>
      <w:pPr>
        <w:ind w:firstLine="464"/>
        <w:spacing w:after="0" w:line="306" w:lineRule="auto"/>
        <w:tabs>
          <w:tab w:leader="none" w:pos="827" w:val="left"/>
        </w:tabs>
        <w:numPr>
          <w:ilvl w:val="1"/>
          <w:numId w:val="50"/>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senior management (including any profit sharing, pension, 401 (k), short and long-term disability insurance, medical and dental insurance and group life insurance plans in accordance with the terms of such plans), all as determined from time to time by the Compensation Committee of the Board of Directors.</w:t>
      </w:r>
    </w:p>
    <w:p>
      <w:pPr>
        <w:spacing w:after="0" w:line="93" w:lineRule="exact"/>
        <w:rPr>
          <w:rFonts w:ascii="Arial" w:cs="Arial" w:eastAsia="Arial" w:hAnsi="Arial"/>
          <w:sz w:val="16"/>
          <w:szCs w:val="16"/>
          <w:color w:val="auto"/>
        </w:rPr>
      </w:pPr>
    </w:p>
    <w:p>
      <w:pPr>
        <w:jc w:val="both"/>
        <w:ind w:right="140" w:firstLine="464"/>
        <w:spacing w:after="0" w:line="298" w:lineRule="auto"/>
        <w:tabs>
          <w:tab w:leader="none" w:pos="834"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99" w:lineRule="exact"/>
        <w:rPr>
          <w:rFonts w:ascii="Arial" w:cs="Arial" w:eastAsia="Arial" w:hAnsi="Arial"/>
          <w:sz w:val="16"/>
          <w:szCs w:val="16"/>
          <w:color w:val="auto"/>
        </w:rPr>
      </w:pPr>
    </w:p>
    <w:p>
      <w:pPr>
        <w:ind w:firstLine="464"/>
        <w:spacing w:after="0" w:line="268" w:lineRule="auto"/>
        <w:tabs>
          <w:tab w:leader="none" w:pos="82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on or about March of 2006. Salary adjustment will be made based upon Executive’s job performance.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81" w:name="page82"/>
    <w:bookmarkEnd w:id="81"/>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DUTIES</w:t>
      </w:r>
    </w:p>
    <w:p>
      <w:pPr>
        <w:spacing w:after="0" w:line="157" w:lineRule="exact"/>
        <w:rPr>
          <w:rFonts w:ascii="Arial" w:cs="Arial" w:eastAsia="Arial" w:hAnsi="Arial"/>
          <w:sz w:val="18"/>
          <w:szCs w:val="18"/>
          <w:color w:val="auto"/>
        </w:rPr>
      </w:pPr>
    </w:p>
    <w:p>
      <w:pPr>
        <w:jc w:val="both"/>
        <w:ind w:right="320" w:firstLine="464"/>
        <w:spacing w:after="0" w:line="259" w:lineRule="auto"/>
        <w:tabs>
          <w:tab w:leader="none" w:pos="827"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his position as Executive Vice President, Chief Marketing Officer, and/or as the Board of Directors of the Company shall from time to time determine and Executive shall comply in the performance of his duties with the policies of, and be subject to the direction of, the Board of Directors.</w:t>
      </w:r>
    </w:p>
    <w:p>
      <w:pPr>
        <w:spacing w:after="0" w:line="126" w:lineRule="exact"/>
        <w:rPr>
          <w:rFonts w:ascii="Arial" w:cs="Arial" w:eastAsia="Arial" w:hAnsi="Arial"/>
          <w:sz w:val="18"/>
          <w:szCs w:val="18"/>
          <w:color w:val="auto"/>
        </w:rPr>
      </w:pPr>
    </w:p>
    <w:p>
      <w:pPr>
        <w:ind w:right="20" w:firstLine="464"/>
        <w:spacing w:after="0" w:line="259" w:lineRule="auto"/>
        <w:tabs>
          <w:tab w:leader="none" w:pos="82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the request of President or the Board of Directors, Executive shall serve, without further compensation, as an executive officer, corporate officer and/or director of any subsidiary or affiliate of the Company and, in the performance of such duties, Executive shall comply with the directives and policies of the Board of Directors of each such subsidiary or affiliate.</w:t>
      </w:r>
    </w:p>
    <w:p>
      <w:pPr>
        <w:spacing w:after="0" w:line="126" w:lineRule="exact"/>
        <w:rPr>
          <w:rFonts w:ascii="Arial" w:cs="Arial" w:eastAsia="Arial" w:hAnsi="Arial"/>
          <w:sz w:val="18"/>
          <w:szCs w:val="18"/>
          <w:color w:val="auto"/>
        </w:rPr>
      </w:pPr>
    </w:p>
    <w:p>
      <w:pPr>
        <w:ind w:right="160" w:firstLine="464"/>
        <w:spacing w:after="0" w:line="298" w:lineRule="auto"/>
        <w:tabs>
          <w:tab w:leader="none" w:pos="827" w:val="left"/>
        </w:tabs>
        <w:numPr>
          <w:ilvl w:val="1"/>
          <w:numId w:val="51"/>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 and do not violate Section 10 hereof.</w:t>
      </w:r>
    </w:p>
    <w:p>
      <w:pPr>
        <w:spacing w:after="0" w:line="99" w:lineRule="exact"/>
        <w:rPr>
          <w:rFonts w:ascii="Arial" w:cs="Arial" w:eastAsia="Arial" w:hAnsi="Arial"/>
          <w:sz w:val="16"/>
          <w:szCs w:val="16"/>
          <w:color w:val="auto"/>
        </w:rPr>
      </w:pPr>
    </w:p>
    <w:p>
      <w:pPr>
        <w:ind w:firstLine="464"/>
        <w:spacing w:after="0" w:line="256" w:lineRule="auto"/>
        <w:tabs>
          <w:tab w:leader="none" w:pos="83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designated from time to time by the Board of Directors of the Company. Notwithstanding the foregoing, Executive shall perform such services at such other locations as may be required for the proper performance of his duties hereunder, and Executive recognizes that such duties may involve travel.</w:t>
      </w:r>
    </w:p>
    <w:p>
      <w:pPr>
        <w:spacing w:after="0" w:line="129"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157" w:lineRule="exact"/>
        <w:rPr>
          <w:rFonts w:ascii="Arial" w:cs="Arial" w:eastAsia="Arial" w:hAnsi="Arial"/>
          <w:sz w:val="18"/>
          <w:szCs w:val="18"/>
          <w:color w:val="auto"/>
        </w:rPr>
      </w:pPr>
    </w:p>
    <w:p>
      <w:pPr>
        <w:ind w:left="840" w:hanging="376"/>
        <w:spacing w:after="0"/>
        <w:tabs>
          <w:tab w:leader="none" w:pos="8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157" w:lineRule="exact"/>
        <w:rPr>
          <w:rFonts w:ascii="Arial" w:cs="Arial" w:eastAsia="Arial" w:hAnsi="Arial"/>
          <w:sz w:val="18"/>
          <w:szCs w:val="18"/>
          <w:color w:val="auto"/>
        </w:rPr>
      </w:pPr>
    </w:p>
    <w:p>
      <w:pPr>
        <w:ind w:right="140" w:firstLine="921"/>
        <w:spacing w:after="0" w:line="332" w:lineRule="auto"/>
        <w:tabs>
          <w:tab w:leader="none" w:pos="1254" w:val="left"/>
        </w:tabs>
        <w:numPr>
          <w:ilvl w:val="2"/>
          <w:numId w:val="51"/>
        </w:numPr>
        <w:rPr>
          <w:rFonts w:ascii="Arial" w:cs="Arial" w:eastAsia="Arial" w:hAnsi="Arial"/>
          <w:sz w:val="16"/>
          <w:szCs w:val="16"/>
          <w:color w:val="auto"/>
        </w:rPr>
      </w:pPr>
      <w:r>
        <w:rPr>
          <w:rFonts w:ascii="Arial" w:cs="Arial" w:eastAsia="Arial" w:hAnsi="Arial"/>
          <w:sz w:val="16"/>
          <w:szCs w:val="16"/>
          <w:color w:val="auto"/>
        </w:rPr>
        <w:t>upon the determination by the President or the Board of Directors that Executive’s performance of his duties has not been fully satisfactory for any reason which would not constitute justifiable cause (as hereinafter defined) upon thirty (30) days’ prior written notice to Executive; or</w:t>
      </w:r>
    </w:p>
    <w:p>
      <w:pPr>
        <w:spacing w:after="0" w:line="71" w:lineRule="exact"/>
        <w:rPr>
          <w:rFonts w:ascii="Arial" w:cs="Arial" w:eastAsia="Arial" w:hAnsi="Arial"/>
          <w:sz w:val="16"/>
          <w:szCs w:val="16"/>
          <w:color w:val="auto"/>
        </w:rPr>
      </w:pPr>
    </w:p>
    <w:p>
      <w:pPr>
        <w:ind w:left="1320" w:hanging="399"/>
        <w:spacing w:after="0"/>
        <w:tabs>
          <w:tab w:leader="none" w:pos="1320" w:val="left"/>
        </w:tabs>
        <w:numPr>
          <w:ilvl w:val="2"/>
          <w:numId w:val="51"/>
        </w:numPr>
        <w:rPr>
          <w:rFonts w:ascii="Arial" w:cs="Arial" w:eastAsia="Arial" w:hAnsi="Arial"/>
          <w:sz w:val="16"/>
          <w:szCs w:val="16"/>
          <w:color w:val="auto"/>
        </w:rPr>
      </w:pPr>
      <w:r>
        <w:rPr>
          <w:rFonts w:ascii="Arial" w:cs="Arial" w:eastAsia="Arial" w:hAnsi="Arial"/>
          <w:sz w:val="16"/>
          <w:szCs w:val="16"/>
          <w:color w:val="auto"/>
        </w:rPr>
        <w:t>upon the determination by the President or the Board of Directors that there is justifiable cause (as hereinafter defined) for such termination.</w:t>
      </w:r>
    </w:p>
    <w:p>
      <w:pPr>
        <w:spacing w:after="0" w:line="180" w:lineRule="exact"/>
        <w:rPr>
          <w:rFonts w:ascii="Arial" w:cs="Arial" w:eastAsia="Arial" w:hAnsi="Arial"/>
          <w:sz w:val="16"/>
          <w:szCs w:val="16"/>
          <w:color w:val="auto"/>
        </w:rPr>
      </w:pPr>
    </w:p>
    <w:p>
      <w:pPr>
        <w:ind w:left="840" w:hanging="376"/>
        <w:spacing w:after="0"/>
        <w:tabs>
          <w:tab w:leader="none" w:pos="8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82" w:name="page83"/>
    <w:bookmarkEnd w:id="82"/>
    <w:p>
      <w:pPr>
        <w:ind w:left="1240" w:hanging="339"/>
        <w:spacing w:after="0"/>
        <w:tabs>
          <w:tab w:leader="none" w:pos="124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death of Executive; or</w:t>
      </w:r>
    </w:p>
    <w:p>
      <w:pPr>
        <w:spacing w:after="0" w:line="157" w:lineRule="exact"/>
        <w:rPr>
          <w:rFonts w:ascii="Arial" w:cs="Arial" w:eastAsia="Arial" w:hAnsi="Arial"/>
          <w:sz w:val="18"/>
          <w:szCs w:val="18"/>
          <w:color w:val="auto"/>
        </w:rPr>
      </w:pPr>
    </w:p>
    <w:p>
      <w:pPr>
        <w:ind w:left="1300" w:hanging="399"/>
        <w:spacing w:after="0"/>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w:t>
      </w:r>
    </w:p>
    <w:p>
      <w:pPr>
        <w:spacing w:after="0" w:line="157" w:lineRule="exact"/>
        <w:rPr>
          <w:rFonts w:ascii="Arial" w:cs="Arial" w:eastAsia="Arial" w:hAnsi="Arial"/>
          <w:sz w:val="18"/>
          <w:szCs w:val="18"/>
          <w:color w:val="auto"/>
        </w:rPr>
      </w:pPr>
    </w:p>
    <w:p>
      <w:pPr>
        <w:ind w:left="820" w:hanging="376"/>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herein) pursuant to Subsection (h) hereof.</w:t>
      </w:r>
    </w:p>
    <w:p>
      <w:pPr>
        <w:spacing w:after="0" w:line="158" w:lineRule="exact"/>
        <w:rPr>
          <w:sz w:val="20"/>
          <w:szCs w:val="20"/>
          <w:color w:val="auto"/>
        </w:rPr>
      </w:pPr>
    </w:p>
    <w:p>
      <w:pPr>
        <w:ind w:left="-20" w:right="100" w:firstLine="464"/>
        <w:spacing w:after="0" w:line="306" w:lineRule="auto"/>
        <w:tabs>
          <w:tab w:leader="none" w:pos="8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Board of Directors of the Company, (after examination of Executive by an independent physician reasonably acceptable to Executive), which determination shall be final and binding.</w:t>
      </w:r>
    </w:p>
    <w:p>
      <w:pPr>
        <w:spacing w:after="0" w:line="93" w:lineRule="exact"/>
        <w:rPr>
          <w:rFonts w:ascii="Arial" w:cs="Arial" w:eastAsia="Arial" w:hAnsi="Arial"/>
          <w:sz w:val="16"/>
          <w:szCs w:val="16"/>
          <w:color w:val="auto"/>
        </w:rPr>
      </w:pPr>
    </w:p>
    <w:p>
      <w:pPr>
        <w:ind w:left="-20" w:firstLine="464"/>
        <w:spacing w:after="0" w:line="286" w:lineRule="auto"/>
        <w:tabs>
          <w:tab w:leader="none" w:pos="817"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5 hereof as have been accrued through the date of his termination of employment.</w:t>
      </w:r>
    </w:p>
    <w:p>
      <w:pPr>
        <w:spacing w:after="0" w:line="113" w:lineRule="exact"/>
        <w:rPr>
          <w:rFonts w:ascii="Arial" w:cs="Arial" w:eastAsia="Arial" w:hAnsi="Arial"/>
          <w:sz w:val="16"/>
          <w:szCs w:val="16"/>
          <w:color w:val="auto"/>
        </w:rPr>
      </w:pPr>
    </w:p>
    <w:p>
      <w:pPr>
        <w:ind w:left="-20" w:right="60" w:firstLine="464"/>
        <w:spacing w:after="0" w:line="288" w:lineRule="auto"/>
        <w:tabs>
          <w:tab w:leader="none" w:pos="8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8 (a)(i) the Company shall pay Executive the base salary for the remainder of the Term not to exceed an amount equal to one half of Executive’s annual base salary. However, if Executive is employed or retained, as an employee, independent contractor, consultant or in any other capacity or if he is offered another position by the Company at a comparable salary (“New Employment”)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Vice President of Human Resources of the Company at 555 Turnpike Street, Canton, Massachusetts, 02021, if and when he is offered another position and/or accepts another position. The Company will pay any amount due and owing under 8 above in accordance with the payment schedule in 3(a), until paid in full.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83" w:name="page84"/>
    <w:bookmarkEnd w:id="83"/>
    <w:p>
      <w:pPr>
        <w:ind w:left="-40" w:firstLine="464"/>
        <w:spacing w:after="0" w:line="259" w:lineRule="auto"/>
        <w:tabs>
          <w:tab w:leader="none" w:pos="767" w:val="left"/>
        </w:tabs>
        <w:numPr>
          <w:ilvl w:val="1"/>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5 as have been accrued through the date of his death.</w:t>
      </w:r>
    </w:p>
    <w:p>
      <w:pPr>
        <w:spacing w:after="0" w:line="126" w:lineRule="exact"/>
        <w:rPr>
          <w:rFonts w:ascii="Arial" w:cs="Arial" w:eastAsia="Arial" w:hAnsi="Arial"/>
          <w:sz w:val="18"/>
          <w:szCs w:val="18"/>
          <w:color w:val="auto"/>
        </w:rPr>
      </w:pPr>
    </w:p>
    <w:p>
      <w:pPr>
        <w:ind w:left="-40" w:right="40" w:firstLine="464"/>
        <w:spacing w:after="0" w:line="294" w:lineRule="auto"/>
        <w:tabs>
          <w:tab w:leader="none" w:pos="797" w:val="left"/>
        </w:tabs>
        <w:numPr>
          <w:ilvl w:val="1"/>
          <w:numId w:val="55"/>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Notwithstanding any inability to perform his duties, Executive shall be entitled to receive his base salary and reimbursement of expenses pursuant to Section 5 as provided herein until he begins to receive long-term disability insurance benefits under the policy provided by the Company pursuant to Section 6 hereof. Any termination pursuant to this Subsection (f) 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6 hereof.</w:t>
      </w:r>
    </w:p>
    <w:p>
      <w:pPr>
        <w:spacing w:after="0" w:line="102" w:lineRule="exact"/>
        <w:rPr>
          <w:rFonts w:ascii="Arial" w:cs="Arial" w:eastAsia="Arial" w:hAnsi="Arial"/>
          <w:sz w:val="16"/>
          <w:szCs w:val="16"/>
          <w:color w:val="auto"/>
        </w:rPr>
      </w:pPr>
    </w:p>
    <w:p>
      <w:pPr>
        <w:ind w:left="-40" w:right="280" w:firstLine="464"/>
        <w:spacing w:after="0" w:line="268" w:lineRule="auto"/>
        <w:tabs>
          <w:tab w:leader="none" w:pos="797" w:val="left"/>
        </w:tabs>
        <w:numPr>
          <w:ilvl w:val="1"/>
          <w:numId w:val="55"/>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w:t>
      </w:r>
    </w:p>
    <w:p>
      <w:pPr>
        <w:spacing w:after="0" w:line="118" w:lineRule="exact"/>
        <w:rPr>
          <w:rFonts w:ascii="Arial" w:cs="Arial" w:eastAsia="Arial" w:hAnsi="Arial"/>
          <w:sz w:val="18"/>
          <w:szCs w:val="18"/>
          <w:color w:val="auto"/>
        </w:rPr>
      </w:pPr>
    </w:p>
    <w:p>
      <w:pPr>
        <w:ind w:left="-40" w:right="20" w:firstLine="464"/>
        <w:spacing w:after="0" w:line="255" w:lineRule="auto"/>
        <w:tabs>
          <w:tab w:leader="none" w:pos="758"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In the event the Executive’s employment with the Company is terminated by the Company during the Term as a result of a Change of Control of the Company occurring during the Term then, in such event, the Company shall pay Executive an amount equal to sixteen months of base annual salary in effect at the time of the termination, which amount will be subject to mitigation in accordance with Section 8(e) above. For the purposes of the foregoing, Change of Control shall have the meaning set forth in the Designs, Inc. 1992 Stock Incentive Plan (without regard to any subsequent amendments thereto).</w:t>
      </w:r>
    </w:p>
    <w:p>
      <w:pPr>
        <w:spacing w:after="0" w:line="129" w:lineRule="exact"/>
        <w:rPr>
          <w:rFonts w:ascii="Arial" w:cs="Arial" w:eastAsia="Arial" w:hAnsi="Arial"/>
          <w:sz w:val="18"/>
          <w:szCs w:val="18"/>
          <w:color w:val="auto"/>
        </w:rPr>
      </w:pPr>
    </w:p>
    <w:p>
      <w:pPr>
        <w:ind w:left="860" w:hanging="446"/>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57" w:lineRule="exact"/>
        <w:rPr>
          <w:rFonts w:ascii="Arial" w:cs="Arial" w:eastAsia="Arial" w:hAnsi="Arial"/>
          <w:sz w:val="18"/>
          <w:szCs w:val="18"/>
          <w:color w:val="auto"/>
        </w:rPr>
      </w:pPr>
    </w:p>
    <w:p>
      <w:pPr>
        <w:ind w:left="-40" w:right="180" w:firstLine="464"/>
        <w:spacing w:after="0" w:line="370" w:lineRule="auto"/>
        <w:tabs>
          <w:tab w:leader="none" w:pos="787" w:val="left"/>
        </w:tabs>
        <w:numPr>
          <w:ilvl w:val="1"/>
          <w:numId w:val="56"/>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48" w:lineRule="exact"/>
        <w:rPr>
          <w:rFonts w:ascii="Arial" w:cs="Arial" w:eastAsia="Arial" w:hAnsi="Arial"/>
          <w:sz w:val="15"/>
          <w:szCs w:val="15"/>
          <w:color w:val="auto"/>
        </w:rPr>
      </w:pPr>
    </w:p>
    <w:p>
      <w:pPr>
        <w:ind w:left="-40" w:right="200" w:firstLine="464"/>
        <w:spacing w:after="0" w:line="259" w:lineRule="auto"/>
        <w:tabs>
          <w:tab w:leader="none" w:pos="797"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26" w:lineRule="exact"/>
        <w:rPr>
          <w:rFonts w:ascii="Arial" w:cs="Arial" w:eastAsia="Arial" w:hAnsi="Arial"/>
          <w:sz w:val="18"/>
          <w:szCs w:val="18"/>
          <w:color w:val="auto"/>
        </w:rPr>
      </w:pPr>
    </w:p>
    <w:p>
      <w:pPr>
        <w:jc w:val="both"/>
        <w:ind w:left="-40" w:right="420" w:firstLine="464"/>
        <w:spacing w:after="0" w:line="370" w:lineRule="auto"/>
        <w:tabs>
          <w:tab w:leader="none" w:pos="787" w:val="left"/>
        </w:tabs>
        <w:numPr>
          <w:ilvl w:val="1"/>
          <w:numId w:val="56"/>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84" w:name="page85"/>
    <w:bookmarkEnd w:id="84"/>
    <w:p>
      <w:pPr>
        <w:ind w:right="140" w:firstLine="464"/>
        <w:spacing w:after="0" w:line="259" w:lineRule="auto"/>
        <w:tabs>
          <w:tab w:leader="none" w:pos="837"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26" w:lineRule="exact"/>
        <w:rPr>
          <w:rFonts w:ascii="Arial" w:cs="Arial" w:eastAsia="Arial" w:hAnsi="Arial"/>
          <w:sz w:val="18"/>
          <w:szCs w:val="18"/>
          <w:color w:val="auto"/>
        </w:rPr>
      </w:pPr>
    </w:p>
    <w:p>
      <w:pPr>
        <w:ind w:left="840" w:hanging="376"/>
        <w:spacing w:after="0"/>
        <w:tabs>
          <w:tab w:leader="none" w:pos="8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8 of this Agreement.</w:t>
      </w:r>
    </w:p>
    <w:p>
      <w:pPr>
        <w:spacing w:after="0" w:line="158"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58" w:lineRule="exact"/>
        <w:rPr>
          <w:sz w:val="20"/>
          <w:szCs w:val="20"/>
          <w:color w:val="auto"/>
        </w:rPr>
      </w:pPr>
    </w:p>
    <w:p>
      <w:pPr>
        <w:ind w:firstLine="464"/>
        <w:spacing w:after="0" w:line="286" w:lineRule="auto"/>
        <w:tabs>
          <w:tab w:leader="none" w:pos="827"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one (1)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subsidiaries and affiliates, in any geographic area in the United States of America and Puerto Rico where, at the time of the termination of his employment hereunder, the business of the Company or any of such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solicit, hire, interfere with or entice from the Company any employee (or former employee) of the Company.</w:t>
      </w:r>
    </w:p>
    <w:p>
      <w:pPr>
        <w:spacing w:after="0" w:line="113" w:lineRule="exact"/>
        <w:rPr>
          <w:rFonts w:ascii="Arial" w:cs="Arial" w:eastAsia="Arial" w:hAnsi="Arial"/>
          <w:sz w:val="16"/>
          <w:szCs w:val="16"/>
          <w:color w:val="auto"/>
        </w:rPr>
      </w:pPr>
    </w:p>
    <w:p>
      <w:pPr>
        <w:ind w:right="140" w:firstLine="464"/>
        <w:spacing w:after="0" w:line="255" w:lineRule="auto"/>
        <w:tabs>
          <w:tab w:leader="none" w:pos="83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shall include, a specialty retailer which primarily distributes, sells or markets so-called “big and tall” apparel of any kind for men or which utilizes the “big and tall” retail or wholesale marketing concept as part of its business.</w:t>
      </w:r>
    </w:p>
    <w:p>
      <w:pPr>
        <w:spacing w:after="0" w:line="129" w:lineRule="exact"/>
        <w:rPr>
          <w:rFonts w:ascii="Arial" w:cs="Arial" w:eastAsia="Arial" w:hAnsi="Arial"/>
          <w:sz w:val="18"/>
          <w:szCs w:val="18"/>
          <w:color w:val="auto"/>
        </w:rPr>
      </w:pPr>
    </w:p>
    <w:p>
      <w:pPr>
        <w:ind w:right="20" w:firstLine="464"/>
        <w:spacing w:after="0" w:line="256" w:lineRule="auto"/>
        <w:tabs>
          <w:tab w:leader="none" w:pos="8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Executive acknowledges that the Company conducts business throughout the United States and Puerto Rico, that its sales and marketing prospects are for continued expansion throughout the United States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reduction of the territorial or time limitation to the area or period which such court shall deem reasonable.</w:t>
      </w:r>
    </w:p>
    <w:p>
      <w:pPr>
        <w:spacing w:after="0" w:line="158" w:lineRule="exact"/>
        <w:rPr>
          <w:sz w:val="20"/>
          <w:szCs w:val="20"/>
          <w:color w:val="auto"/>
        </w:rPr>
      </w:pPr>
    </w:p>
    <w:p>
      <w:pPr>
        <w:jc w:val="both"/>
        <w:ind w:right="220" w:firstLine="464"/>
        <w:spacing w:after="0" w:line="256" w:lineRule="auto"/>
        <w:tabs>
          <w:tab w:leader="none" w:pos="834"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29"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57" w:lineRule="exact"/>
        <w:rPr>
          <w:rFonts w:ascii="Arial" w:cs="Arial" w:eastAsia="Arial" w:hAnsi="Arial"/>
          <w:sz w:val="18"/>
          <w:szCs w:val="18"/>
          <w:color w:val="auto"/>
        </w:rPr>
      </w:pPr>
    </w:p>
    <w:p>
      <w:pPr>
        <w:ind w:firstLine="464"/>
        <w:spacing w:after="0" w:line="291" w:lineRule="auto"/>
        <w:tabs>
          <w:tab w:leader="none" w:pos="827" w:val="left"/>
        </w:tabs>
        <w:numPr>
          <w:ilvl w:val="1"/>
          <w:numId w:val="61"/>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06" w:lineRule="exact"/>
        <w:rPr>
          <w:rFonts w:ascii="Arial" w:cs="Arial" w:eastAsia="Arial" w:hAnsi="Arial"/>
          <w:sz w:val="16"/>
          <w:szCs w:val="16"/>
          <w:color w:val="auto"/>
        </w:rPr>
      </w:pPr>
    </w:p>
    <w:p>
      <w:pPr>
        <w:ind w:right="80" w:firstLine="464"/>
        <w:spacing w:after="0" w:line="253" w:lineRule="auto"/>
        <w:tabs>
          <w:tab w:leader="none" w:pos="8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31"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57" w:lineRule="exact"/>
        <w:rPr>
          <w:rFonts w:ascii="Arial" w:cs="Arial" w:eastAsia="Arial" w:hAnsi="Arial"/>
          <w:sz w:val="18"/>
          <w:szCs w:val="18"/>
          <w:color w:val="auto"/>
        </w:rPr>
      </w:pPr>
    </w:p>
    <w:p>
      <w:pPr>
        <w:ind w:right="400" w:firstLine="464"/>
        <w:spacing w:after="0" w:line="255" w:lineRule="auto"/>
        <w:tabs>
          <w:tab w:leader="none" w:pos="827" w:val="left"/>
        </w:tabs>
        <w:numPr>
          <w:ilvl w:val="1"/>
          <w:numId w:val="61"/>
        </w:numPr>
        <w:rPr>
          <w:rFonts w:ascii="Arial" w:cs="Arial" w:eastAsia="Arial" w:hAnsi="Arial"/>
          <w:sz w:val="18"/>
          <w:szCs w:val="18"/>
          <w:color w:val="auto"/>
        </w:rPr>
      </w:pPr>
      <w:r>
        <w:rPr>
          <w:rFonts w:ascii="Arial" w:cs="Arial" w:eastAsia="Arial" w:hAnsi="Arial"/>
          <w:sz w:val="18"/>
          <w:szCs w:val="18"/>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6" w:name="page87"/>
    <w:bookmarkEnd w:id="8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05" w:lineRule="exact"/>
        <w:rPr>
          <w:sz w:val="20"/>
          <w:szCs w:val="20"/>
          <w:color w:val="auto"/>
        </w:rPr>
      </w:pPr>
    </w:p>
    <w:p>
      <w:pPr>
        <w:ind w:right="80" w:firstLine="464"/>
        <w:spacing w:after="0" w:line="298" w:lineRule="auto"/>
        <w:tabs>
          <w:tab w:leader="none" w:pos="827"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99"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5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8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58"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7" w:name="page88"/>
    <w:bookmarkEnd w:id="87"/>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27"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5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18"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including the Letter Agreement dated February 18, 2005.</w:t>
      </w:r>
    </w:p>
    <w:p>
      <w:pPr>
        <w:spacing w:after="0" w:line="9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5, 8, 10, 11, 12 and 13 hereof.</w:t>
      </w:r>
    </w:p>
    <w:p>
      <w:pPr>
        <w:spacing w:after="0" w:line="118"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21.</w:t>
      </w:r>
    </w:p>
    <w:p>
      <w:pPr>
        <w:spacing w:after="0" w:line="15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88" w:name="page89"/>
    <w:bookmarkEnd w:id="88"/>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ASSURANCES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18"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18"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A. L</w:t>
            </w:r>
            <w:r>
              <w:rPr>
                <w:rFonts w:ascii="Arial" w:cs="Arial" w:eastAsia="Arial" w:hAnsi="Arial"/>
                <w:sz w:val="14"/>
                <w:szCs w:val="14"/>
                <w:color w:val="auto"/>
              </w:rPr>
              <w:t>EVIN</w:t>
            </w:r>
          </w:p>
        </w:tc>
      </w:tr>
      <w:tr>
        <w:trPr>
          <w:trHeight w:val="202"/>
        </w:trPr>
        <w:tc>
          <w:tcPr>
            <w:tcW w:w="4560" w:type="dxa"/>
            <w:vAlign w:val="bottom"/>
            <w:gridSpan w:val="3"/>
          </w:tcPr>
          <w:p>
            <w:pPr>
              <w:spacing w:after="0" w:line="202" w:lineRule="exact"/>
              <w:rPr>
                <w:sz w:val="20"/>
                <w:szCs w:val="20"/>
                <w:color w:val="auto"/>
              </w:rPr>
            </w:pPr>
            <w:r>
              <w:rPr>
                <w:rFonts w:ascii="Arial" w:cs="Arial" w:eastAsia="Arial" w:hAnsi="Arial"/>
                <w:sz w:val="18"/>
                <w:szCs w:val="18"/>
                <w:color w:val="auto"/>
              </w:rPr>
              <w:t>Name: David A. Levin</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President, Chief Executive Officer</w:t>
            </w:r>
          </w:p>
        </w:tc>
      </w:tr>
      <w:tr>
        <w:trPr>
          <w:trHeight w:val="595"/>
        </w:trPr>
        <w:tc>
          <w:tcPr>
            <w:tcW w:w="620" w:type="dxa"/>
            <w:vAlign w:val="bottom"/>
            <w:gridSpan w:val="2"/>
          </w:tcPr>
          <w:p>
            <w:pPr>
              <w:spacing w:after="0"/>
              <w:rPr>
                <w:sz w:val="20"/>
                <w:szCs w:val="20"/>
                <w:color w:val="auto"/>
              </w:rPr>
            </w:pPr>
            <w:r>
              <w:rPr>
                <w:rFonts w:ascii="Arial" w:cs="Arial" w:eastAsia="Arial" w:hAnsi="Arial"/>
                <w:sz w:val="18"/>
                <w:szCs w:val="18"/>
                <w:color w:val="auto"/>
              </w:rPr>
              <w:t>By:  /s/</w:t>
            </w:r>
          </w:p>
        </w:tc>
        <w:tc>
          <w:tcPr>
            <w:tcW w:w="394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20"/>
        </w:trPr>
        <w:tc>
          <w:tcPr>
            <w:tcW w:w="320" w:type="dxa"/>
            <w:vAlign w:val="bottom"/>
          </w:tcPr>
          <w:p>
            <w:pPr>
              <w:spacing w:after="0" w:line="20" w:lineRule="exact"/>
              <w:rPr>
                <w:sz w:val="1"/>
                <w:szCs w:val="1"/>
                <w:color w:val="auto"/>
              </w:rPr>
            </w:pPr>
          </w:p>
        </w:tc>
        <w:tc>
          <w:tcPr>
            <w:tcW w:w="4240" w:type="dxa"/>
            <w:vAlign w:val="bottom"/>
            <w:gridSpan w:val="2"/>
            <w:shd w:val="clear" w:color="auto" w:fill="000000"/>
          </w:tcPr>
          <w:p>
            <w:pPr>
              <w:spacing w:after="0" w:line="20" w:lineRule="exact"/>
              <w:rPr>
                <w:sz w:val="1"/>
                <w:szCs w:val="1"/>
                <w:color w:val="auto"/>
              </w:rPr>
            </w:pPr>
          </w:p>
        </w:tc>
      </w:tr>
      <w:tr>
        <w:trPr>
          <w:trHeight w:val="202"/>
        </w:trPr>
        <w:tc>
          <w:tcPr>
            <w:tcW w:w="4560" w:type="dxa"/>
            <w:vAlign w:val="bottom"/>
            <w:gridSpan w:val="3"/>
          </w:tcPr>
          <w:p>
            <w:pPr>
              <w:spacing w:after="0" w:line="202" w:lineRule="exact"/>
              <w:rPr>
                <w:sz w:val="20"/>
                <w:szCs w:val="20"/>
                <w:color w:val="auto"/>
              </w:rPr>
            </w:pPr>
            <w:r>
              <w:rPr>
                <w:rFonts w:ascii="Arial" w:cs="Arial" w:eastAsia="Arial" w:hAnsi="Arial"/>
                <w:sz w:val="18"/>
                <w:szCs w:val="18"/>
                <w:color w:val="auto"/>
              </w:rPr>
              <w:t>Name: Dennis R. Hernreich</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Its:</w:t>
            </w: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Executive VP, COO, CFO</w:t>
            </w:r>
          </w:p>
        </w:tc>
      </w:tr>
      <w:tr>
        <w:trPr>
          <w:trHeight w:val="594"/>
        </w:trPr>
        <w:tc>
          <w:tcPr>
            <w:tcW w:w="320" w:type="dxa"/>
            <w:vAlign w:val="bottom"/>
          </w:tcPr>
          <w:p>
            <w:pPr>
              <w:spacing w:after="0"/>
              <w:rPr>
                <w:sz w:val="20"/>
                <w:szCs w:val="20"/>
                <w:color w:val="auto"/>
              </w:rPr>
            </w:pPr>
            <w:r>
              <w:rPr>
                <w:rFonts w:ascii="Arial" w:cs="Arial" w:eastAsia="Arial" w:hAnsi="Arial"/>
                <w:sz w:val="18"/>
                <w:szCs w:val="18"/>
                <w:color w:val="auto"/>
              </w:rPr>
              <w:t>/s/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R</w:t>
            </w:r>
            <w:r>
              <w:rPr>
                <w:rFonts w:ascii="Arial" w:cs="Arial" w:eastAsia="Arial" w:hAnsi="Arial"/>
                <w:sz w:val="14"/>
                <w:szCs w:val="14"/>
                <w:color w:val="auto"/>
              </w:rPr>
              <w:t>AMSEYER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1270</wp:posOffset>
            </wp:positionV>
            <wp:extent cx="28987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Ronald Ramseyer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820" w:type="dxa"/>
            <w:vAlign w:val="bottom"/>
          </w:tcPr>
          <w:p>
            <w:pPr>
              <w:ind w:left="920"/>
              <w:spacing w:after="0"/>
              <w:rPr>
                <w:sz w:val="20"/>
                <w:szCs w:val="20"/>
                <w:color w:val="auto"/>
              </w:rPr>
            </w:pPr>
            <w:r>
              <w:rPr>
                <w:rFonts w:ascii="Arial" w:cs="Arial" w:eastAsia="Arial" w:hAnsi="Arial"/>
                <w:sz w:val="18"/>
                <w:szCs w:val="18"/>
                <w:b w:val="1"/>
                <w:bCs w:val="1"/>
                <w:color w:val="auto"/>
                <w:w w:val="87"/>
              </w:rPr>
              <w:t>Exhibit 21.1</w:t>
            </w:r>
          </w:p>
        </w:tc>
      </w:tr>
      <w:tr>
        <w:trPr>
          <w:trHeight w:val="358"/>
        </w:trPr>
        <w:tc>
          <w:tcPr>
            <w:tcW w:w="980" w:type="dxa"/>
            <w:vAlign w:val="bottom"/>
          </w:tcPr>
          <w:p>
            <w:pPr>
              <w:spacing w:after="0"/>
              <w:rPr>
                <w:sz w:val="24"/>
                <w:szCs w:val="24"/>
                <w:color w:val="auto"/>
              </w:rPr>
            </w:pPr>
          </w:p>
        </w:tc>
        <w:tc>
          <w:tcPr>
            <w:tcW w:w="8620" w:type="dxa"/>
            <w:vAlign w:val="bottom"/>
          </w:tcPr>
          <w:p>
            <w:pPr>
              <w:jc w:val="center"/>
              <w:ind w:left="752"/>
              <w:spacing w:after="0"/>
              <w:rPr>
                <w:sz w:val="20"/>
                <w:szCs w:val="20"/>
                <w:color w:val="auto"/>
              </w:rPr>
            </w:pPr>
            <w:r>
              <w:rPr>
                <w:rFonts w:ascii="Arial" w:cs="Arial" w:eastAsia="Arial" w:hAnsi="Arial"/>
                <w:sz w:val="18"/>
                <w:szCs w:val="18"/>
                <w:color w:val="auto"/>
                <w:w w:val="94"/>
              </w:rPr>
              <w:t>SUBSIDIARIES OF CASUAL MALE RETAIL GROUP, INC.</w:t>
            </w:r>
          </w:p>
        </w:tc>
        <w:tc>
          <w:tcPr>
            <w:tcW w:w="1820" w:type="dxa"/>
            <w:vAlign w:val="bottom"/>
          </w:tcPr>
          <w:p>
            <w:pPr>
              <w:spacing w:after="0"/>
              <w:rPr>
                <w:sz w:val="24"/>
                <w:szCs w:val="24"/>
                <w:color w:val="auto"/>
              </w:rPr>
            </w:pPr>
          </w:p>
        </w:tc>
      </w:tr>
      <w:tr>
        <w:trPr>
          <w:trHeight w:val="222"/>
        </w:trPr>
        <w:tc>
          <w:tcPr>
            <w:tcW w:w="980" w:type="dxa"/>
            <w:vAlign w:val="bottom"/>
          </w:tcPr>
          <w:p>
            <w:pPr>
              <w:spacing w:after="0"/>
              <w:rPr>
                <w:sz w:val="19"/>
                <w:szCs w:val="19"/>
                <w:color w:val="auto"/>
              </w:rPr>
            </w:pPr>
          </w:p>
        </w:tc>
        <w:tc>
          <w:tcPr>
            <w:tcW w:w="8620" w:type="dxa"/>
            <w:vAlign w:val="bottom"/>
          </w:tcPr>
          <w:p>
            <w:pPr>
              <w:jc w:val="center"/>
              <w:ind w:left="752"/>
              <w:spacing w:after="0"/>
              <w:rPr>
                <w:sz w:val="20"/>
                <w:szCs w:val="20"/>
                <w:color w:val="auto"/>
              </w:rPr>
            </w:pPr>
            <w:r>
              <w:rPr>
                <w:rFonts w:ascii="Arial" w:cs="Arial" w:eastAsia="Arial" w:hAnsi="Arial"/>
                <w:sz w:val="18"/>
                <w:szCs w:val="18"/>
                <w:color w:val="auto"/>
                <w:w w:val="89"/>
              </w:rPr>
              <w:t>Wholly-owned unless otherwise indicated</w:t>
            </w:r>
          </w:p>
        </w:tc>
        <w:tc>
          <w:tcPr>
            <w:tcW w:w="1820" w:type="dxa"/>
            <w:vAlign w:val="bottom"/>
          </w:tcPr>
          <w:p>
            <w:pPr>
              <w:spacing w:after="0"/>
              <w:rPr>
                <w:sz w:val="19"/>
                <w:szCs w:val="19"/>
                <w:color w:val="auto"/>
              </w:rPr>
            </w:pPr>
          </w:p>
        </w:tc>
      </w:tr>
      <w:tr>
        <w:trPr>
          <w:trHeight w:val="365"/>
        </w:trPr>
        <w:tc>
          <w:tcPr>
            <w:tcW w:w="96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1820" w:type="dxa"/>
            <w:vAlign w:val="bottom"/>
          </w:tcPr>
          <w:p>
            <w:pPr>
              <w:spacing w:after="0"/>
              <w:rPr>
                <w:sz w:val="20"/>
                <w:szCs w:val="20"/>
                <w:color w:val="auto"/>
              </w:rPr>
            </w:pPr>
            <w:r>
              <w:rPr>
                <w:rFonts w:ascii="Arial" w:cs="Arial" w:eastAsia="Arial" w:hAnsi="Arial"/>
                <w:sz w:val="18"/>
                <w:szCs w:val="18"/>
                <w:color w:val="auto"/>
              </w:rPr>
              <w:t>State of Incorporation:</w:t>
            </w:r>
          </w:p>
        </w:tc>
      </w:tr>
      <w:tr>
        <w:trPr>
          <w:trHeight w:val="110"/>
        </w:trPr>
        <w:tc>
          <w:tcPr>
            <w:tcW w:w="980" w:type="dxa"/>
            <w:vAlign w:val="bottom"/>
            <w:tcBorders>
              <w:bottom w:val="single" w:sz="8" w:color="auto"/>
            </w:tcBorders>
          </w:tcPr>
          <w:p>
            <w:pPr>
              <w:spacing w:after="0"/>
              <w:rPr>
                <w:sz w:val="9"/>
                <w:szCs w:val="9"/>
                <w:color w:val="auto"/>
              </w:rPr>
            </w:pPr>
          </w:p>
        </w:tc>
        <w:tc>
          <w:tcPr>
            <w:tcW w:w="862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r>
      <w:tr>
        <w:trPr>
          <w:trHeight w:val="309"/>
        </w:trPr>
        <w:tc>
          <w:tcPr>
            <w:tcW w:w="9600" w:type="dxa"/>
            <w:vAlign w:val="bottom"/>
            <w:gridSpan w:val="2"/>
          </w:tcPr>
          <w:p>
            <w:pPr>
              <w:spacing w:after="0"/>
              <w:rPr>
                <w:sz w:val="20"/>
                <w:szCs w:val="20"/>
                <w:color w:val="auto"/>
              </w:rPr>
            </w:pPr>
            <w:r>
              <w:rPr>
                <w:rFonts w:ascii="Arial" w:cs="Arial" w:eastAsia="Arial" w:hAnsi="Arial"/>
                <w:sz w:val="18"/>
                <w:szCs w:val="18"/>
                <w:color w:val="auto"/>
              </w:rPr>
              <w:t>Designs Apparel, Inc.</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Capture, LLC (a)</w:t>
            </w:r>
          </w:p>
        </w:tc>
        <w:tc>
          <w:tcPr>
            <w:tcW w:w="1820" w:type="dxa"/>
            <w:vAlign w:val="bottom"/>
          </w:tcPr>
          <w:p>
            <w:pPr>
              <w:spacing w:after="0"/>
              <w:rPr>
                <w:sz w:val="20"/>
                <w:szCs w:val="20"/>
                <w:color w:val="auto"/>
              </w:rPr>
            </w:pPr>
            <w:r>
              <w:rPr>
                <w:rFonts w:ascii="Arial" w:cs="Arial" w:eastAsia="Arial" w:hAnsi="Arial"/>
                <w:sz w:val="18"/>
                <w:szCs w:val="18"/>
                <w:color w:val="auto"/>
              </w:rPr>
              <w:t>Virginia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Casual Male Store, LLC (f/k/a Designs CMAL Store Inc.)</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Casual Male Retail Store, LLC (f/k/a Designs CMAL Retail Store Inc.)</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Casual Male Direct, LLC (f/k/a Designs CMAL TBD Inc.)</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LP Innovations, Inc. (b)</w:t>
            </w:r>
          </w:p>
        </w:tc>
        <w:tc>
          <w:tcPr>
            <w:tcW w:w="182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Securex LLC (c)</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Designs Canton Holdings, Inc.</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Designs Canton Property Corp. (d)</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Casual Male RBT, LLC</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Casual Male RBT (U.K.) (e)</w:t>
            </w:r>
          </w:p>
        </w:tc>
        <w:tc>
          <w:tcPr>
            <w:tcW w:w="182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Casual Male Canada Inc.</w:t>
            </w:r>
          </w:p>
        </w:tc>
        <w:tc>
          <w:tcPr>
            <w:tcW w:w="1820" w:type="dxa"/>
            <w:vAlign w:val="bottom"/>
          </w:tcPr>
          <w:p>
            <w:pPr>
              <w:spacing w:after="0"/>
              <w:rPr>
                <w:sz w:val="20"/>
                <w:szCs w:val="20"/>
                <w:color w:val="auto"/>
              </w:rPr>
            </w:pPr>
            <w:r>
              <w:rPr>
                <w:rFonts w:ascii="Arial" w:cs="Arial" w:eastAsia="Arial" w:hAnsi="Arial"/>
                <w:sz w:val="18"/>
                <w:szCs w:val="18"/>
                <w:color w:val="auto"/>
              </w:rPr>
              <w:t>Ontario, Canada</w:t>
            </w:r>
          </w:p>
        </w:tc>
      </w:tr>
    </w:tbl>
    <w:p>
      <w:pPr>
        <w:spacing w:after="0" w:line="156"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owned by Designs Apparel, Inc. (a wholly-owned subsidiary of Casual Male Retail Group, Inc.)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80% owned by Casual Male Direct, LLC (a wholly-owned subsidiary of Casual Male Retail Group, Inc.)</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owed by LP Innovations, Inc. (an 80%-owned subsidiary of Casual Male Direct, LLC, which is a wholly-owned subsidiary of Casual Male Retail Group, Inc.)</w:t>
      </w: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owned by Designs Canton Holdings, Inc. (a wholly-owned subsidiary of Casual Male Retail Group, Inc.)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100% owned by Casual Male RBT, LLC (a wholly-owned subsidiary of Casual Male Retail Group, Inc.)</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(Form S-3 Nos. 333-118966, 333-112598, 333-90742, and 33-53358 and Form S-8 Nos. 333-112561, 333-112218, and 33-52892) of our reports dated April 7, 2005, with respect to the consolidated financial statements and schedule of Casual Male Retail Group, Inc., Casual Male Retail Group, Inc.’s management’s assessment of the effectiveness of internal control over financial reporting, and the effectiveness of internal control over financial reporting of Casual Male Retail Group, Inc., included in this Annual Report (Form 10-K) for the year ended January 29, 2005.</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7, 2005</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58"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2005</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7570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15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Casual Male Retail Group, Inc.;</w:t>
      </w:r>
    </w:p>
    <w:p>
      <w:pPr>
        <w:spacing w:after="0" w:line="157"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2005</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6725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29, 2005, as filed with the Securities and Exchange Commission on the date hereof (the “Report”), I, David A. Levin, Chief Executive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April 11, 2005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56"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 of Casual Male Retail Group, Inc. (the “Company”) for the period ended January 29, 2005,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April 11, 2005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amp;"/>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amp;"/>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5"/>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amp;"/>
      <w:numFmt w:val="bullet"/>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upperLetter"/>
      <w:start w:val="2"/>
    </w:lvl>
  </w:abstractNum>
  <w:abstractNum w:abstractNumId="16">
    <w:nsid w:val="7644A45C"/>
    <w:multiLevelType w:val="hybridMultilevel"/>
    <w:lvl w:ilvl="0">
      <w:lvlJc w:val="left"/>
      <w:lvlText w:val="%1."/>
      <w:numFmt w:val="upperLetter"/>
      <w:start w:val="3"/>
    </w:lvl>
  </w:abstractNum>
  <w:abstractNum w:abstractNumId="17">
    <w:nsid w:val="32FFF902"/>
    <w:multiLevelType w:val="hybridMultilevel"/>
    <w:lvl w:ilvl="0">
      <w:lvlJc w:val="left"/>
      <w:lvlText w:val="%1."/>
      <w:numFmt w:val="upperLetter"/>
      <w:start w:val="4"/>
    </w:lvl>
  </w:abstractNum>
  <w:abstractNum w:abstractNumId="18">
    <w:nsid w:val="684A481A"/>
    <w:multiLevelType w:val="hybridMultilevel"/>
    <w:lvl w:ilvl="0">
      <w:lvlJc w:val="left"/>
      <w:lvlText w:val="%1."/>
      <w:numFmt w:val="upperLetter"/>
      <w:start w:val="5"/>
    </w:lvl>
  </w:abstractNum>
  <w:abstractNum w:abstractNumId="19">
    <w:nsid w:val="579478FE"/>
    <w:multiLevelType w:val="hybridMultilevel"/>
    <w:lvl w:ilvl="0">
      <w:lvlJc w:val="left"/>
      <w:lvlText w:val="%1."/>
      <w:numFmt w:val="upperLetter"/>
      <w:start w:val="7"/>
    </w:lvl>
  </w:abstractNum>
  <w:abstractNum w:abstractNumId="20">
    <w:nsid w:val="749ABB43"/>
    <w:multiLevelType w:val="hybridMultilevel"/>
    <w:lvl w:ilvl="0">
      <w:lvlJc w:val="left"/>
      <w:lvlText w:val="%1."/>
      <w:numFmt w:val="upperLetter"/>
      <w:start w:val="8"/>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upperLetter"/>
      <w:start w:val="9"/>
    </w:lvl>
  </w:abstractNum>
  <w:abstractNum w:abstractNumId="23">
    <w:nsid w:val="79A1DEAA"/>
    <w:multiLevelType w:val="hybridMultilevel"/>
    <w:lvl w:ilvl="0">
      <w:lvlJc w:val="left"/>
      <w:lvlText w:val="%1."/>
      <w:numFmt w:val="upperLetter"/>
      <w:start w:val="10"/>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upperLetter"/>
      <w:start w:val="11"/>
    </w:lvl>
  </w:abstractNum>
  <w:abstractNum w:abstractNumId="26">
    <w:nsid w:val="70C6A529"/>
    <w:multiLevelType w:val="hybridMultilevel"/>
    <w:lvl w:ilvl="0">
      <w:lvlJc w:val="left"/>
      <w:lvlText w:val="%1."/>
      <w:numFmt w:val="upperLetter"/>
      <w:start w:val="12"/>
    </w:lvl>
  </w:abstractNum>
  <w:abstractNum w:abstractNumId="27">
    <w:nsid w:val="520EEDD1"/>
    <w:multiLevelType w:val="hybridMultilevel"/>
    <w:lvl w:ilvl="0">
      <w:lvlJc w:val="left"/>
      <w:lvlText w:val="%1."/>
      <w:numFmt w:val="upperLetter"/>
      <w:start w:val="13"/>
    </w:lvl>
  </w:abstractNum>
  <w:abstractNum w:abstractNumId="28">
    <w:nsid w:val="374A3FE6"/>
    <w:multiLevelType w:val="hybridMultilevel"/>
    <w:lvl w:ilvl="0">
      <w:lvlJc w:val="left"/>
      <w:lvlText w:val="%1."/>
      <w:numFmt w:val="upperLetter"/>
      <w:start w:val="14"/>
    </w:lvl>
  </w:abstractNum>
  <w:abstractNum w:abstractNumId="29">
    <w:nsid w:val="4F4EF005"/>
    <w:multiLevelType w:val="hybridMultilevel"/>
    <w:lvl w:ilvl="0">
      <w:lvlJc w:val="left"/>
      <w:lvlText w:val="&amp;"/>
      <w:numFmt w:val="bullet"/>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1)"/>
      <w:numFmt w:val="decimal"/>
      <w:start w:val="3"/>
    </w:lvl>
  </w:abstractNum>
  <w:abstractNum w:abstractNumId="32">
    <w:nsid w:val="275AC794"/>
    <w:multiLevelType w:val="hybridMultilevel"/>
    <w:lvl w:ilvl="0">
      <w:lvlJc w:val="left"/>
      <w:lvlText w:val="(%1)"/>
      <w:numFmt w:val="decimal"/>
      <w:start w:val="6"/>
    </w:lvl>
  </w:abstractNum>
  <w:abstractNum w:abstractNumId="33">
    <w:nsid w:val="39386575"/>
    <w:multiLevelType w:val="hybridMultilevel"/>
    <w:lvl w:ilvl="0">
      <w:lvlJc w:val="left"/>
      <w:lvlText w:val="(%1)"/>
      <w:numFmt w:val="decimal"/>
      <w:start w:val="7"/>
    </w:lvl>
  </w:abstractNum>
  <w:abstractNum w:abstractNumId="34">
    <w:nsid w:val="1CF10FD8"/>
    <w:multiLevelType w:val="hybridMultilevel"/>
    <w:lvl w:ilvl="0">
      <w:lvlJc w:val="left"/>
      <w:lvlText w:val="%1."/>
      <w:numFmt w:val="upperLetter"/>
      <w:start w:val="15"/>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1)"/>
      <w:numFmt w:val="lowerRoman"/>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2"/>
    </w:lvl>
  </w:abstractNum>
  <w:abstractNum w:abstractNumId="40">
    <w:nsid w:val="741226BB"/>
    <w:multiLevelType w:val="hybridMultilevel"/>
    <w:lvl w:ilvl="0">
      <w:lvlJc w:val="left"/>
      <w:lvlText w:val="%1."/>
      <w:numFmt w:val="decimal"/>
      <w:start w:val="1"/>
    </w:lvl>
    <w:lvl w:ilvl="1">
      <w:lvlJc w:val="left"/>
      <w:lvlText w:val="(%2)"/>
      <w:numFmt w:val="lowerLetter"/>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2"/>
    </w:lvl>
    <w:lvl w:ilvl="1">
      <w:lvlJc w:val="left"/>
      <w:lvlText w:val="(%2)"/>
      <w:numFmt w:val="lowerLetter"/>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2"/>
    </w:lvl>
  </w:abstractNum>
  <w:abstractNum w:abstractNumId="45">
    <w:nsid w:val="7E0C57B1"/>
    <w:multiLevelType w:val="hybridMultilevel"/>
    <w:lvl w:ilvl="0">
      <w:lvlJc w:val="left"/>
      <w:lvlText w:val="%1."/>
      <w:numFmt w:val="decimal"/>
      <w:start w:val="3"/>
    </w:lvl>
    <w:lvl w:ilvl="1">
      <w:lvlJc w:val="left"/>
      <w:lvlText w:val="(%2)"/>
      <w:numFmt w:val="lowerLetter"/>
      <w:start w:val="1"/>
    </w:lvl>
  </w:abstractNum>
  <w:abstractNum w:abstractNumId="46">
    <w:nsid w:val="77AE35EB"/>
    <w:multiLevelType w:val="hybridMultilevel"/>
    <w:lvl w:ilvl="0">
      <w:lvlJc w:val="left"/>
      <w:lvlText w:val="%1"/>
      <w:numFmt w:val="decimal"/>
      <w:start w:val="1"/>
    </w:lvl>
    <w:lvl w:ilvl="1">
      <w:lvlJc w:val="left"/>
      <w:lvlText w:val="(%2)"/>
      <w:numFmt w:val="lowerLetter"/>
      <w:start w:val="2"/>
    </w:lvl>
  </w:abstractNum>
  <w:abstractNum w:abstractNumId="47">
    <w:nsid w:val="579BE4F1"/>
    <w:multiLevelType w:val="hybridMultilevel"/>
    <w:lvl w:ilvl="0">
      <w:lvlJc w:val="left"/>
      <w:lvlText w:val="%1."/>
      <w:numFmt w:val="decimal"/>
      <w:start w:val="4"/>
    </w:lvl>
    <w:lvl w:ilvl="1">
      <w:lvlJc w:val="left"/>
      <w:lvlText w:val="%2"/>
      <w:numFmt w:val="lowerLetter"/>
      <w:start w:val="1"/>
    </w:lvl>
  </w:abstractNum>
  <w:abstractNum w:abstractNumId="48">
    <w:nsid w:val="310C50B3"/>
    <w:multiLevelType w:val="hybridMultilevel"/>
    <w:lvl w:ilvl="0">
      <w:lvlJc w:val="left"/>
      <w:lvlText w:val="(%1)"/>
      <w:numFmt w:val="decimal"/>
      <w:start w:val="3"/>
    </w:lvl>
    <w:lvl w:ilvl="1">
      <w:lvlJc w:val="left"/>
      <w:lvlText w:val="%2."/>
      <w:numFmt w:val="decimal"/>
      <w:start w:val="5"/>
    </w:lvl>
  </w:abstractNum>
  <w:abstractNum w:abstractNumId="49">
    <w:nsid w:val="5FF87E05"/>
    <w:multiLevelType w:val="hybridMultilevel"/>
    <w:lvl w:ilvl="0">
      <w:lvlJc w:val="left"/>
      <w:lvlText w:val="%1."/>
      <w:numFmt w:val="decimal"/>
      <w:start w:val="6"/>
    </w:lvl>
    <w:lvl w:ilvl="1">
      <w:lvlJc w:val="left"/>
      <w:lvlText w:val="(%2)"/>
      <w:numFmt w:val="lowerLetter"/>
      <w:start w:val="1"/>
    </w:lvl>
  </w:abstractNum>
  <w:abstractNum w:abstractNumId="50">
    <w:nsid w:val="2F305DE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1">
    <w:nsid w:val="25A70BF7"/>
    <w:multiLevelType w:val="hybridMultilevel"/>
    <w:lvl w:ilvl="0">
      <w:lvlJc w:val="left"/>
      <w:lvlText w:val="%1"/>
      <w:numFmt w:val="lowerLetter"/>
      <w:start w:val="1"/>
    </w:lvl>
    <w:lvl w:ilvl="1">
      <w:lvlJc w:val="left"/>
      <w:lvlText w:val="(%2)"/>
      <w:numFmt w:val="lowerRoman"/>
      <w:start w:val="1"/>
    </w:lvl>
  </w:abstractNum>
  <w:abstractNum w:abstractNumId="52">
    <w:nsid w:val="1DBABF00"/>
    <w:multiLevelType w:val="hybridMultilevel"/>
    <w:lvl w:ilvl="0">
      <w:lvlJc w:val="left"/>
      <w:lvlText w:val="(%1)"/>
      <w:numFmt w:val="lowerLetter"/>
      <w:start w:val="3"/>
    </w:lvl>
    <w:lvl w:ilvl="1">
      <w:lvlJc w:val="left"/>
      <w:lvlText w:val="%2"/>
      <w:numFmt w:val="lowerRoman"/>
      <w:start w:val="1"/>
    </w:lvl>
  </w:abstractNum>
  <w:abstractNum w:abstractNumId="53">
    <w:nsid w:val="4AD084E9"/>
    <w:multiLevelType w:val="hybridMultilevel"/>
    <w:lvl w:ilvl="0">
      <w:lvlJc w:val="left"/>
      <w:lvlText w:val="(%1)"/>
      <w:numFmt w:val="lowerLetter"/>
      <w:start w:val="3"/>
    </w:lvl>
  </w:abstractNum>
  <w:abstractNum w:abstractNumId="54">
    <w:nsid w:val="1F48EAA1"/>
    <w:multiLevelType w:val="hybridMultilevel"/>
    <w:lvl w:ilvl="0">
      <w:lvlJc w:val="left"/>
      <w:lvlText w:val="%1"/>
      <w:numFmt w:val="decimal"/>
      <w:start w:val="1"/>
    </w:lvl>
    <w:lvl w:ilvl="1">
      <w:lvlJc w:val="left"/>
      <w:lvlText w:val="(%2)"/>
      <w:numFmt w:val="lowerLetter"/>
      <w:start w:val="6"/>
    </w:lvl>
  </w:abstractNum>
  <w:abstractNum w:abstractNumId="55">
    <w:nsid w:val="1381823A"/>
    <w:multiLevelType w:val="hybridMultilevel"/>
    <w:lvl w:ilvl="0">
      <w:lvlJc w:val="left"/>
      <w:lvlText w:val="%1."/>
      <w:numFmt w:val="decimal"/>
      <w:start w:val="9"/>
    </w:lvl>
    <w:lvl w:ilvl="1">
      <w:lvlJc w:val="left"/>
      <w:lvlText w:val="(%2)"/>
      <w:numFmt w:val="lowerLetter"/>
      <w:start w:val="1"/>
    </w:lvl>
  </w:abstractNum>
  <w:abstractNum w:abstractNumId="56">
    <w:nsid w:val="5DB70AE5"/>
    <w:multiLevelType w:val="hybridMultilevel"/>
    <w:lvl w:ilvl="0">
      <w:lvlJc w:val="left"/>
      <w:lvlText w:val="(%1)"/>
      <w:numFmt w:val="lowerLetter"/>
      <w:start w:val="4"/>
    </w:lvl>
  </w:abstractNum>
  <w:abstractNum w:abstractNumId="57">
    <w:nsid w:val="100F8FCA"/>
    <w:multiLevelType w:val="hybridMultilevel"/>
    <w:lvl w:ilvl="0">
      <w:lvlJc w:val="left"/>
      <w:lvlText w:val="%1."/>
      <w:numFmt w:val="decimal"/>
      <w:start w:val="10"/>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decimal"/>
      <w:start w:val="1"/>
    </w:lvl>
    <w:lvl w:ilvl="1">
      <w:lvlJc w:val="left"/>
      <w:lvlText w:val="(%2)"/>
      <w:numFmt w:val="lowerLetter"/>
      <w:start w:val="4"/>
    </w:lvl>
  </w:abstractNum>
  <w:abstractNum w:abstractNumId="60">
    <w:nsid w:val="5F5E7FD0"/>
    <w:multiLevelType w:val="hybridMultilevel"/>
    <w:lvl w:ilvl="0">
      <w:lvlJc w:val="left"/>
      <w:lvlText w:val="%1."/>
      <w:numFmt w:val="decimal"/>
      <w:start w:val="11"/>
    </w:lvl>
    <w:lvl w:ilvl="1">
      <w:lvlJc w:val="left"/>
      <w:lvlText w:val="(%2)"/>
      <w:numFmt w:val="lowerLetter"/>
      <w:start w:val="1"/>
    </w:lvl>
  </w:abstractNum>
  <w:abstractNum w:abstractNumId="61">
    <w:nsid w:val="98A3148"/>
    <w:multiLevelType w:val="hybridMultilevel"/>
    <w:lvl w:ilvl="0">
      <w:lvlJc w:val="left"/>
      <w:lvlText w:val="(%1)"/>
      <w:numFmt w:val="lowerLetter"/>
      <w:start w:val="2"/>
    </w:lvl>
  </w:abstractNum>
  <w:abstractNum w:abstractNumId="62">
    <w:nsid w:val="799D0247"/>
    <w:multiLevelType w:val="hybridMultilevel"/>
    <w:lvl w:ilvl="0">
      <w:lvlJc w:val="left"/>
      <w:lvlText w:val="%1."/>
      <w:numFmt w:val="decimal"/>
      <w:start w:val="13"/>
    </w:lvl>
  </w:abstractNum>
  <w:abstractNum w:abstractNumId="63">
    <w:nsid w:val="6B94764"/>
    <w:multiLevelType w:val="hybridMultilevel"/>
    <w:lvl w:ilvl="0">
      <w:lvlJc w:val="left"/>
      <w:lvlText w:val="%1."/>
      <w:numFmt w:val="decimal"/>
      <w:start w:val="14"/>
    </w:lvl>
  </w:abstractNum>
  <w:abstractNum w:abstractNumId="64">
    <w:nsid w:val="42C296BD"/>
    <w:multiLevelType w:val="hybridMultilevel"/>
    <w:lvl w:ilvl="0">
      <w:lvlJc w:val="left"/>
      <w:lvlText w:val="%1."/>
      <w:numFmt w:val="decimal"/>
      <w:start w:val="15"/>
    </w:lvl>
  </w:abstractNum>
  <w:abstractNum w:abstractNumId="65">
    <w:nsid w:val="168E121F"/>
    <w:multiLevelType w:val="hybridMultilevel"/>
    <w:lvl w:ilvl="0">
      <w:lvlJc w:val="left"/>
      <w:lvlText w:val="%1."/>
      <w:numFmt w:val="decimal"/>
      <w:start w:val="16"/>
    </w:lvl>
  </w:abstractNum>
  <w:abstractNum w:abstractNumId="66">
    <w:nsid w:val="1EBA5D23"/>
    <w:multiLevelType w:val="hybridMultilevel"/>
    <w:lvl w:ilvl="0">
      <w:lvlJc w:val="left"/>
      <w:lvlText w:val="%1."/>
      <w:numFmt w:val="decimal"/>
      <w:start w:val="17"/>
    </w:lvl>
  </w:abstractNum>
  <w:abstractNum w:abstractNumId="67">
    <w:nsid w:val="661E3F1E"/>
    <w:multiLevelType w:val="hybridMultilevel"/>
    <w:lvl w:ilvl="0">
      <w:lvlJc w:val="left"/>
      <w:lvlText w:val="%1."/>
      <w:numFmt w:val="decimal"/>
      <w:start w:val="18"/>
    </w:lvl>
  </w:abstractNum>
  <w:abstractNum w:abstractNumId="68">
    <w:nsid w:val="5DC79EA8"/>
    <w:multiLevelType w:val="hybridMultilevel"/>
    <w:lvl w:ilvl="0">
      <w:lvlJc w:val="left"/>
      <w:lvlText w:val="%1."/>
      <w:numFmt w:val="decimal"/>
      <w:start w:val="19"/>
    </w:lvl>
  </w:abstractNum>
  <w:abstractNum w:abstractNumId="69">
    <w:nsid w:val="540A471C"/>
    <w:multiLevelType w:val="hybridMultilevel"/>
    <w:lvl w:ilvl="0">
      <w:lvlJc w:val="left"/>
      <w:lvlText w:val="%1."/>
      <w:numFmt w:val="decimal"/>
      <w:start w:val="20"/>
    </w:lvl>
  </w:abstractNum>
  <w:abstractNum w:abstractNumId="70">
    <w:nsid w:val="7BD3EE7B"/>
    <w:multiLevelType w:val="hybridMultilevel"/>
    <w:lvl w:ilvl="0">
      <w:lvlJc w:val="left"/>
      <w:lvlText w:val="%1."/>
      <w:numFmt w:val="decimal"/>
      <w:start w:val="21"/>
    </w:lvl>
  </w:abstractNum>
  <w:abstractNum w:abstractNumId="71">
    <w:nsid w:val="51D9C564"/>
    <w:multiLevelType w:val="hybridMultilevel"/>
    <w:lvl w:ilvl="0">
      <w:lvlJc w:val="left"/>
      <w:lvlText w:val="%1."/>
      <w:numFmt w:val="decimal"/>
      <w:start w:val="22"/>
    </w:lvl>
  </w:abstractNum>
  <w:abstractNum w:abstractNumId="72">
    <w:nsid w:val="613EFDC5"/>
    <w:multiLevelType w:val="hybridMultilevel"/>
    <w:lvl w:ilvl="0">
      <w:lvlJc w:val="left"/>
      <w:lvlText w:val="%1."/>
      <w:numFmt w:val="decimal"/>
      <w:start w:val="23"/>
    </w:lvl>
  </w:abstractNum>
  <w:abstractNum w:abstractNumId="73">
    <w:nsid w:val="BF72B14"/>
    <w:multiLevelType w:val="hybridMultilevel"/>
    <w:lvl w:ilvl="0">
      <w:lvlJc w:val="left"/>
      <w:lvlText w:val="%1."/>
      <w:numFmt w:val="decimal"/>
      <w:start w:val="24"/>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2019-12-11T21:31:33Z</dcterms:created>
  <dcterms:modified xsi:type="dcterms:W3CDTF">2019-12-11T21:31:33Z</dcterms:modified>
</cp:coreProperties>
</file>