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144145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87" w:lineRule="exact"/>
        <w:rPr>
          <w:sz w:val="24"/>
          <w:szCs w:val="24"/>
          <w:color w:val="auto"/>
        </w:rPr>
      </w:pPr>
    </w:p>
    <w:p>
      <w:pPr>
        <w:ind w:left="4140" w:right="1719" w:hanging="4132"/>
        <w:spacing w:after="0" w:line="441" w:lineRule="auto"/>
        <w:tabs>
          <w:tab w:leader="none" w:pos="45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15(d) OF THE SECURITIES EXCHANGE ACT OF 1934 </w:t>
      </w:r>
      <w:r>
        <w:rPr>
          <w:rFonts w:ascii="Arial" w:cs="Arial" w:eastAsia="Arial" w:hAnsi="Arial"/>
          <w:sz w:val="18"/>
          <w:szCs w:val="18"/>
          <w:color w:val="auto"/>
        </w:rPr>
        <w:t>For the fiscal year ended December 31, 2006</w:t>
      </w:r>
    </w:p>
    <w:p>
      <w:pPr>
        <w:spacing w:after="0" w:line="1" w:lineRule="exact"/>
        <w:rPr>
          <w:rFonts w:ascii="MS PGothic" w:cs="MS PGothic" w:eastAsia="MS PGothic" w:hAnsi="MS PGothic"/>
          <w:sz w:val="18"/>
          <w:szCs w:val="18"/>
          <w:color w:val="auto"/>
          <w:highlight w:val="black"/>
        </w:rPr>
      </w:pPr>
    </w:p>
    <w:p>
      <w:pPr>
        <w:ind w:left="564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15(d) OF THE SECURITIES EXCHANGE ACT OF 1934</w:t>
      </w:r>
    </w:p>
    <w:p>
      <w:pPr>
        <w:spacing w:after="0" w:line="177" w:lineRule="exact"/>
        <w:rPr>
          <w:sz w:val="24"/>
          <w:szCs w:val="24"/>
          <w:color w:val="auto"/>
        </w:rPr>
      </w:pPr>
    </w:p>
    <w:p>
      <w:pPr>
        <w:ind w:left="384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3787775</wp:posOffset>
            </wp:positionH>
            <wp:positionV relativeFrom="paragraph">
              <wp:posOffset>-13970</wp:posOffset>
            </wp:positionV>
            <wp:extent cx="10344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4415" cy="8890"/>
                    </a:xfrm>
                    <a:prstGeom prst="rect">
                      <a:avLst/>
                    </a:prstGeom>
                    <a:noFill/>
                  </pic:spPr>
                </pic:pic>
              </a:graphicData>
            </a:graphic>
          </wp:anchor>
        </w:drawing>
      </w:r>
    </w:p>
    <w:p>
      <w:pPr>
        <w:spacing w:after="0" w:line="151"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131445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1"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CASUAL MALE RETAIL GROUP, INC. 401(K) HOURLY SAVINGS PLAN</w:t>
      </w:r>
    </w:p>
    <w:p>
      <w:pPr>
        <w:spacing w:after="0" w:line="18"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i w:val="1"/>
          <w:iCs w:val="1"/>
          <w:color w:val="auto"/>
        </w:rPr>
        <w:t>(Full title of the plan)</w:t>
      </w:r>
    </w:p>
    <w:p>
      <w:pPr>
        <w:spacing w:after="0" w:line="106"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555 Turnpike Street</w:t>
      </w:r>
    </w:p>
    <w:p>
      <w:pPr>
        <w:spacing w:after="0" w:line="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Canton, Massachusetts 02021</w:t>
      </w:r>
    </w:p>
    <w:p>
      <w:pPr>
        <w:jc w:val="center"/>
        <w:ind w:right="-1200"/>
        <w:spacing w:after="0"/>
        <w:rPr>
          <w:sz w:val="20"/>
          <w:szCs w:val="20"/>
          <w:color w:val="auto"/>
        </w:rPr>
      </w:pPr>
      <w:r>
        <w:rPr>
          <w:rFonts w:ascii="Arial" w:cs="Arial" w:eastAsia="Arial" w:hAnsi="Arial"/>
          <w:sz w:val="14"/>
          <w:szCs w:val="14"/>
          <w:b w:val="1"/>
          <w:bCs w:val="1"/>
          <w:i w:val="1"/>
          <w:iCs w:val="1"/>
          <w:color w:val="auto"/>
        </w:rPr>
        <w:t>(Name of issuer of the securities held pursuant to the plan and the address</w:t>
      </w:r>
    </w:p>
    <w:p>
      <w:pPr>
        <w:jc w:val="center"/>
        <w:ind w:right="-1200"/>
        <w:spacing w:after="0"/>
        <w:rPr>
          <w:sz w:val="20"/>
          <w:szCs w:val="20"/>
          <w:color w:val="auto"/>
        </w:rPr>
      </w:pPr>
      <w:r>
        <w:rPr>
          <w:rFonts w:ascii="Arial" w:cs="Arial" w:eastAsia="Arial" w:hAnsi="Arial"/>
          <w:sz w:val="14"/>
          <w:szCs w:val="14"/>
          <w:b w:val="1"/>
          <w:bCs w:val="1"/>
          <w:i w:val="1"/>
          <w:i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19"/>
          </w:cols>
          <w:pgMar w:left="240" w:top="230"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00" w:type="dxa"/>
            <w:vAlign w:val="bottom"/>
          </w:tcPr>
          <w:p>
            <w:pPr>
              <w:spacing w:after="0"/>
              <w:rPr>
                <w:sz w:val="19"/>
                <w:szCs w:val="19"/>
                <w:color w:val="auto"/>
              </w:rPr>
            </w:pPr>
          </w:p>
        </w:tc>
        <w:tc>
          <w:tcPr>
            <w:tcW w:w="5560" w:type="dxa"/>
            <w:vAlign w:val="bottom"/>
            <w:gridSpan w:val="4"/>
          </w:tcPr>
          <w:p>
            <w:pPr>
              <w:jc w:val="center"/>
              <w:ind w:left="1592"/>
              <w:spacing w:after="0"/>
              <w:rPr>
                <w:sz w:val="20"/>
                <w:szCs w:val="20"/>
                <w:color w:val="auto"/>
              </w:rPr>
            </w:pPr>
            <w:r>
              <w:rPr>
                <w:rFonts w:ascii="Arial" w:cs="Arial" w:eastAsia="Arial" w:hAnsi="Arial"/>
                <w:sz w:val="18"/>
                <w:szCs w:val="18"/>
                <w:color w:val="auto"/>
                <w:w w:val="89"/>
              </w:rPr>
              <w:t>Casual Male Retail Group 401(k) Hourly Savings Plan</w:t>
            </w:r>
          </w:p>
        </w:tc>
        <w:tc>
          <w:tcPr>
            <w:tcW w:w="3760" w:type="dxa"/>
            <w:vAlign w:val="bottom"/>
          </w:tcPr>
          <w:p>
            <w:pPr>
              <w:spacing w:after="0"/>
              <w:rPr>
                <w:sz w:val="19"/>
                <w:szCs w:val="19"/>
                <w:color w:val="auto"/>
              </w:rPr>
            </w:pPr>
          </w:p>
        </w:tc>
      </w:tr>
      <w:tr>
        <w:trPr>
          <w:trHeight w:val="378"/>
        </w:trPr>
        <w:tc>
          <w:tcPr>
            <w:tcW w:w="2100" w:type="dxa"/>
            <w:vAlign w:val="bottom"/>
          </w:tcPr>
          <w:p>
            <w:pPr>
              <w:spacing w:after="0"/>
              <w:rPr>
                <w:sz w:val="24"/>
                <w:szCs w:val="24"/>
                <w:color w:val="auto"/>
              </w:rPr>
            </w:pPr>
          </w:p>
        </w:tc>
        <w:tc>
          <w:tcPr>
            <w:tcW w:w="5560" w:type="dxa"/>
            <w:vAlign w:val="bottom"/>
            <w:gridSpan w:val="4"/>
          </w:tcPr>
          <w:p>
            <w:pPr>
              <w:jc w:val="center"/>
              <w:ind w:left="1572"/>
              <w:spacing w:after="0"/>
              <w:rPr>
                <w:sz w:val="20"/>
                <w:szCs w:val="20"/>
                <w:color w:val="auto"/>
              </w:rPr>
            </w:pPr>
            <w:r>
              <w:rPr>
                <w:rFonts w:ascii="Arial" w:cs="Arial" w:eastAsia="Arial" w:hAnsi="Arial"/>
                <w:sz w:val="18"/>
                <w:szCs w:val="18"/>
                <w:color w:val="auto"/>
                <w:w w:val="86"/>
              </w:rPr>
              <w:t>Financial Statements and Supplemental Schedule</w:t>
            </w:r>
          </w:p>
        </w:tc>
        <w:tc>
          <w:tcPr>
            <w:tcW w:w="3760" w:type="dxa"/>
            <w:vAlign w:val="bottom"/>
          </w:tcPr>
          <w:p>
            <w:pPr>
              <w:spacing w:after="0"/>
              <w:rPr>
                <w:sz w:val="24"/>
                <w:szCs w:val="24"/>
                <w:color w:val="auto"/>
              </w:rPr>
            </w:pPr>
          </w:p>
        </w:tc>
      </w:tr>
      <w:tr>
        <w:trPr>
          <w:trHeight w:val="378"/>
        </w:trPr>
        <w:tc>
          <w:tcPr>
            <w:tcW w:w="2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540" w:type="dxa"/>
            <w:vAlign w:val="bottom"/>
            <w:gridSpan w:val="3"/>
          </w:tcPr>
          <w:p>
            <w:pPr>
              <w:jc w:val="center"/>
              <w:ind w:right="360"/>
              <w:spacing w:after="0"/>
              <w:rPr>
                <w:sz w:val="20"/>
                <w:szCs w:val="20"/>
                <w:color w:val="auto"/>
              </w:rPr>
            </w:pPr>
            <w:r>
              <w:rPr>
                <w:rFonts w:ascii="Arial" w:cs="Arial" w:eastAsia="Arial" w:hAnsi="Arial"/>
                <w:sz w:val="18"/>
                <w:szCs w:val="18"/>
                <w:color w:val="auto"/>
                <w:w w:val="86"/>
              </w:rPr>
              <w:t>Year ended December 31, 2006</w:t>
            </w:r>
          </w:p>
        </w:tc>
        <w:tc>
          <w:tcPr>
            <w:tcW w:w="3760" w:type="dxa"/>
            <w:vAlign w:val="bottom"/>
          </w:tcPr>
          <w:p>
            <w:pPr>
              <w:spacing w:after="0"/>
              <w:rPr>
                <w:sz w:val="24"/>
                <w:szCs w:val="24"/>
                <w:color w:val="auto"/>
              </w:rPr>
            </w:pPr>
          </w:p>
        </w:tc>
      </w:tr>
      <w:tr>
        <w:trPr>
          <w:trHeight w:val="378"/>
        </w:trPr>
        <w:tc>
          <w:tcPr>
            <w:tcW w:w="2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5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6"/>
              </w:rPr>
              <w:t>Table of Contents</w:t>
            </w:r>
          </w:p>
        </w:tc>
        <w:tc>
          <w:tcPr>
            <w:tcW w:w="3760" w:type="dxa"/>
            <w:vAlign w:val="bottom"/>
          </w:tcPr>
          <w:p>
            <w:pPr>
              <w:spacing w:after="0"/>
              <w:rPr>
                <w:sz w:val="24"/>
                <w:szCs w:val="24"/>
                <w:color w:val="auto"/>
              </w:rPr>
            </w:pPr>
          </w:p>
        </w:tc>
      </w:tr>
      <w:tr>
        <w:trPr>
          <w:trHeight w:val="380"/>
        </w:trPr>
        <w:tc>
          <w:tcPr>
            <w:tcW w:w="766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3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1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12"/>
        </w:trPr>
        <w:tc>
          <w:tcPr>
            <w:tcW w:w="586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Statements of Net Assets Available for Benefits as of December 31, 2006 and 2005</w:t>
              </w:r>
            </w:hyperlink>
          </w:p>
        </w:tc>
        <w:tc>
          <w:tcPr>
            <w:tcW w:w="1800" w:type="dxa"/>
            <w:vAlign w:val="bottom"/>
            <w:gridSpan w:val="2"/>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7660" w:type="dxa"/>
            <w:vAlign w:val="bottom"/>
            <w:gridSpan w:val="5"/>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Statement of Changes in Net Assets Available for Benefits For the Year Ended December 31, 2006</w:t>
              </w:r>
            </w:hyperlink>
          </w:p>
        </w:tc>
        <w:tc>
          <w:tcPr>
            <w:tcW w:w="3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6940" w:type="dxa"/>
            <w:vAlign w:val="bottom"/>
            <w:tcBorders>
              <w:top w:val="single" w:sz="8" w:color="0000EE"/>
            </w:tcBorders>
            <w:gridSpan w:val="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720" w:type="dxa"/>
            <w:vAlign w:val="bottom"/>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451"/>
        </w:trPr>
        <w:tc>
          <w:tcPr>
            <w:tcW w:w="21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Supplementary Schedule</w:t>
            </w:r>
          </w:p>
        </w:tc>
        <w:tc>
          <w:tcPr>
            <w:tcW w:w="5560" w:type="dxa"/>
            <w:vAlign w:val="bottom"/>
            <w:gridSpan w:val="4"/>
          </w:tcPr>
          <w:p>
            <w:pPr>
              <w:spacing w:after="0"/>
              <w:rPr>
                <w:sz w:val="24"/>
                <w:szCs w:val="24"/>
                <w:color w:val="auto"/>
              </w:rPr>
            </w:pPr>
          </w:p>
        </w:tc>
        <w:tc>
          <w:tcPr>
            <w:tcW w:w="3760" w:type="dxa"/>
            <w:vAlign w:val="bottom"/>
          </w:tcPr>
          <w:p>
            <w:pPr>
              <w:spacing w:after="0"/>
              <w:rPr>
                <w:sz w:val="24"/>
                <w:szCs w:val="24"/>
                <w:color w:val="auto"/>
              </w:rPr>
            </w:pPr>
          </w:p>
        </w:tc>
      </w:tr>
      <w:tr>
        <w:trPr>
          <w:trHeight w:val="394"/>
        </w:trPr>
        <w:tc>
          <w:tcPr>
            <w:tcW w:w="76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Schedule H, Line 4i – Schedule of Assets Held for Investment Purposes at End of Year (December 21, 2006)</w:t>
              </w:r>
            </w:hyperlink>
          </w:p>
        </w:tc>
        <w:tc>
          <w:tcPr>
            <w:tcW w:w="376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Plan Administrator and Participants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Hourly Savings Plan</w:t>
      </w:r>
    </w:p>
    <w:p>
      <w:pPr>
        <w:spacing w:after="0" w:line="165" w:lineRule="exact"/>
        <w:rPr>
          <w:sz w:val="20"/>
          <w:szCs w:val="20"/>
          <w:color w:val="auto"/>
        </w:rPr>
      </w:pPr>
    </w:p>
    <w:p>
      <w:pPr>
        <w:ind w:right="360"/>
        <w:spacing w:after="0" w:line="335" w:lineRule="auto"/>
        <w:rPr>
          <w:sz w:val="20"/>
          <w:szCs w:val="20"/>
          <w:color w:val="auto"/>
        </w:rPr>
      </w:pPr>
      <w:r>
        <w:rPr>
          <w:rFonts w:ascii="Arial" w:cs="Arial" w:eastAsia="Arial" w:hAnsi="Arial"/>
          <w:sz w:val="15"/>
          <w:szCs w:val="15"/>
          <w:color w:val="auto"/>
        </w:rPr>
        <w:t>We have audited the accompanying statement of net assets available for benefits of the Casual Male Retail Group, Inc. 401 (k) Hourly Savings Plan as of December 31, 2006 and 2005, and the related statement of changes in net assets available for benefits for the year ended December 31, 2006. These financial statements are the responsibility of the Plan’s management. Our responsibility is to express an opinion on these financial statements based on our audits.</w:t>
      </w:r>
    </w:p>
    <w:p>
      <w:pPr>
        <w:spacing w:after="0" w:line="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2006 and 2005 and the changes in its net assets available for benefits for the year ended December 31, 2006, in conformity with accounting principles generally accepted in the United States of America.</w:t>
      </w:r>
    </w:p>
    <w:p>
      <w:pPr>
        <w:spacing w:after="0" w:line="14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for investment purposes at end of year (December 31, 2006) is presented for the purpose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This supplemental schedule has been subjected to the auditing procedures applied in our audits of the financial statements and, in our opinion, is fairly stated in all material respects in relation to the financial statements taken as a whole.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18,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2006 and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ind w:right="240"/>
              <w:spacing w:after="0" w:line="142" w:lineRule="exact"/>
              <w:rPr>
                <w:sz w:val="20"/>
                <w:szCs w:val="20"/>
                <w:color w:val="auto"/>
              </w:rPr>
            </w:pPr>
            <w:r>
              <w:rPr>
                <w:rFonts w:ascii="Arial" w:cs="Arial" w:eastAsia="Arial" w:hAnsi="Arial"/>
                <w:sz w:val="14"/>
                <w:szCs w:val="14"/>
                <w:b w:val="1"/>
                <w:bCs w:val="1"/>
                <w:color w:val="auto"/>
              </w:rPr>
              <w:t>2006</w:t>
            </w:r>
          </w:p>
        </w:tc>
        <w:tc>
          <w:tcPr>
            <w:tcW w:w="1040" w:type="dxa"/>
            <w:vAlign w:val="bottom"/>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2005</w:t>
            </w:r>
          </w:p>
        </w:tc>
      </w:tr>
      <w:tr>
        <w:trPr>
          <w:trHeight w:val="210"/>
        </w:trPr>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Investments, at fair value (Notes 2 and 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5"/>
              </w:rPr>
              <w:t>$ 13,414,124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$ 8,833,256</w:t>
            </w: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Participant loans receivable</w:t>
            </w:r>
          </w:p>
        </w:tc>
        <w:tc>
          <w:tcPr>
            <w:tcW w:w="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301,624</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162,952</w:t>
            </w:r>
          </w:p>
        </w:tc>
      </w:tr>
      <w:tr>
        <w:trPr>
          <w:trHeight w:val="221"/>
        </w:trPr>
        <w:tc>
          <w:tcPr>
            <w:tcW w:w="9460" w:type="dxa"/>
            <w:vAlign w:val="bottom"/>
          </w:tcPr>
          <w:p>
            <w:pPr>
              <w:spacing w:after="0"/>
              <w:rPr>
                <w:sz w:val="20"/>
                <w:szCs w:val="20"/>
                <w:color w:val="auto"/>
              </w:rPr>
            </w:pPr>
            <w:r>
              <w:rPr>
                <w:rFonts w:ascii="Arial" w:cs="Arial" w:eastAsia="Arial" w:hAnsi="Arial"/>
                <w:sz w:val="18"/>
                <w:szCs w:val="18"/>
                <w:color w:val="auto"/>
              </w:rPr>
              <w:t>Total investments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13,715,748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8,996,208</w:t>
            </w:r>
          </w:p>
        </w:tc>
      </w:tr>
      <w:tr>
        <w:trPr>
          <w:trHeight w:val="218"/>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 receivable</w:t>
            </w:r>
          </w:p>
        </w:tc>
        <w:tc>
          <w:tcPr>
            <w:tcW w:w="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158,306</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101,279</w:t>
            </w:r>
          </w:p>
        </w:tc>
      </w:tr>
      <w:tr>
        <w:trPr>
          <w:trHeight w:val="221"/>
        </w:trPr>
        <w:tc>
          <w:tcPr>
            <w:tcW w:w="9460" w:type="dxa"/>
            <w:vAlign w:val="bottom"/>
          </w:tcPr>
          <w:p>
            <w:pPr>
              <w:spacing w:after="0"/>
              <w:rPr>
                <w:sz w:val="20"/>
                <w:szCs w:val="20"/>
                <w:color w:val="auto"/>
              </w:rPr>
            </w:pPr>
            <w:r>
              <w:rPr>
                <w:rFonts w:ascii="Arial" w:cs="Arial" w:eastAsia="Arial" w:hAnsi="Arial"/>
                <w:sz w:val="18"/>
                <w:szCs w:val="18"/>
                <w:color w:val="auto"/>
              </w:rPr>
              <w:t>Net assets reflecting all investments at fair value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13,874,054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9,097,487</w:t>
            </w:r>
          </w:p>
        </w:tc>
      </w:tr>
      <w:tr>
        <w:trPr>
          <w:trHeight w:val="218"/>
        </w:trPr>
        <w:tc>
          <w:tcPr>
            <w:tcW w:w="9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r>
      <w:tr>
        <w:trPr>
          <w:trHeight w:val="222"/>
        </w:trPr>
        <w:tc>
          <w:tcPr>
            <w:tcW w:w="946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5"/>
              </w:rPr>
              <w:t>$ 13,880,180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$ 9,098,826</w:t>
            </w:r>
          </w:p>
        </w:tc>
      </w:tr>
      <w:tr>
        <w:trPr>
          <w:trHeight w:val="20"/>
        </w:trPr>
        <w:tc>
          <w:tcPr>
            <w:tcW w:w="9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Changes in Net Assets Available for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2006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Net appreciation in fair value of investments (Note 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789,673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585,802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Transfers into the Plan (Note 1)</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1,644,288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425,855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80" w:type="dxa"/>
            <w:vAlign w:val="bottom"/>
          </w:tcPr>
          <w:p>
            <w:pPr>
              <w:ind w:left="420"/>
              <w:spacing w:after="0"/>
              <w:rPr>
                <w:sz w:val="20"/>
                <w:szCs w:val="20"/>
                <w:color w:val="auto"/>
              </w:rPr>
            </w:pPr>
            <w:r>
              <w:rPr>
                <w:rFonts w:ascii="Arial" w:cs="Arial" w:eastAsia="Arial" w:hAnsi="Arial"/>
                <w:sz w:val="18"/>
                <w:szCs w:val="18"/>
                <w:color w:val="auto"/>
              </w:rPr>
              <w:t>Employer</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158,306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Rollover</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14,499</w:t>
            </w:r>
          </w:p>
        </w:tc>
        <w:tc>
          <w:tcPr>
            <w:tcW w:w="20" w:type="dxa"/>
            <w:vAlign w:val="bottom"/>
          </w:tcPr>
          <w:p>
            <w:pPr>
              <w:spacing w:after="0"/>
              <w:rPr>
                <w:sz w:val="18"/>
                <w:szCs w:val="18"/>
                <w:color w:val="auto"/>
              </w:rPr>
            </w:pPr>
          </w:p>
        </w:tc>
      </w:tr>
      <w:tr>
        <w:trPr>
          <w:trHeight w:val="221"/>
        </w:trPr>
        <w:tc>
          <w:tcPr>
            <w:tcW w:w="10500" w:type="dxa"/>
            <w:vAlign w:val="bottom"/>
            <w:gridSpan w:val="2"/>
          </w:tcPr>
          <w:p>
            <w:pPr>
              <w:spacing w:after="0"/>
              <w:rPr>
                <w:sz w:val="20"/>
                <w:szCs w:val="20"/>
                <w:color w:val="auto"/>
              </w:rPr>
            </w:pPr>
            <w:r>
              <w:rPr>
                <w:rFonts w:ascii="Arial" w:cs="Arial" w:eastAsia="Arial" w:hAnsi="Arial"/>
                <w:sz w:val="18"/>
                <w:szCs w:val="18"/>
                <w:color w:val="auto"/>
              </w:rPr>
              <w:t>Transfer from merged employee benefit plan (Note 1)</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598,660</w:t>
            </w:r>
          </w:p>
        </w:tc>
      </w:tr>
      <w:tr>
        <w:trPr>
          <w:trHeight w:val="218"/>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Total additions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4,555,571</w:t>
            </w: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10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6,798,519</w:t>
            </w:r>
          </w:p>
        </w:tc>
      </w:tr>
      <w:tr>
        <w:trPr>
          <w:trHeight w:val="218"/>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Deductions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Benefits paid directly to participants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1,872,268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the Plan (Note 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107,122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Administrative fees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Total deductions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2,017,165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Net increase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4,781,354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9,098,826</w:t>
            </w:r>
          </w:p>
        </w:tc>
        <w:tc>
          <w:tcPr>
            <w:tcW w:w="20" w:type="dxa"/>
            <w:vAlign w:val="bottom"/>
          </w:tcPr>
          <w:p>
            <w:pPr>
              <w:spacing w:after="0"/>
              <w:rPr>
                <w:sz w:val="18"/>
                <w:szCs w:val="18"/>
                <w:color w:val="auto"/>
              </w:rPr>
            </w:pPr>
          </w:p>
        </w:tc>
      </w:tr>
      <w:tr>
        <w:trPr>
          <w:trHeight w:val="222"/>
        </w:trPr>
        <w:tc>
          <w:tcPr>
            <w:tcW w:w="1050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8"/>
              </w:rPr>
              <w:t>13,880,180</w:t>
            </w:r>
          </w:p>
        </w:tc>
      </w:tr>
      <w:tr>
        <w:trPr>
          <w:trHeight w:val="20"/>
        </w:trPr>
        <w:tc>
          <w:tcPr>
            <w:tcW w:w="20" w:type="dxa"/>
            <w:vAlign w:val="bottom"/>
          </w:tcPr>
          <w:p>
            <w:pPr>
              <w:spacing w:after="0" w:line="20" w:lineRule="exact"/>
              <w:rPr>
                <w:sz w:val="1"/>
                <w:szCs w:val="1"/>
                <w:color w:val="auto"/>
              </w:rPr>
            </w:pPr>
          </w:p>
        </w:tc>
        <w:tc>
          <w:tcPr>
            <w:tcW w:w="10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description of Casual Male Retail Group, Inc. 401(k) Hourly Savings Plan (the “Plan”) provides only general information. Participants should refer to the Plan document for a more complete description of the Plan’s provisions.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Plan is a defined contribution plan covering eligible employees of Casual Male Retail Group, Inc. (the “Company”). The Plan is subject to the provisions of the Employee Retirement Income Security Act of 1974 (ERISA).</w:t>
      </w:r>
    </w:p>
    <w:p>
      <w:pPr>
        <w:spacing w:after="0" w:line="132"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Effective July 1, 2006, the Rochester Big and Tall Profit Sharing Plan was merged with this Plan and the Company’s 401(k) Hourly Savings Plan. Accordingly, the assets of $4,555,571 for the non-salaried participants who met the eligibility requirements, as defined below, were transferred into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All regular, full-time (as defined in the Plan) employees, excluding salaried employees, of the Company who have completed six months of employment and are at least 21 years of age are eligible to participate in the Plan. Effective January 1, 2007, employees must complete one year of service in order to be eligible for the plan. After completing age and service requirements, the employee can enter the Plan on the first day of any subsequent month.</w:t>
      </w:r>
    </w:p>
    <w:p>
      <w:pPr>
        <w:spacing w:after="0" w:line="10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participants change positions at the Company, they may change from an hourly to salary status or vice versa. Assets transferred to the Casual Male Retail Group, Inc. 401(k) Salaried Savings Plan during the year ended December 31, 2006 were $107,122. Assets transferred from the Casual Male Retail Group Inc. 401(k) Salaried Savings Plan during the year ended December 31, 2006 were $268,813.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Each year, participants may contribute from 1% to 80% of pretax annual compensation as defined in the Plan, subject to the provisions of ERISA. Participants may also contribute amounts representing distributions from other qualified defined benefit or defined contribution plans.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 (continued</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 continued</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employer matching contribution is discretionary at the option of the Company’s Board of Directors. For the year ended December 31, 2006, the Company’s matching contribution was 50% up to the first 6% of compensation that a participant contributed to the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Accounts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Each participant’s account is credited with the participant’s contributions, the Company’s matching contribution, plan earnings and an allocation of plan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benefit to which a participant is entitled is the benefit that can be provided from the participant’s account.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Forfeitures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Amounts forfeited under the Plan are used to reduce future employer contributions and administrative expenses. At December 31, 2006 and 2005, forfeited non-vested accounts totaled $2,360 and $1,832,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Participants are immediately vested in their contributions plus actual earnings thereon. Vesting in the Company contribution portion of their accounts plus actual earnings thereon is based on years of continuous service. A participant is 100% vested after three years of credited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Upon enrollment in the Plan, a participant may direct their elective contribution and Company contributions into various investment options offered by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 Loans</w:t>
      </w:r>
    </w:p>
    <w:p>
      <w:pPr>
        <w:spacing w:after="0" w:line="90"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Participants may borrow the lesser of $50,000 reduced by the individual’s highest outstanding loan balance during the preceding twelve months or 50% of the individual’s vested balance with a minimum of $1,000 per loan. Loan transactions are treated as a transfer to/(from) the investment fund and from/(to) the Participant Loans fund. Loans are secured by the balance in the participant’s account. Loan terms range from one to five years unless the loan is used to purchase a primary residence, in which case the loan may be repaid over a fifteen-year period. Other restrictions, as specified in the Plan agreement, may apply to a participant’s loan transaction. Interest rates range from 5.0% to 10.5% at December 31, 2006. Principal and interest is paid ratably through payroll deductions.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Expenses</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accordance with the Plan, all administrative expenses may be paid out of the Plan unless paid by the Company. During 2006, certain administrative expenses were paid by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termination of service for any reason, a participant shall receive a lump-sum amount equal to the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Termination</w:t>
      </w:r>
    </w:p>
    <w:p>
      <w:pPr>
        <w:spacing w:after="0" w:line="9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w:t>
      </w:r>
    </w:p>
    <w:p>
      <w:pPr>
        <w:spacing w:after="0" w:line="90"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Investments are stated at fair value. Mutual funds and common stock are stated at fair value which equals the quoted market price on the last business day of the Plan year. The fair value of units in the common collective trust fund is the net fair value of the underlying assets as determined generally by using commercial quotation services. Participant loans are valued at their outstanding balances, which approximate fair value.</w:t>
      </w:r>
    </w:p>
    <w:p>
      <w:pPr>
        <w:spacing w:after="0" w:line="10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changes therein and disclosure of contingent assets and liabilities.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Adoption of New Pronouncement</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described in Financial Accounting Standards Board Staff Position, FSP AAD INV-1 and SOP 94-4-1, Reporting of Fully Benefit-Responsive Investment Contracts Held by Certain Investment Companies Subject to the AICPA Investment Company Guide and Defined-Contribution Health and Welfare and Pension Plans (the FSP), investment contracts held by a 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As required by the FSP, the Statement of Net Assets Available for Benefits presents the fair value of the investment contracts as well as the adjustment of the fully benefit-responsive investment contracts from fair value to contract value. The Statement of Changes in Net Assets Available for Benefits is prepared on a contract value basis. The Plan has adopted the financial statement presentation and disclosure requirements effective December 31, 2006.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w:t>
      </w:r>
      <w:r>
        <w:rPr>
          <w:rFonts w:ascii="Arial" w:cs="Arial" w:eastAsia="Arial" w:hAnsi="Arial"/>
          <w:sz w:val="18"/>
          <w:szCs w:val="18"/>
          <w:u w:val="single" w:color="auto"/>
          <w:color w:val="auto"/>
        </w:rPr>
        <w:t>Investments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During 2006, the Plan’s investments (including investments purchased, sold as well as held during the year) appreciated in fair value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0"/>
              </w:rPr>
              <w:t>Net Appreciation</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4"/>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in Fair Value of</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4"/>
                <w:szCs w:val="14"/>
                <w:b w:val="1"/>
                <w:bCs w:val="1"/>
                <w:color w:val="auto"/>
                <w:w w:val="92"/>
              </w:rPr>
              <w:t>Investments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292,083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Common collective trusts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203,977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293,613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789,673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Investments that represent 5% or more of the Plan’s net assets available for benefits are as follows:</w:t>
            </w: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6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4"/>
              </w:rPr>
              <w:t>December 31,</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Putnam Stable Value Fund</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$4,823,442</w:t>
            </w:r>
          </w:p>
        </w:tc>
        <w:tc>
          <w:tcPr>
            <w:tcW w:w="5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2"/>
              </w:rPr>
              <w:t>34.8%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$4,782,124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Putnam S&amp;P 500 Fund</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1,506,362</w:t>
            </w:r>
          </w:p>
        </w:tc>
        <w:tc>
          <w:tcPr>
            <w:tcW w:w="560" w:type="dxa"/>
            <w:vAlign w:val="bottom"/>
            <w:gridSpan w:val="2"/>
          </w:tcPr>
          <w:p>
            <w:pPr>
              <w:jc w:val="right"/>
              <w:ind w:right="52"/>
              <w:spacing w:after="0"/>
              <w:rPr>
                <w:sz w:val="20"/>
                <w:szCs w:val="20"/>
                <w:color w:val="auto"/>
              </w:rPr>
            </w:pPr>
            <w:r>
              <w:rPr>
                <w:rFonts w:ascii="Arial" w:cs="Arial" w:eastAsia="Arial" w:hAnsi="Arial"/>
                <w:sz w:val="18"/>
                <w:szCs w:val="18"/>
                <w:color w:val="auto"/>
                <w:w w:val="82"/>
              </w:rPr>
              <w:t>10.8%</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1,123,576</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Putnam Retirementready 2010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1,451,853</w:t>
            </w:r>
          </w:p>
        </w:tc>
        <w:tc>
          <w:tcPr>
            <w:tcW w:w="5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2"/>
              </w:rPr>
              <w:t>10.5%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Putnam Retirementready Maturity</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1,080,841</w:t>
            </w:r>
          </w:p>
        </w:tc>
        <w:tc>
          <w:tcPr>
            <w:tcW w:w="560" w:type="dxa"/>
            <w:vAlign w:val="bottom"/>
            <w:gridSpan w:val="2"/>
          </w:tcPr>
          <w:p>
            <w:pPr>
              <w:jc w:val="right"/>
              <w:ind w:right="5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George Putnam Fund of Boston</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863,970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Casual Male Retail Group, Inc. - Common Stock</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496,415</w:t>
            </w: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8,862,498</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2"/>
              </w:rPr>
              <w:t>63.9%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7,266,085</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ind w:left="5680"/>
              <w:spacing w:after="0"/>
              <w:rPr>
                <w:sz w:val="20"/>
                <w:szCs w:val="20"/>
                <w:color w:val="auto"/>
              </w:rPr>
            </w:pPr>
            <w:r>
              <w:rPr>
                <w:rFonts w:ascii="Arial" w:cs="Arial" w:eastAsia="Arial" w:hAnsi="Arial"/>
                <w:sz w:val="18"/>
                <w:szCs w:val="18"/>
                <w:color w:val="auto"/>
              </w:rPr>
              <w:t>8</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26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Note 4</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Investment Contract with Insurance Company</w:t>
      </w:r>
    </w:p>
    <w:p>
      <w:pPr>
        <w:spacing w:after="0" w:line="9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Plan entered into a benefit-responsive investment contract with Putnam Investments (Putnam). Putnam maintains the contributions in a general account. The account is credited with earnings on the underlying investments and charged for participant withdrawals and administrative expenses. The guaranteed investment contract issuer is contractually obligated to repay the principal and a specified interest rate that is guaranteed to the Plan.</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described in Note 2, because the guaranteed investment contract is fully benefit-responsive, contract value is the relevant measurement attribute for that portion of the net assets available for benefits attributable to the guaranteed investment contract. Contract value, as reported to the Plan by Putnam, represents contributions made under the contract, plus earnings, less participant withdrawals and administrative expenses. Participants may ordinarily direct the withdrawal or transfer of all or a portion of their investment at contract value.</w:t>
      </w:r>
    </w:p>
    <w:p>
      <w:pPr>
        <w:spacing w:after="0" w:line="14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There are no reserves against contract value for credit risk of the contract issuer or otherwise. The crediting interest rate is based on a formula agreed upon with the issuer, but it may not be less than zero percent. Such interest rates are reviewed on a quarterly basis for resetting.</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events limit the ability of the Plan to transact at contract value with the issuer. Such events include the following: (1) amendments to the Plan documents (including complete or partial plan termination or merger with another plan), (2) changes to the Plan’s prohibition on competing investment options or deletion of equity wash provisions, (3) bankruptcy of the plan sponsor or other plan sponsor events (for example, divestitures or spin-offs of a subsidiary) that cause a significant withdrawal from the Plan, or (4) the failure of the trust to qualify for exemption from federal income taxes or any required prohibited transaction exemption under ERISA. The Plan administrator does not believe that the occurrence of any such event, which would limit the Plan’s ability to transact at contract value with participants, is probable.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Note 4</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Investment Contract with Insurance Company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guaranteed investment contract does not permit the insurance company to terminate the agreement prior to the scheduled maturity date.</w:t>
      </w:r>
    </w:p>
    <w:p>
      <w:pPr>
        <w:spacing w:after="0" w:line="2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2006</w:t>
            </w:r>
          </w:p>
        </w:tc>
        <w:tc>
          <w:tcPr>
            <w:tcW w:w="44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Average yields: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Based on actual earnings</w:t>
            </w:r>
          </w:p>
        </w:tc>
        <w:tc>
          <w:tcPr>
            <w:tcW w:w="760" w:type="dxa"/>
            <w:vAlign w:val="bottom"/>
            <w:gridSpan w:val="2"/>
          </w:tcPr>
          <w:p>
            <w:pPr>
              <w:spacing w:after="0"/>
              <w:rPr>
                <w:sz w:val="20"/>
                <w:szCs w:val="20"/>
                <w:color w:val="auto"/>
              </w:rPr>
            </w:pPr>
            <w:r>
              <w:rPr>
                <w:rFonts w:ascii="Arial" w:cs="Arial" w:eastAsia="Arial" w:hAnsi="Arial"/>
                <w:sz w:val="18"/>
                <w:szCs w:val="18"/>
                <w:color w:val="auto"/>
              </w:rPr>
              <w:t>4.69%</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4.72%</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Based on interest rate credited to participants</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5.07%</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5.19%</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w:t>
      </w:r>
      <w:r>
        <w:rPr>
          <w:rFonts w:ascii="Arial" w:cs="Arial" w:eastAsia="Arial" w:hAnsi="Arial"/>
          <w:sz w:val="18"/>
          <w:szCs w:val="18"/>
          <w:u w:val="single" w:color="auto"/>
          <w:color w:val="auto"/>
        </w:rPr>
        <w:t>Nonparticipant-Directed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net assets and the significant components of the changes in net assets relating to the nonparticipant-directed investments are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6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2006</w:t>
            </w:r>
          </w:p>
        </w:tc>
        <w:tc>
          <w:tcPr>
            <w:tcW w:w="280" w:type="dxa"/>
            <w:vAlign w:val="bottom"/>
          </w:tcPr>
          <w:p>
            <w:pPr>
              <w:spacing w:after="0"/>
              <w:rPr>
                <w:sz w:val="12"/>
                <w:szCs w:val="12"/>
                <w:color w:val="auto"/>
              </w:rPr>
            </w:pPr>
          </w:p>
        </w:tc>
        <w:tc>
          <w:tcPr>
            <w:tcW w:w="52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2005</w:t>
            </w:r>
          </w:p>
        </w:tc>
      </w:tr>
      <w:tr>
        <w:trPr>
          <w:trHeight w:val="210"/>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w:t>
            </w:r>
          </w:p>
        </w:tc>
        <w:tc>
          <w:tcPr>
            <w:tcW w:w="3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Putnam Stable Value Fund</w:t>
            </w:r>
          </w:p>
        </w:tc>
        <w:tc>
          <w:tcPr>
            <w:tcW w:w="320" w:type="dxa"/>
            <w:vAlign w:val="bottom"/>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2,360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1,832</w:t>
            </w:r>
          </w:p>
        </w:tc>
      </w:tr>
      <w:tr>
        <w:trPr>
          <w:trHeight w:val="20"/>
        </w:trPr>
        <w:tc>
          <w:tcPr>
            <w:tcW w:w="4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332"/>
        </w:trPr>
        <w:tc>
          <w:tcPr>
            <w:tcW w:w="46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For the Year End</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5"/>
        </w:trPr>
        <w:tc>
          <w:tcPr>
            <w:tcW w:w="46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31, 2006</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10"/>
        </w:trPr>
        <w:tc>
          <w:tcPr>
            <w:tcW w:w="46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Change in net assets:</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Interest and dividend income</w:t>
            </w:r>
          </w:p>
        </w:tc>
        <w:tc>
          <w:tcPr>
            <w:tcW w:w="320" w:type="dxa"/>
            <w:vAlign w:val="bottom"/>
          </w:tcPr>
          <w:p>
            <w:pPr>
              <w:jc w:val="right"/>
              <w:ind w:right="168"/>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Forfeitures relating to current year distributions and withdrawals</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Administrative Fees</w:t>
            </w:r>
          </w:p>
        </w:tc>
        <w:tc>
          <w:tcPr>
            <w:tcW w:w="3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(2,536)</w:t>
            </w:r>
          </w:p>
        </w:tc>
        <w:tc>
          <w:tcPr>
            <w:tcW w:w="46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6- </w:t>
      </w:r>
      <w:r>
        <w:rPr>
          <w:rFonts w:ascii="Arial" w:cs="Arial" w:eastAsia="Arial" w:hAnsi="Arial"/>
          <w:sz w:val="18"/>
          <w:szCs w:val="18"/>
          <w:u w:val="single" w:color="auto"/>
          <w:color w:val="auto"/>
        </w:rPr>
        <w:t>Risks and Uncertainties</w:t>
      </w:r>
    </w:p>
    <w:p>
      <w:pPr>
        <w:spacing w:after="0" w:line="90"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7- </w:t>
      </w:r>
      <w:r>
        <w:rPr>
          <w:rFonts w:ascii="Arial" w:cs="Arial" w:eastAsia="Arial" w:hAnsi="Arial"/>
          <w:sz w:val="18"/>
          <w:szCs w:val="18"/>
          <w:u w:val="single" w:color="auto"/>
          <w:color w:val="auto"/>
        </w:rPr>
        <w:t>Income Tax Status</w:t>
      </w:r>
    </w:p>
    <w:p>
      <w:pPr>
        <w:spacing w:after="0" w:line="90"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 underlying non-standardized prototype plan has received an opinion letter from the Internal Revenue Service (IRS) dated August 9, 2002 stating that the form of the plan is qualified under Section 401 of the Internal Revenue Code and, therefore, the related trust is tax-exempt. In accordance with Revenue Procedure</w:t>
      </w:r>
    </w:p>
    <w:p>
      <w:pPr>
        <w:ind w:right="100"/>
        <w:spacing w:after="0" w:line="254" w:lineRule="auto"/>
        <w:rPr>
          <w:sz w:val="20"/>
          <w:szCs w:val="20"/>
          <w:color w:val="auto"/>
        </w:rPr>
      </w:pPr>
      <w:r>
        <w:rPr>
          <w:rFonts w:ascii="Arial" w:cs="Arial" w:eastAsia="Arial" w:hAnsi="Arial"/>
          <w:sz w:val="18"/>
          <w:szCs w:val="18"/>
          <w:color w:val="auto"/>
        </w:rPr>
        <w:t>2002-6 and Announcement 2001-77, the Plan Sponsor has determined that it is eligible to and has chosen to rely on the current IRS prototype plan opinion letter. Once qualified, the Plan is required to operate in conformity with the Code to maintain its qualification The Plan has been amended since receiving the determination letter. However, the plan administrator believes the Plan is being operated in compliance with the applicable requirements of the Code and, therefore, believes that the Plan is qualified and the related trust is tax-exempt.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8 - - </w:t>
      </w:r>
      <w:r>
        <w:rPr>
          <w:rFonts w:ascii="Arial" w:cs="Arial" w:eastAsia="Arial" w:hAnsi="Arial"/>
          <w:sz w:val="18"/>
          <w:szCs w:val="18"/>
          <w:u w:val="single" w:color="auto"/>
          <w:color w:val="auto"/>
        </w:rPr>
        <w:t>Subsequent Event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2007, the assets of the Plan were transferred to Fidelity Investments.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EIN: 04-2623104/Plan Number: 005</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Schedule H, Line 4i – Schedule of Assets Held For Investment Purposes at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86"/>
              </w:rPr>
              <w:t>Identity of Issue,</w:t>
            </w:r>
          </w:p>
        </w:tc>
        <w:tc>
          <w:tcPr>
            <w:tcW w:w="220" w:type="dxa"/>
            <w:vAlign w:val="bottom"/>
          </w:tcPr>
          <w:p>
            <w:pPr>
              <w:spacing w:after="0"/>
              <w:rPr>
                <w:sz w:val="14"/>
                <w:szCs w:val="14"/>
                <w:color w:val="auto"/>
              </w:rPr>
            </w:pPr>
          </w:p>
        </w:tc>
        <w:tc>
          <w:tcPr>
            <w:tcW w:w="6040" w:type="dxa"/>
            <w:vAlign w:val="bottom"/>
          </w:tcPr>
          <w:p>
            <w:pPr>
              <w:jc w:val="center"/>
              <w:spacing w:after="0"/>
              <w:rPr>
                <w:sz w:val="20"/>
                <w:szCs w:val="20"/>
                <w:color w:val="auto"/>
              </w:rPr>
            </w:pPr>
            <w:r>
              <w:rPr>
                <w:rFonts w:ascii="Arial" w:cs="Arial" w:eastAsia="Arial" w:hAnsi="Arial"/>
                <w:sz w:val="14"/>
                <w:szCs w:val="14"/>
                <w:b w:val="1"/>
                <w:bCs w:val="1"/>
                <w:color w:val="auto"/>
                <w:w w:val="85"/>
              </w:rPr>
              <w:t>Description of investment including</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Borrower, Lessor,</w:t>
            </w:r>
          </w:p>
        </w:tc>
        <w:tc>
          <w:tcPr>
            <w:tcW w:w="220" w:type="dxa"/>
            <w:vAlign w:val="bottom"/>
          </w:tcPr>
          <w:p>
            <w:pPr>
              <w:spacing w:after="0"/>
              <w:rPr>
                <w:sz w:val="12"/>
                <w:szCs w:val="12"/>
                <w:color w:val="auto"/>
              </w:rPr>
            </w:pPr>
          </w:p>
        </w:tc>
        <w:tc>
          <w:tcPr>
            <w:tcW w:w="6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maturity date, rate of interest,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or Similar Party</w:t>
            </w:r>
          </w:p>
        </w:tc>
        <w:tc>
          <w:tcPr>
            <w:tcW w:w="220" w:type="dxa"/>
            <w:vAlign w:val="bottom"/>
          </w:tcPr>
          <w:p>
            <w:pPr>
              <w:spacing w:after="0"/>
              <w:rPr>
                <w:sz w:val="14"/>
                <w:szCs w:val="14"/>
                <w:color w:val="auto"/>
              </w:rPr>
            </w:pPr>
          </w:p>
        </w:tc>
        <w:tc>
          <w:tcPr>
            <w:tcW w:w="6040" w:type="dxa"/>
            <w:vAlign w:val="bottom"/>
          </w:tcPr>
          <w:p>
            <w:pPr>
              <w:jc w:val="center"/>
              <w:spacing w:after="0"/>
              <w:rPr>
                <w:sz w:val="20"/>
                <w:szCs w:val="20"/>
                <w:color w:val="auto"/>
              </w:rPr>
            </w:pPr>
            <w:r>
              <w:rPr>
                <w:rFonts w:ascii="Arial" w:cs="Arial" w:eastAsia="Arial" w:hAnsi="Arial"/>
                <w:sz w:val="14"/>
                <w:szCs w:val="14"/>
                <w:b w:val="1"/>
                <w:bCs w:val="1"/>
                <w:color w:val="auto"/>
                <w:w w:val="88"/>
              </w:rPr>
              <w:t>collateral, par, or maturity value</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4"/>
              </w:rPr>
              <w:t>Shares/Units</w:t>
            </w:r>
          </w:p>
        </w:tc>
        <w:tc>
          <w:tcPr>
            <w:tcW w:w="2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Current Value</w:t>
            </w:r>
          </w:p>
        </w:tc>
      </w:tr>
      <w:tr>
        <w:trPr>
          <w:trHeight w:val="208"/>
        </w:trPr>
        <w:tc>
          <w:tcPr>
            <w:tcW w:w="20" w:type="dxa"/>
            <w:vAlign w:val="bottom"/>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Commingled funds held through Putnam</w:t>
            </w:r>
          </w:p>
        </w:tc>
        <w:tc>
          <w:tcPr>
            <w:tcW w:w="220" w:type="dxa"/>
            <w:vAlign w:val="bottom"/>
            <w:shd w:val="clear" w:color="auto" w:fill="CCEEFF"/>
          </w:tcPr>
          <w:p>
            <w:pPr>
              <w:spacing w:after="0"/>
              <w:rPr>
                <w:sz w:val="18"/>
                <w:szCs w:val="18"/>
                <w:color w:val="auto"/>
              </w:rPr>
            </w:pPr>
          </w:p>
        </w:tc>
        <w:tc>
          <w:tcPr>
            <w:tcW w:w="6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*Putnam Stable Value Fund (1)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4,823,442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4,823,442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*Putnam S&amp;P 500 Fund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40,701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1,506,362</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Mutual funds held through Putnam</w:t>
            </w:r>
          </w:p>
        </w:tc>
        <w:tc>
          <w:tcPr>
            <w:tcW w:w="2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American Funds Growth Fund of America Class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20,395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661,817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Dodge &amp; Cox Stock Fund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3,512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538,987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*Putnam International Equity Fund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17,037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533,763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Columbia Acorn Fund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15,400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446,916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Dodge &amp; Cox International Fund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411,673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Pimco Total Return Adm</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37,744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391,781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Janus Mid Cap Value Fund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165,785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Hotchkis &amp; Wiley Large Cap Value Fund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6,165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155,424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MSIF Small Company Growth Fund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Artisan Mid Cap Fund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3,097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94,337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Columbia Small Cap Value Fund II</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Victory Diversified Stock</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22,583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*Putnam Retirementready Maturity</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1,080,841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*Putnam Retirementready 2010 Fund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25,015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1,451,853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*Putnam Retirementready 2015 Fund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390,621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*Putnam Retirementready 2020 Fund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1,777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120,034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*Putnam Retirementready 2025 Fund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*Putnam Retirementready 2030 Fund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8,166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*Putnam Retirementready 2035 Fund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*Putnam Retirementready 2040 Fund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10,043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*Putnam Retirementready 2045 Fund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*Putnam Retirementready 2050 Fund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*Casual Male Retail Group, Inc – Common Stock</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24,168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315,391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*Participant loans</w:t>
            </w: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5.0% - 10.5%</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301,624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13,721,874</w:t>
            </w:r>
          </w:p>
        </w:tc>
        <w:tc>
          <w:tcPr>
            <w:tcW w:w="20" w:type="dxa"/>
            <w:vAlign w:val="bottom"/>
          </w:tcPr>
          <w:p>
            <w:pPr>
              <w:spacing w:after="0"/>
              <w:rPr>
                <w:sz w:val="18"/>
                <w:szCs w:val="18"/>
                <w:color w:val="auto"/>
              </w:rPr>
            </w:pPr>
          </w:p>
        </w:tc>
      </w:tr>
    </w:tbl>
    <w:p>
      <w:pPr>
        <w:spacing w:after="0" w:line="20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Indicates party-in-interest to the Plan.</w:t>
      </w:r>
    </w:p>
    <w:p>
      <w:pPr>
        <w:spacing w:after="0" w:line="90" w:lineRule="exact"/>
        <w:rPr>
          <w:sz w:val="20"/>
          <w:szCs w:val="20"/>
          <w:color w:val="auto"/>
        </w:rPr>
      </w:pPr>
    </w:p>
    <w:p>
      <w:pPr>
        <w:ind w:left="5620" w:right="2380" w:hanging="5612"/>
        <w:spacing w:after="0" w:line="440" w:lineRule="auto"/>
        <w:tabs>
          <w:tab w:leader="none" w:pos="44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$2,360 of nonparticipant-directed, unallocated forfeitures for which historical cost approximates to current value. 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Index to Exhibits</w:t>
      </w:r>
    </w:p>
    <w:p>
      <w:pPr>
        <w:spacing w:after="0" w:line="32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1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 –Oxley Act of 2002</w:t>
      </w:r>
    </w:p>
    <w:p>
      <w:pPr>
        <w:sectPr>
          <w:pgSz w:w="11900" w:h="16838" w:orient="portrait"/>
          <w:cols w:equalWidth="0" w:num="1">
            <w:col w:w="10219"/>
          </w:cols>
          <w:pgMar w:left="240" w:top="45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Casual Male Retail Group, Inc. 401(k) Hourly Savings plan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Dennis R. Hernreich, Executive Vice President, Chief</w:t>
      </w:r>
    </w:p>
    <w:p>
      <w:pPr>
        <w:spacing w:after="0" w:line="38"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Financial Officer and Chief Operating Officer of Casual</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Male Retail Group, Inc., the Plan Administrator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June 26, 2007</w:t>
      </w:r>
    </w:p>
    <w:p>
      <w:pPr>
        <w:sectPr>
          <w:pgSz w:w="11900" w:h="16838" w:orient="portrait"/>
          <w:cols w:equalWidth="0" w:num="1">
            <w:col w:w="11180"/>
          </w:cols>
          <w:pgMar w:left="240" w:top="459" w:right="47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S-8, Reg. No. 333-112218) pertaining to the Casual Male Retail Group, Inc. 401(k) Hourly Savings Plan of Casual Male Retail Group, Inc. of our report dated June 18, 2007, with respect to the financial statements and schedule of the Casual Male Retail Group, Inc. 401(k) Hourly Savings Plan included in this Annual Report on Form 11-K for the year ended December 31, 2006.</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Mahoney Cohen &amp; Company, CPA,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26, 2007</w:t>
      </w:r>
    </w:p>
    <w:p>
      <w:pPr>
        <w:sectPr>
          <w:pgSz w:w="11900" w:h="16838" w:orient="portrait"/>
          <w:cols w:equalWidth="0" w:num="1">
            <w:col w:w="11420"/>
          </w:cols>
          <w:pgMar w:left="240" w:top="13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the Sarbanes-Oxley Act of 2002</w:t>
      </w:r>
    </w:p>
    <w:p>
      <w:pPr>
        <w:spacing w:after="0" w:line="16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connection with the Annual Report on Form 11-K of the Casual Male Retail Group, Inc. 401(k) Hourly Saving Plan (the “Plan”) for the period ending December 31, 2006 as filed with the Securities and Exchange Commission on the date hereof (the “Report”), I, Dennis R. Hernreich, Executive Vice President, Chief Financial Officer and Chief Operating Officer of Casual Male Retail Group, Inc., the Plan Administrator, certify pursuant to 18 U.S.C. Section 1350, as adopted pursuant to Section 906 of the Sarbanes-Oxley Act of 2002, that:</w:t>
      </w:r>
    </w:p>
    <w:p>
      <w:pPr>
        <w:spacing w:after="0" w:line="6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15(d) of the Securities Exchange Act of 1934, as amended (the “Exchange Act”); and</w:t>
      </w:r>
    </w:p>
    <w:p>
      <w:pPr>
        <w:spacing w:after="0" w:line="113"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net assets available for benefits, and changes in net assets available for benefits of the Plan.</w:t>
      </w:r>
    </w:p>
    <w:p>
      <w:pPr>
        <w:spacing w:after="0" w:line="13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Casual Male Retail Group, Inc. and will be retained by Casual Male Retail Group, Inc. and furnished to the Securities and Exchange Commission or its staff upon request.</w:t>
      </w:r>
    </w:p>
    <w:p>
      <w:pPr>
        <w:spacing w:after="0" w:line="147"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 Financial Officer,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Operating Officer of Casual Male Retail Group, Inc., the Plan</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June 26, 2007</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2019-12-20T19:06:19Z</dcterms:created>
  <dcterms:modified xsi:type="dcterms:W3CDTF">2019-12-20T19:06:19Z</dcterms:modified>
</cp:coreProperties>
</file>