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499,843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compensation for service as Interim Chief Executive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3195</Characters>
  <CharactersWithSpaces>3713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