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161925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1"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8-K/A</w:t>
      </w:r>
    </w:p>
    <w:p>
      <w:pPr>
        <w:spacing w:after="0" w:line="32"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160655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1" w:lineRule="exact"/>
        <w:rPr>
          <w:sz w:val="24"/>
          <w:szCs w:val="24"/>
          <w:color w:val="auto"/>
        </w:rPr>
      </w:pPr>
    </w:p>
    <w:p>
      <w:pPr>
        <w:jc w:val="center"/>
        <w:ind w:right="-365"/>
        <w:spacing w:after="0"/>
        <w:rPr>
          <w:sz w:val="20"/>
          <w:szCs w:val="20"/>
          <w:color w:val="auto"/>
        </w:rPr>
      </w:pPr>
      <w:r>
        <w:rPr>
          <w:rFonts w:ascii="Arial" w:cs="Arial" w:eastAsia="Arial" w:hAnsi="Arial"/>
          <w:sz w:val="21"/>
          <w:szCs w:val="21"/>
          <w:b w:val="1"/>
          <w:bCs w:val="1"/>
          <w:color w:val="auto"/>
        </w:rPr>
        <w:t>CURRENT REPORT</w:t>
      </w:r>
    </w:p>
    <w:p>
      <w:pPr>
        <w:spacing w:after="0" w:line="146"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Pursuant to Section 13 or 15(d) of</w:t>
      </w:r>
    </w:p>
    <w:p>
      <w:pPr>
        <w:spacing w:after="0" w:line="15" w:lineRule="exact"/>
        <w:rPr>
          <w:sz w:val="24"/>
          <w:szCs w:val="24"/>
          <w:color w:val="auto"/>
        </w:rPr>
      </w:pPr>
    </w:p>
    <w:p>
      <w:pPr>
        <w:jc w:val="center"/>
        <w:ind w:right="-385"/>
        <w:spacing w:after="0"/>
        <w:rPr>
          <w:sz w:val="20"/>
          <w:szCs w:val="20"/>
          <w:color w:val="auto"/>
        </w:rPr>
      </w:pPr>
      <w:r>
        <w:rPr>
          <w:rFonts w:ascii="Arial" w:cs="Arial" w:eastAsia="Arial" w:hAnsi="Arial"/>
          <w:sz w:val="19"/>
          <w:szCs w:val="19"/>
          <w:b w:val="1"/>
          <w:bCs w:val="1"/>
          <w:color w:val="auto"/>
        </w:rPr>
        <w:t>The Securities Exchange Act of 1934</w:t>
      </w:r>
    </w:p>
    <w:p>
      <w:pPr>
        <w:spacing w:after="0" w:line="112" w:lineRule="exact"/>
        <w:rPr>
          <w:sz w:val="24"/>
          <w:szCs w:val="24"/>
          <w:color w:val="auto"/>
        </w:rPr>
      </w:pPr>
    </w:p>
    <w:p>
      <w:pPr>
        <w:ind w:left="3026"/>
        <w:spacing w:after="0"/>
        <w:rPr>
          <w:sz w:val="20"/>
          <w:szCs w:val="20"/>
          <w:color w:val="auto"/>
        </w:rPr>
      </w:pPr>
      <w:r>
        <w:rPr>
          <w:rFonts w:ascii="Arial" w:cs="Arial" w:eastAsia="Arial" w:hAnsi="Arial"/>
          <w:sz w:val="18"/>
          <w:szCs w:val="18"/>
          <w:b w:val="1"/>
          <w:bCs w:val="1"/>
          <w:color w:val="auto"/>
        </w:rPr>
        <w:t>Date of Report (Date of earliest event reported): February 27,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175895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71" w:lineRule="exact"/>
        <w:rPr>
          <w:sz w:val="24"/>
          <w:szCs w:val="24"/>
          <w:color w:val="auto"/>
        </w:rPr>
      </w:pPr>
    </w:p>
    <w:p>
      <w:pPr>
        <w:jc w:val="center"/>
        <w:ind w:right="-385"/>
        <w:spacing w:after="0"/>
        <w:rPr>
          <w:sz w:val="20"/>
          <w:szCs w:val="20"/>
          <w:color w:val="auto"/>
        </w:rPr>
      </w:pPr>
      <w:r>
        <w:rPr>
          <w:rFonts w:ascii="Arial" w:cs="Arial" w:eastAsia="Arial" w:hAnsi="Arial"/>
          <w:sz w:val="38"/>
          <w:szCs w:val="38"/>
          <w:b w:val="1"/>
          <w:bCs w:val="1"/>
          <w:color w:val="auto"/>
        </w:rPr>
        <w:t>DESTINATION XL GROUP, INC.</w:t>
      </w:r>
    </w:p>
    <w:p>
      <w:pPr>
        <w:spacing w:after="0" w:line="41" w:lineRule="exact"/>
        <w:rPr>
          <w:sz w:val="24"/>
          <w:szCs w:val="24"/>
          <w:color w:val="auto"/>
        </w:rPr>
      </w:pPr>
    </w:p>
    <w:p>
      <w:pPr>
        <w:jc w:val="center"/>
        <w:ind w:right="-385"/>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170815</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sectPr>
      </w:pPr>
    </w:p>
    <w:p>
      <w:pPr>
        <w:spacing w:after="0" w:line="200" w:lineRule="exact"/>
        <w:rPr>
          <w:sz w:val="24"/>
          <w:szCs w:val="24"/>
          <w:color w:val="auto"/>
        </w:rPr>
      </w:pPr>
    </w:p>
    <w:p>
      <w:pPr>
        <w:spacing w:after="0" w:line="270" w:lineRule="exact"/>
        <w:rPr>
          <w:sz w:val="24"/>
          <w:szCs w:val="24"/>
          <w:color w:val="auto"/>
        </w:rPr>
      </w:pPr>
    </w:p>
    <w:p>
      <w:pPr>
        <w:ind w:left="1626"/>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jc w:val="center"/>
        <w:ind w:right="2380"/>
        <w:spacing w:after="0"/>
        <w:rPr>
          <w:sz w:val="20"/>
          <w:szCs w:val="20"/>
          <w:color w:val="auto"/>
        </w:rPr>
      </w:pPr>
      <w:r>
        <w:rPr>
          <w:rFonts w:ascii="Arial" w:cs="Arial" w:eastAsia="Arial" w:hAnsi="Arial"/>
          <w:sz w:val="13"/>
          <w:szCs w:val="13"/>
          <w:b w:val="1"/>
          <w:bCs w:val="1"/>
          <w:color w:val="auto"/>
        </w:rPr>
        <w:t>01-34219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48" w:lineRule="exact"/>
        <w:rPr>
          <w:sz w:val="24"/>
          <w:szCs w:val="24"/>
          <w:color w:val="auto"/>
        </w:rPr>
      </w:pPr>
    </w:p>
    <w:p>
      <w:pPr>
        <w:sectPr>
          <w:pgSz w:w="11900" w:h="16838" w:orient="portrait"/>
          <w:cols w:equalWidth="0" w:num="3">
            <w:col w:w="4846" w:space="720"/>
            <w:col w:w="2960" w:space="720"/>
            <w:col w:w="1820"/>
          </w:cols>
          <w:pgMar w:left="234" w:top="291" w:right="599" w:bottom="1440" w:gutter="0" w:footer="0" w:header="0"/>
          <w:type w:val="continuous"/>
        </w:sectPr>
      </w:pPr>
    </w:p>
    <w:p>
      <w:pPr>
        <w:jc w:val="center"/>
        <w:ind w:right="894"/>
        <w:spacing w:after="0"/>
        <w:rPr>
          <w:sz w:val="20"/>
          <w:szCs w:val="20"/>
          <w:color w:val="auto"/>
        </w:rPr>
      </w:pPr>
      <w:r>
        <w:rPr>
          <w:rFonts w:ascii="Arial" w:cs="Arial" w:eastAsia="Arial" w:hAnsi="Arial"/>
          <w:sz w:val="9"/>
          <w:szCs w:val="9"/>
          <w:b w:val="1"/>
          <w:bCs w:val="1"/>
          <w:color w:val="auto"/>
        </w:rPr>
        <w:t>(State or Other Jurisdiction</w:t>
      </w:r>
    </w:p>
    <w:p>
      <w:pPr>
        <w:spacing w:after="0" w:line="28" w:lineRule="exact"/>
        <w:rPr>
          <w:sz w:val="24"/>
          <w:szCs w:val="24"/>
          <w:color w:val="auto"/>
        </w:rPr>
      </w:pPr>
    </w:p>
    <w:p>
      <w:pPr>
        <w:jc w:val="center"/>
        <w:ind w:right="894"/>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(Commission</w:t>
      </w:r>
    </w:p>
    <w:p>
      <w:pPr>
        <w:spacing w:after="0" w:line="2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01" w:lineRule="exact"/>
        <w:rPr>
          <w:sz w:val="24"/>
          <w:szCs w:val="24"/>
          <w:color w:val="auto"/>
        </w:rPr>
      </w:pPr>
    </w:p>
    <w:p>
      <w:pPr>
        <w:sectPr>
          <w:pgSz w:w="11900" w:h="16838" w:orient="portrait"/>
          <w:cols w:equalWidth="0" w:num="3">
            <w:col w:w="4786" w:space="720"/>
            <w:col w:w="2920" w:space="720"/>
            <w:col w:w="1920"/>
          </w:cols>
          <w:pgMar w:left="234" w:top="291" w:right="599" w:bottom="1440" w:gutter="0" w:footer="0" w:header="0"/>
          <w:type w:val="continuous"/>
        </w:sectPr>
      </w:pPr>
    </w:p>
    <w:p>
      <w:pPr>
        <w:ind w:left="2406"/>
        <w:spacing w:after="0"/>
        <w:rPr>
          <w:sz w:val="20"/>
          <w:szCs w:val="20"/>
          <w:color w:val="auto"/>
        </w:rPr>
      </w:pPr>
      <w:r>
        <w:rPr>
          <w:rFonts w:ascii="Arial" w:cs="Arial" w:eastAsia="Arial" w:hAnsi="Arial"/>
          <w:sz w:val="13"/>
          <w:szCs w:val="13"/>
          <w:b w:val="1"/>
          <w:bCs w:val="1"/>
          <w:color w:val="auto"/>
        </w:rPr>
        <w:t>555 Turnpike Street, Canton,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02021</w:t>
      </w:r>
    </w:p>
    <w:p>
      <w:pPr>
        <w:spacing w:after="0" w:line="49" w:lineRule="exact"/>
        <w:rPr>
          <w:sz w:val="24"/>
          <w:szCs w:val="24"/>
          <w:color w:val="auto"/>
        </w:rPr>
      </w:pPr>
    </w:p>
    <w:p>
      <w:pPr>
        <w:sectPr>
          <w:pgSz w:w="11900" w:h="16838" w:orient="portrait"/>
          <w:cols w:equalWidth="0" w:num="2">
            <w:col w:w="8706" w:space="720"/>
            <w:col w:w="1640"/>
          </w:cols>
          <w:pgMar w:left="234" w:top="291" w:right="599" w:bottom="1440" w:gutter="0" w:footer="0" w:header="0"/>
          <w:type w:val="continuous"/>
        </w:sectPr>
      </w:pPr>
    </w:p>
    <w:p>
      <w:pPr>
        <w:ind w:left="282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7" w:lineRule="exact"/>
        <w:rPr>
          <w:sz w:val="24"/>
          <w:szCs w:val="24"/>
          <w:color w:val="auto"/>
        </w:rPr>
      </w:pPr>
    </w:p>
    <w:p>
      <w:pPr>
        <w:sectPr>
          <w:pgSz w:w="11900" w:h="16838" w:orient="portrait"/>
          <w:cols w:equalWidth="0" w:num="2">
            <w:col w:w="8626" w:space="720"/>
            <w:col w:w="1720"/>
          </w:cols>
          <w:pgMar w:left="234" w:top="291" w:right="599" w:bottom="1440" w:gutter="0" w:footer="0" w:header="0"/>
          <w:type w:val="continuous"/>
        </w:sectPr>
      </w:pPr>
    </w:p>
    <w:p>
      <w:pPr>
        <w:jc w:val="center"/>
        <w:ind w:right="-365"/>
        <w:spacing w:after="0"/>
        <w:rPr>
          <w:sz w:val="20"/>
          <w:szCs w:val="20"/>
          <w:color w:val="auto"/>
        </w:rPr>
      </w:pPr>
      <w:r>
        <w:rPr>
          <w:rFonts w:ascii="Arial" w:cs="Arial" w:eastAsia="Arial" w:hAnsi="Arial"/>
          <w:sz w:val="15"/>
          <w:szCs w:val="15"/>
          <w:b w:val="1"/>
          <w:bCs w:val="1"/>
          <w:color w:val="auto"/>
        </w:rPr>
        <w:t>(781) 828-9300</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9"/>
          <w:szCs w:val="9"/>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173990</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type w:val="continuous"/>
        </w:sectPr>
      </w:pPr>
    </w:p>
    <w:p>
      <w:pPr>
        <w:spacing w:after="0" w:line="200" w:lineRule="exact"/>
        <w:rPr>
          <w:sz w:val="24"/>
          <w:szCs w:val="24"/>
          <w:color w:val="auto"/>
        </w:rPr>
      </w:pPr>
    </w:p>
    <w:p>
      <w:pPr>
        <w:spacing w:after="0" w:line="220" w:lineRule="exact"/>
        <w:rPr>
          <w:sz w:val="24"/>
          <w:szCs w:val="24"/>
          <w:color w:val="auto"/>
        </w:rPr>
      </w:pPr>
    </w:p>
    <w:p>
      <w:pPr>
        <w:ind w:left="6"/>
        <w:spacing w:after="0" w:line="290"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u w:val="single" w:color="auto"/>
          <w:color w:val="auto"/>
        </w:rPr>
        <w:t>see</w:t>
      </w:r>
      <w:r>
        <w:rPr>
          <w:rFonts w:ascii="Arial" w:cs="Arial" w:eastAsia="Arial" w:hAnsi="Arial"/>
          <w:sz w:val="15"/>
          <w:szCs w:val="15"/>
          <w:color w:val="auto"/>
        </w:rPr>
        <w:t xml:space="preserve"> General Instruction A.2. below):</w:t>
      </w:r>
    </w:p>
    <w:p>
      <w:pPr>
        <w:spacing w:after="0" w:line="30"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7.01 Regulation FD Disclosure.</w:t>
      </w:r>
    </w:p>
    <w:p>
      <w:pPr>
        <w:spacing w:after="0" w:line="90" w:lineRule="exact"/>
        <w:rPr>
          <w:sz w:val="20"/>
          <w:szCs w:val="20"/>
          <w:color w:val="auto"/>
        </w:rPr>
      </w:pPr>
    </w:p>
    <w:p>
      <w:pPr>
        <w:ind w:left="6" w:right="60"/>
        <w:spacing w:after="0" w:line="276" w:lineRule="auto"/>
        <w:rPr>
          <w:sz w:val="20"/>
          <w:szCs w:val="20"/>
          <w:color w:val="auto"/>
        </w:rPr>
      </w:pPr>
      <w:r>
        <w:rPr>
          <w:rFonts w:ascii="Arial" w:cs="Arial" w:eastAsia="Arial" w:hAnsi="Arial"/>
          <w:sz w:val="15"/>
          <w:szCs w:val="15"/>
          <w:color w:val="auto"/>
        </w:rPr>
        <w:t>The Company is amending its previously filed Form 8-K, dated February 27, 2013, to correct two errors in its Investor Presentation dated February 28, 2013. The Investor Presentation, attached to this report as Exhibit 99.1 and incorporated by reference herein, has been revised to correct the operating margin percentage and capital expenditures for fiscal 2012 which are disclosed on slide 21.</w:t>
      </w:r>
    </w:p>
    <w:p>
      <w:pPr>
        <w:spacing w:after="0" w:line="110" w:lineRule="exact"/>
        <w:rPr>
          <w:sz w:val="20"/>
          <w:szCs w:val="20"/>
          <w:color w:val="auto"/>
        </w:rPr>
      </w:pPr>
    </w:p>
    <w:p>
      <w:pPr>
        <w:ind w:left="6" w:right="60"/>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3" w:lineRule="exact"/>
        <w:rPr>
          <w:sz w:val="20"/>
          <w:szCs w:val="20"/>
          <w:color w:val="auto"/>
        </w:rPr>
      </w:pPr>
    </w:p>
    <w:p>
      <w:pPr>
        <w:ind w:left="6"/>
        <w:spacing w:after="0"/>
        <w:rPr>
          <w:sz w:val="20"/>
          <w:szCs w:val="20"/>
          <w:color w:val="auto"/>
        </w:rPr>
      </w:pPr>
      <w:r>
        <w:rPr>
          <w:rFonts w:ascii="Arial" w:cs="Arial" w:eastAsia="Arial" w:hAnsi="Arial"/>
          <w:sz w:val="15"/>
          <w:szCs w:val="15"/>
          <w:i w:val="1"/>
          <w:iCs w:val="1"/>
          <w:color w:val="auto"/>
        </w:rPr>
        <w:t>Presentation of Non-GAAP Measures</w:t>
      </w:r>
    </w:p>
    <w:p>
      <w:pPr>
        <w:spacing w:after="0" w:line="86" w:lineRule="exact"/>
        <w:rPr>
          <w:sz w:val="20"/>
          <w:szCs w:val="20"/>
          <w:color w:val="auto"/>
        </w:rPr>
      </w:pPr>
    </w:p>
    <w:p>
      <w:pPr>
        <w:ind w:left="6" w:right="560"/>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 24.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ind w:left="6" w:right="100"/>
        <w:spacing w:after="0" w:line="292" w:lineRule="auto"/>
        <w:rPr>
          <w:sz w:val="20"/>
          <w:szCs w:val="20"/>
          <w:color w:val="auto"/>
        </w:rPr>
      </w:pPr>
      <w:r>
        <w:rPr>
          <w:rFonts w:ascii="Arial" w:cs="Arial" w:eastAsia="Arial" w:hAnsi="Arial"/>
          <w:sz w:val="14"/>
          <w:szCs w:val="14"/>
          <w:color w:val="auto"/>
        </w:rPr>
        <w:t>In addition, all companies do not calculate non-GAAP financial measures in the same manner and, accordingly, “free cash flows” as presented in this slide presentation may not be comparable to similar measures used by other companies. The Company calculates free cash flows as cash flow from operating activities less capital expenditures and discretionary store asset acquisitions, if any. We calculate projected free cash flows for fiscal 2016 of $60.0-$70.0 million as estimated cash flow from operating activities of $77.0-$87.0 million, less estimated capital expenditures of $17.0 million (no discretionary store asset acquisitions are anticipated in fiscal 2016). We believe that inclusion of this non-GAAP measure helps investors gain a better understanding of projected performance, especially when comparing such results to previous periods.</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90" w:lineRule="exact"/>
        <w:rPr>
          <w:sz w:val="20"/>
          <w:szCs w:val="20"/>
          <w:color w:val="auto"/>
        </w:rPr>
      </w:pPr>
    </w:p>
    <w:p>
      <w:pPr>
        <w:ind w:left="446" w:hanging="446"/>
        <w:spacing w:after="0"/>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44"/>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440" w:type="dxa"/>
            <w:vAlign w:val="bottom"/>
          </w:tcPr>
          <w:p>
            <w:pPr>
              <w:spacing w:after="0"/>
              <w:rPr>
                <w:sz w:val="12"/>
                <w:szCs w:val="12"/>
                <w:color w:val="auto"/>
              </w:rPr>
            </w:pPr>
          </w:p>
        </w:tc>
        <w:tc>
          <w:tcPr>
            <w:tcW w:w="10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69"/>
        </w:trPr>
        <w:tc>
          <w:tcPr>
            <w:tcW w:w="600" w:type="dxa"/>
            <w:vAlign w:val="bottom"/>
          </w:tcPr>
          <w:p>
            <w:pPr>
              <w:jc w:val="right"/>
              <w:ind w:right="92"/>
              <w:spacing w:after="0"/>
              <w:rPr>
                <w:sz w:val="20"/>
                <w:szCs w:val="20"/>
                <w:color w:val="auto"/>
              </w:rPr>
            </w:pPr>
            <w:r>
              <w:rPr>
                <w:rFonts w:ascii="Arial" w:cs="Arial" w:eastAsia="Arial" w:hAnsi="Arial"/>
                <w:sz w:val="15"/>
                <w:szCs w:val="15"/>
                <w:color w:val="auto"/>
              </w:rPr>
              <w:t>99.1</w:t>
            </w:r>
          </w:p>
        </w:tc>
        <w:tc>
          <w:tcPr>
            <w:tcW w:w="10840" w:type="dxa"/>
            <w:vAlign w:val="bottom"/>
            <w:gridSpan w:val="2"/>
          </w:tcPr>
          <w:p>
            <w:pPr>
              <w:ind w:left="440"/>
              <w:spacing w:after="0"/>
              <w:rPr>
                <w:sz w:val="20"/>
                <w:szCs w:val="20"/>
                <w:color w:val="auto"/>
              </w:rPr>
            </w:pPr>
            <w:r>
              <w:rPr>
                <w:rFonts w:ascii="Arial" w:cs="Arial" w:eastAsia="Arial" w:hAnsi="Arial"/>
                <w:sz w:val="15"/>
                <w:szCs w:val="15"/>
                <w:color w:val="auto"/>
              </w:rPr>
              <w:t>Investor Slide Presentation dated February 28, 2013</w:t>
            </w:r>
          </w:p>
        </w:tc>
      </w:tr>
    </w:tbl>
    <w:p>
      <w:pPr>
        <w:sectPr>
          <w:pgSz w:w="11900" w:h="16838" w:orient="portrait"/>
          <w:cols w:equalWidth="0" w:num="1">
            <w:col w:w="11446"/>
          </w:cols>
          <w:pgMar w:left="234" w:top="258" w:right="21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61"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DESTINATION XL GROUP, INC.</w:t>
      </w:r>
    </w:p>
    <w:p>
      <w:pPr>
        <w:spacing w:after="0" w:line="168" w:lineRule="exact"/>
        <w:rPr>
          <w:sz w:val="20"/>
          <w:szCs w:val="20"/>
          <w:color w:val="auto"/>
        </w:rPr>
      </w:pPr>
    </w:p>
    <w:p>
      <w:pPr>
        <w:spacing w:after="0"/>
        <w:tabs>
          <w:tab w:leader="none" w:pos="5940" w:val="left"/>
        </w:tabs>
        <w:rPr>
          <w:sz w:val="20"/>
          <w:szCs w:val="20"/>
          <w:color w:val="auto"/>
        </w:rPr>
      </w:pPr>
      <w:r>
        <w:rPr>
          <w:rFonts w:ascii="Arial" w:cs="Arial" w:eastAsia="Arial" w:hAnsi="Arial"/>
          <w:sz w:val="15"/>
          <w:szCs w:val="15"/>
          <w:color w:val="auto"/>
        </w:rPr>
        <w:t>Date: February 28, 2013</w:t>
      </w:r>
      <w:r>
        <w:rPr>
          <w:sz w:val="20"/>
          <w:szCs w:val="20"/>
          <w:color w:val="auto"/>
        </w:rPr>
        <w:tab/>
      </w:r>
      <w:r>
        <w:rPr>
          <w:rFonts w:ascii="Arial" w:cs="Arial" w:eastAsia="Arial" w:hAnsi="Arial"/>
          <w:sz w:val="14"/>
          <w:szCs w:val="14"/>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14605</wp:posOffset>
            </wp:positionV>
            <wp:extent cx="32626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2630" cy="7620"/>
                    </a:xfrm>
                    <a:prstGeom prst="rect">
                      <a:avLst/>
                    </a:prstGeom>
                    <a:noFill/>
                  </pic:spPr>
                </pic:pic>
              </a:graphicData>
            </a:graphic>
          </wp:anchor>
        </w:drawing>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Name: Dennis R. Hernreich</w:t>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Title:  Executive Vice President and Chief Financial Officer</w:t>
      </w:r>
    </w:p>
    <w:p>
      <w:pPr>
        <w:sectPr>
          <w:pgSz w:w="11900" w:h="16838" w:orient="portrait"/>
          <w:cols w:equalWidth="0" w:num="1">
            <w:col w:w="10900"/>
          </w:cols>
          <w:pgMar w:left="240" w:top="258" w:right="759" w:bottom="1440" w:gutter="0" w:footer="0" w:header="0"/>
        </w:sectPr>
      </w:pPr>
    </w:p>
    <w:bookmarkStart w:id="3" w:name="page4"/>
    <w:bookmarkEnd w:id="3"/>
    <w:p>
      <w:pPr>
        <w:ind w:left="79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59625" cy="5382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5962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0"/>
        <w:spacing w:after="0"/>
        <w:rPr>
          <w:sz w:val="20"/>
          <w:szCs w:val="20"/>
          <w:color w:val="auto"/>
        </w:rPr>
      </w:pPr>
      <w:r>
        <w:rPr>
          <w:rFonts w:ascii="Arial" w:cs="Arial" w:eastAsia="Arial" w:hAnsi="Arial"/>
          <w:sz w:val="34"/>
          <w:szCs w:val="34"/>
          <w:b w:val="1"/>
          <w:bCs w:val="1"/>
          <w:i w:val="1"/>
          <w:iCs w:val="1"/>
          <w:color w:val="1F497D"/>
        </w:rPr>
        <w:t>Generating Value on the Road to Destination XL</w:t>
      </w:r>
      <w:r>
        <w:rPr>
          <w:rFonts w:ascii="Arial" w:cs="Arial" w:eastAsia="Arial" w:hAnsi="Arial"/>
          <w:sz w:val="47"/>
          <w:szCs w:val="47"/>
          <w:b w:val="1"/>
          <w:bCs w:val="1"/>
          <w:i w:val="1"/>
          <w:iCs w:val="1"/>
          <w:color w:val="1F497D"/>
          <w:vertAlign w:val="superscript"/>
        </w:rPr>
        <w:t>®</w:t>
      </w:r>
    </w:p>
    <w:p>
      <w:pPr>
        <w:spacing w:after="0" w:line="313" w:lineRule="exact"/>
        <w:rPr>
          <w:sz w:val="20"/>
          <w:szCs w:val="20"/>
          <w:color w:val="auto"/>
        </w:rPr>
      </w:pPr>
    </w:p>
    <w:p>
      <w:pPr>
        <w:ind w:left="3020"/>
        <w:spacing w:after="0"/>
        <w:rPr>
          <w:sz w:val="20"/>
          <w:szCs w:val="20"/>
          <w:color w:val="auto"/>
        </w:rPr>
      </w:pPr>
      <w:r>
        <w:rPr>
          <w:rFonts w:ascii="Arial" w:cs="Arial" w:eastAsia="Arial" w:hAnsi="Arial"/>
          <w:sz w:val="38"/>
          <w:szCs w:val="38"/>
          <w:color w:val="898989"/>
        </w:rPr>
        <w:t>Keybanc Consumer Conference</w:t>
      </w:r>
    </w:p>
    <w:p>
      <w:pPr>
        <w:spacing w:after="0" w:line="10" w:lineRule="exact"/>
        <w:rPr>
          <w:sz w:val="20"/>
          <w:szCs w:val="20"/>
          <w:color w:val="auto"/>
        </w:rPr>
      </w:pPr>
    </w:p>
    <w:p>
      <w:pPr>
        <w:ind w:left="5060"/>
        <w:spacing w:after="0"/>
        <w:rPr>
          <w:sz w:val="20"/>
          <w:szCs w:val="20"/>
          <w:color w:val="auto"/>
        </w:rPr>
      </w:pPr>
      <w:r>
        <w:rPr>
          <w:rFonts w:ascii="Arial" w:cs="Arial" w:eastAsia="Arial" w:hAnsi="Arial"/>
          <w:sz w:val="38"/>
          <w:szCs w:val="38"/>
          <w:color w:val="898989"/>
        </w:rPr>
        <w:t>February 28,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w:t>
      </w:r>
    </w:p>
    <w:p>
      <w:pPr>
        <w:sectPr>
          <w:pgSz w:w="11900" w:h="16838" w:orient="portrait"/>
          <w:cols w:equalWidth="0" w:num="1">
            <w:col w:w="9520"/>
          </w:cols>
          <w:pgMar w:left="1440" w:top="321" w:right="939" w:bottom="1440" w:gutter="0" w:footer="0" w:header="0"/>
        </w:sectPr>
      </w:pPr>
    </w:p>
    <w:bookmarkStart w:id="4" w:name="page5"/>
    <w:bookmarkEnd w:id="4"/>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Safe Harbor</w:t>
      </w:r>
    </w:p>
    <w:p>
      <w:pPr>
        <w:spacing w:after="0" w:line="18" w:lineRule="exact"/>
        <w:rPr>
          <w:sz w:val="20"/>
          <w:szCs w:val="20"/>
          <w:color w:val="auto"/>
        </w:rPr>
      </w:pPr>
    </w:p>
    <w:p>
      <w:pPr>
        <w:ind w:right="1020"/>
        <w:spacing w:after="0" w:line="249" w:lineRule="auto"/>
        <w:rPr>
          <w:sz w:val="20"/>
          <w:szCs w:val="20"/>
          <w:color w:val="auto"/>
        </w:rPr>
      </w:pPr>
      <w:r>
        <w:rPr>
          <w:rFonts w:ascii="Arial" w:cs="Arial" w:eastAsia="Arial" w:hAnsi="Arial"/>
          <w:sz w:val="22"/>
          <w:szCs w:val="22"/>
          <w:color w:val="5F5F5F"/>
        </w:rPr>
        <w:t>Certain information contained in this presentation, including, but not limited to, cash flows, operating margins, store counts, earnings expectations for fiscal 2012 and estimates through fiscal 2016,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Such forward-looking statements are subject to various risks and uncertainties that could cause actual results to differ materially from those indicated.Suchrisksanduncertaintiesmayinclude,but arenot limitedto: the failureto</w:t>
      </w:r>
    </w:p>
    <w:p>
      <w:pPr>
        <w:spacing w:after="0" w:line="5" w:lineRule="exact"/>
        <w:rPr>
          <w:sz w:val="20"/>
          <w:szCs w:val="20"/>
          <w:color w:val="auto"/>
        </w:rPr>
      </w:pPr>
    </w:p>
    <w:p>
      <w:pPr>
        <w:ind w:right="1060"/>
        <w:spacing w:after="0" w:line="249" w:lineRule="auto"/>
        <w:rPr>
          <w:sz w:val="20"/>
          <w:szCs w:val="20"/>
          <w:color w:val="auto"/>
        </w:rPr>
      </w:pPr>
      <w:r>
        <w:rPr>
          <w:rFonts w:ascii="Arial" w:cs="Arial" w:eastAsia="Arial" w:hAnsi="Arial"/>
          <w:sz w:val="22"/>
          <w:szCs w:val="22"/>
          <w:color w:val="5F5F5F"/>
        </w:rPr>
        <w:t>implement the Company's business plan for increased profitability and growth in the Company's retail stores sales and direct-to-consumer business, the failure to achieve improvementin the Company'scompetitiveposition,changesin or miscalculationof fashion trends, extreme or unseasonable weather conditions, economic downturns, a weakness in overall consumer demand, trade and security restrictions and political or financial instability in countries where goods are manufactured, increases in raw material costs from inflation and other factors, the interruption of merchandise flow from the Company's distribution facility, competitive pressures, and the adverse effects of natural disasters, war, acts of terrorism or threatsof either,or other armedconflict,on the UnitedStatesandinternationaleconomies.</w:t>
      </w:r>
    </w:p>
    <w:p>
      <w:pPr>
        <w:spacing w:after="0" w:line="1" w:lineRule="exact"/>
        <w:rPr>
          <w:sz w:val="20"/>
          <w:szCs w:val="20"/>
          <w:color w:val="auto"/>
        </w:rPr>
      </w:pPr>
    </w:p>
    <w:p>
      <w:pPr>
        <w:ind w:right="900"/>
        <w:spacing w:after="0" w:line="249" w:lineRule="auto"/>
        <w:rPr>
          <w:sz w:val="20"/>
          <w:szCs w:val="20"/>
          <w:color w:val="auto"/>
        </w:rPr>
      </w:pPr>
      <w:r>
        <w:rPr>
          <w:rFonts w:ascii="Arial" w:cs="Arial" w:eastAsia="Arial" w:hAnsi="Arial"/>
          <w:sz w:val="22"/>
          <w:szCs w:val="22"/>
          <w:color w:val="5F5F5F"/>
        </w:rPr>
        <w:t>These, and other risks and uncertainties, are detailed in the Company's Annual Report on Form 10-K filed with the Securities and Exchange Commission for the fiscal year ended January 28, 2012 filed on March 16, 2012 and other Company filings with the Securities and Exchange</w:t>
      </w:r>
    </w:p>
    <w:p>
      <w:pPr>
        <w:ind w:right="1620"/>
        <w:spacing w:after="0" w:line="258" w:lineRule="auto"/>
        <w:rPr>
          <w:sz w:val="20"/>
          <w:szCs w:val="20"/>
          <w:color w:val="auto"/>
        </w:rPr>
      </w:pPr>
      <w:r>
        <w:rPr>
          <w:rFonts w:ascii="Arial" w:cs="Arial" w:eastAsia="Arial" w:hAnsi="Arial"/>
          <w:sz w:val="22"/>
          <w:szCs w:val="22"/>
          <w:color w:val="5F5F5F"/>
        </w:rPr>
        <w:t>CommissionDestinationXLGroup,Inc..assumesno dutyto updateor reviseits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w:t>
      </w:r>
    </w:p>
    <w:p>
      <w:pPr>
        <w:sectPr>
          <w:pgSz w:w="11900" w:h="16838" w:orient="portrait"/>
          <w:cols w:equalWidth="0" w:num="1">
            <w:col w:w="10340"/>
          </w:cols>
          <w:pgMar w:left="660" w:top="1052" w:right="899" w:bottom="1440" w:gutter="0" w:footer="0" w:header="0"/>
        </w:sectPr>
      </w:pPr>
    </w:p>
    <w:bookmarkStart w:id="5" w:name="page6"/>
    <w:bookmarkEnd w:id="5"/>
    <w:p>
      <w:pPr>
        <w:spacing w:after="0"/>
        <w:rPr>
          <w:sz w:val="20"/>
          <w:szCs w:val="20"/>
          <w:color w:val="auto"/>
        </w:rPr>
      </w:pPr>
      <w:r>
        <w:rPr>
          <w:rFonts w:ascii="Arial" w:cs="Arial" w:eastAsia="Arial" w:hAnsi="Arial"/>
          <w:sz w:val="58"/>
          <w:szCs w:val="58"/>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Destination XL Group, 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Largest multi-channel specialty</w:t>
      </w:r>
    </w:p>
    <w:p>
      <w:pPr>
        <w:spacing w:after="0" w:line="42"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retailer in niche men’s big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tall (B&amp;T)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Offering unique blend</w:t>
      </w:r>
    </w:p>
    <w:p>
      <w:pPr>
        <w:spacing w:after="0" w:line="42" w:lineRule="exact"/>
        <w:rPr>
          <w:sz w:val="20"/>
          <w:szCs w:val="20"/>
          <w:color w:val="auto"/>
        </w:rPr>
      </w:pPr>
    </w:p>
    <w:p>
      <w:pPr>
        <w:ind w:left="4700"/>
        <w:spacing w:after="0"/>
        <w:rPr>
          <w:sz w:val="20"/>
          <w:szCs w:val="20"/>
          <w:color w:val="auto"/>
        </w:rPr>
      </w:pPr>
      <w:r>
        <w:rPr>
          <w:rFonts w:ascii="Arial" w:cs="Arial" w:eastAsia="Arial" w:hAnsi="Arial"/>
          <w:sz w:val="38"/>
          <w:szCs w:val="38"/>
          <w:color w:val="auto"/>
        </w:rPr>
        <w:t>of wardrobe solutions</w:t>
      </w:r>
    </w:p>
    <w:p>
      <w:pPr>
        <w:spacing w:after="0" w:line="163" w:lineRule="exact"/>
        <w:rPr>
          <w:sz w:val="20"/>
          <w:szCs w:val="20"/>
          <w:color w:val="auto"/>
        </w:rPr>
      </w:pPr>
    </w:p>
    <w:p>
      <w:pPr>
        <w:ind w:left="4700"/>
        <w:spacing w:after="0"/>
        <w:rPr>
          <w:sz w:val="20"/>
          <w:szCs w:val="20"/>
          <w:color w:val="auto"/>
        </w:rPr>
      </w:pPr>
      <w:r>
        <w:rPr>
          <w:rFonts w:ascii="Arial" w:cs="Arial" w:eastAsia="Arial" w:hAnsi="Arial"/>
          <w:sz w:val="28"/>
          <w:szCs w:val="28"/>
          <w:color w:val="auto"/>
        </w:rPr>
        <w:t>Private label &amp; leading</w:t>
      </w:r>
    </w:p>
    <w:p>
      <w:pPr>
        <w:spacing w:after="0" w:line="37" w:lineRule="exact"/>
        <w:rPr>
          <w:sz w:val="20"/>
          <w:szCs w:val="20"/>
          <w:color w:val="auto"/>
        </w:rPr>
      </w:pPr>
    </w:p>
    <w:p>
      <w:pPr>
        <w:ind w:left="4700"/>
        <w:spacing w:after="0"/>
        <w:rPr>
          <w:sz w:val="20"/>
          <w:szCs w:val="20"/>
          <w:color w:val="auto"/>
        </w:rPr>
      </w:pPr>
      <w:r>
        <w:rPr>
          <w:rFonts w:ascii="Arial" w:cs="Arial" w:eastAsia="Arial" w:hAnsi="Arial"/>
          <w:sz w:val="28"/>
          <w:szCs w:val="28"/>
          <w:color w:val="auto"/>
        </w:rPr>
        <w:t>apparel name brands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w:t>
      </w:r>
    </w:p>
    <w:p>
      <w:pPr>
        <w:sectPr>
          <w:pgSz w:w="11900" w:h="16838" w:orient="portrait"/>
          <w:cols w:equalWidth="0" w:num="1">
            <w:col w:w="10140"/>
          </w:cols>
          <w:pgMar w:left="860" w:top="1077" w:right="899" w:bottom="1440" w:gutter="0" w:footer="0" w:header="0"/>
        </w:sectPr>
      </w:pPr>
    </w:p>
    <w:bookmarkStart w:id="6" w:name="page7"/>
    <w:bookmarkEnd w:id="6"/>
    <w:p>
      <w:pPr>
        <w:ind w:left="26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DXLG by the Numbers</w:t>
      </w:r>
    </w:p>
    <w:p>
      <w:pPr>
        <w:spacing w:after="0" w:line="178" w:lineRule="exact"/>
        <w:rPr>
          <w:sz w:val="20"/>
          <w:szCs w:val="20"/>
          <w:color w:val="auto"/>
        </w:rPr>
      </w:pPr>
    </w:p>
    <w:p>
      <w:pPr>
        <w:jc w:val="center"/>
        <w:ind w:left="800"/>
        <w:spacing w:after="0"/>
        <w:rPr>
          <w:sz w:val="20"/>
          <w:szCs w:val="20"/>
          <w:color w:val="auto"/>
        </w:rPr>
      </w:pPr>
      <w:r>
        <w:rPr>
          <w:rFonts w:ascii="Arial" w:cs="Arial" w:eastAsia="Arial" w:hAnsi="Arial"/>
          <w:sz w:val="56"/>
          <w:szCs w:val="56"/>
          <w:b w:val="1"/>
          <w:bCs w:val="1"/>
          <w:color w:val="558ED5"/>
        </w:rPr>
        <w:t>1.5M</w:t>
      </w:r>
      <w:r>
        <w:rPr>
          <w:rFonts w:ascii="Arial" w:cs="Arial" w:eastAsia="Arial" w:hAnsi="Arial"/>
          <w:sz w:val="18"/>
          <w:szCs w:val="18"/>
          <w:b w:val="1"/>
          <w:bCs w:val="1"/>
          <w:color w:val="000000"/>
        </w:rPr>
        <w:t>Active customers</w:t>
      </w:r>
    </w:p>
    <w:p>
      <w:pPr>
        <w:ind w:left="20"/>
        <w:spacing w:after="0" w:line="195" w:lineRule="auto"/>
        <w:rPr>
          <w:sz w:val="20"/>
          <w:szCs w:val="20"/>
          <w:color w:val="auto"/>
        </w:rPr>
      </w:pPr>
      <w:r>
        <w:rPr>
          <w:rFonts w:ascii="Arial" w:cs="Arial" w:eastAsia="Arial" w:hAnsi="Arial"/>
          <w:sz w:val="56"/>
          <w:szCs w:val="56"/>
          <w:b w:val="1"/>
          <w:bCs w:val="1"/>
          <w:color w:val="558ED5"/>
        </w:rPr>
        <w:t>80%</w:t>
      </w:r>
    </w:p>
    <w:p>
      <w:pPr>
        <w:ind w:left="180"/>
        <w:spacing w:after="0"/>
        <w:rPr>
          <w:sz w:val="20"/>
          <w:szCs w:val="20"/>
          <w:color w:val="auto"/>
        </w:rPr>
      </w:pPr>
      <w:r>
        <w:rPr>
          <w:rFonts w:ascii="Arial" w:cs="Arial" w:eastAsia="Arial" w:hAnsi="Arial"/>
          <w:sz w:val="19"/>
          <w:szCs w:val="19"/>
          <w:b w:val="1"/>
          <w:bCs w:val="1"/>
          <w:color w:val="auto"/>
        </w:rPr>
        <w:t>Retail</w:t>
      </w:r>
    </w:p>
    <w:p>
      <w:pPr>
        <w:spacing w:after="0" w:line="360" w:lineRule="exact"/>
        <w:rPr>
          <w:sz w:val="20"/>
          <w:szCs w:val="20"/>
          <w:color w:val="auto"/>
        </w:rPr>
      </w:pPr>
    </w:p>
    <w:p>
      <w:pPr>
        <w:spacing w:after="0"/>
        <w:rPr>
          <w:sz w:val="20"/>
          <w:szCs w:val="20"/>
          <w:color w:val="auto"/>
        </w:rPr>
      </w:pPr>
      <w:r>
        <w:rPr>
          <w:rFonts w:ascii="Arial" w:cs="Arial" w:eastAsia="Arial" w:hAnsi="Arial"/>
          <w:sz w:val="56"/>
          <w:szCs w:val="56"/>
          <w:b w:val="1"/>
          <w:bCs w:val="1"/>
          <w:color w:val="558ED5"/>
        </w:rPr>
        <w:t>20%</w:t>
      </w:r>
    </w:p>
    <w:p>
      <w:pPr>
        <w:ind w:left="180"/>
        <w:spacing w:after="0"/>
        <w:rPr>
          <w:sz w:val="20"/>
          <w:szCs w:val="20"/>
          <w:color w:val="auto"/>
        </w:rPr>
      </w:pPr>
      <w:r>
        <w:rPr>
          <w:rFonts w:ascii="Arial" w:cs="Arial" w:eastAsia="Arial" w:hAnsi="Arial"/>
          <w:sz w:val="19"/>
          <w:szCs w:val="19"/>
          <w:b w:val="1"/>
          <w:bCs w:val="1"/>
          <w:color w:val="auto"/>
        </w:rPr>
        <w:t>Direct</w:t>
      </w:r>
    </w:p>
    <w:p>
      <w:pPr>
        <w:spacing w:after="0" w:line="5" w:lineRule="exact"/>
        <w:rPr>
          <w:sz w:val="20"/>
          <w:szCs w:val="20"/>
          <w:color w:val="auto"/>
        </w:rPr>
      </w:pPr>
    </w:p>
    <w:p>
      <w:pPr>
        <w:jc w:val="right"/>
        <w:ind w:right="1100"/>
        <w:spacing w:after="0"/>
        <w:rPr>
          <w:sz w:val="20"/>
          <w:szCs w:val="20"/>
          <w:color w:val="auto"/>
        </w:rPr>
      </w:pPr>
      <w:r>
        <w:rPr>
          <w:rFonts w:ascii="Arial" w:cs="Arial" w:eastAsia="Arial" w:hAnsi="Arial"/>
          <w:sz w:val="56"/>
          <w:szCs w:val="56"/>
          <w:b w:val="1"/>
          <w:bCs w:val="1"/>
          <w:color w:val="558ED5"/>
        </w:rPr>
        <w:t xml:space="preserve">90% </w:t>
      </w:r>
      <w:r>
        <w:rPr>
          <w:rFonts w:ascii="Arial" w:cs="Arial" w:eastAsia="Arial" w:hAnsi="Arial"/>
          <w:sz w:val="18"/>
          <w:szCs w:val="18"/>
          <w:b w:val="1"/>
          <w:bCs w:val="1"/>
          <w:color w:val="000000"/>
        </w:rPr>
        <w:t>Enrolled in loyalty program</w:t>
      </w:r>
    </w:p>
    <w:p>
      <w:pPr>
        <w:spacing w:after="0" w:line="200" w:lineRule="exact"/>
        <w:rPr>
          <w:sz w:val="20"/>
          <w:szCs w:val="20"/>
          <w:color w:val="auto"/>
        </w:rPr>
      </w:pPr>
    </w:p>
    <w:p>
      <w:pPr>
        <w:spacing w:after="0" w:line="342"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1160" w:type="dxa"/>
            <w:vAlign w:val="bottom"/>
            <w:vMerge w:val="restart"/>
          </w:tcPr>
          <w:p>
            <w:pPr>
              <w:jc w:val="right"/>
              <w:spacing w:after="0"/>
              <w:rPr>
                <w:sz w:val="20"/>
                <w:szCs w:val="20"/>
                <w:color w:val="auto"/>
              </w:rPr>
            </w:pPr>
            <w:r>
              <w:rPr>
                <w:rFonts w:ascii="Arial" w:cs="Arial" w:eastAsia="Arial" w:hAnsi="Arial"/>
                <w:sz w:val="56"/>
                <w:szCs w:val="56"/>
                <w:b w:val="1"/>
                <w:bCs w:val="1"/>
                <w:color w:val="558ED5"/>
                <w:w w:val="98"/>
              </w:rPr>
              <w:t>85%</w:t>
            </w:r>
          </w:p>
        </w:tc>
        <w:tc>
          <w:tcPr>
            <w:tcW w:w="2380" w:type="dxa"/>
            <w:vAlign w:val="bottom"/>
          </w:tcPr>
          <w:p>
            <w:pPr>
              <w:jc w:val="center"/>
              <w:ind w:right="486"/>
              <w:spacing w:after="0"/>
              <w:rPr>
                <w:sz w:val="20"/>
                <w:szCs w:val="20"/>
                <w:color w:val="auto"/>
              </w:rPr>
            </w:pPr>
            <w:r>
              <w:rPr>
                <w:rFonts w:ascii="Arial" w:cs="Arial" w:eastAsia="Arial" w:hAnsi="Arial"/>
                <w:sz w:val="19"/>
                <w:szCs w:val="19"/>
                <w:b w:val="1"/>
                <w:bCs w:val="1"/>
                <w:color w:val="auto"/>
                <w:w w:val="90"/>
              </w:rPr>
              <w:t>Highest rated retailer</w:t>
            </w:r>
          </w:p>
        </w:tc>
        <w:tc>
          <w:tcPr>
            <w:tcW w:w="880" w:type="dxa"/>
            <w:vAlign w:val="bottom"/>
            <w:vMerge w:val="restart"/>
          </w:tcPr>
          <w:p>
            <w:pPr>
              <w:jc w:val="right"/>
              <w:spacing w:after="0"/>
              <w:rPr>
                <w:sz w:val="20"/>
                <w:szCs w:val="20"/>
                <w:color w:val="auto"/>
              </w:rPr>
            </w:pPr>
            <w:r>
              <w:rPr>
                <w:rFonts w:ascii="Arial" w:cs="Arial" w:eastAsia="Arial" w:hAnsi="Arial"/>
                <w:sz w:val="56"/>
                <w:szCs w:val="56"/>
                <w:b w:val="1"/>
                <w:bCs w:val="1"/>
                <w:color w:val="558ED5"/>
              </w:rPr>
              <w:t>6</w:t>
            </w: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2380" w:type="dxa"/>
            <w:vAlign w:val="bottom"/>
          </w:tcPr>
          <w:p>
            <w:pPr>
              <w:jc w:val="center"/>
              <w:ind w:right="426"/>
              <w:spacing w:after="0"/>
              <w:rPr>
                <w:sz w:val="20"/>
                <w:szCs w:val="20"/>
                <w:color w:val="auto"/>
              </w:rPr>
            </w:pPr>
            <w:r>
              <w:rPr>
                <w:rFonts w:ascii="Arial" w:cs="Arial" w:eastAsia="Arial" w:hAnsi="Arial"/>
                <w:sz w:val="19"/>
                <w:szCs w:val="19"/>
                <w:b w:val="1"/>
                <w:bCs w:val="1"/>
                <w:color w:val="auto"/>
                <w:w w:val="92"/>
              </w:rPr>
              <w:t>in 2011 CSI</w:t>
            </w: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2380" w:type="dxa"/>
            <w:vAlign w:val="bottom"/>
          </w:tcPr>
          <w:p>
            <w:pPr>
              <w:jc w:val="center"/>
              <w:ind w:right="446"/>
              <w:spacing w:after="0"/>
              <w:rPr>
                <w:sz w:val="20"/>
                <w:szCs w:val="20"/>
                <w:color w:val="auto"/>
              </w:rPr>
            </w:pPr>
            <w:r>
              <w:rPr>
                <w:rFonts w:ascii="Arial" w:cs="Arial" w:eastAsia="Arial" w:hAnsi="Arial"/>
                <w:sz w:val="19"/>
                <w:szCs w:val="19"/>
                <w:b w:val="1"/>
                <w:bCs w:val="1"/>
                <w:color w:val="auto"/>
                <w:w w:val="88"/>
              </w:rPr>
              <w:t>Customer Survey</w:t>
            </w: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Customer</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Satisfaction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80"/>
        <w:spacing w:after="0"/>
        <w:rPr>
          <w:sz w:val="20"/>
          <w:szCs w:val="20"/>
          <w:color w:val="auto"/>
        </w:rPr>
      </w:pPr>
      <w:r>
        <w:rPr>
          <w:rFonts w:ascii="Arial" w:cs="Arial" w:eastAsia="Arial" w:hAnsi="Arial"/>
          <w:sz w:val="56"/>
          <w:szCs w:val="56"/>
          <w:b w:val="1"/>
          <w:bCs w:val="1"/>
          <w:color w:val="558ED5"/>
        </w:rPr>
        <w:t>412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Stores</w:t>
      </w:r>
    </w:p>
    <w:p>
      <w:pPr>
        <w:spacing w:after="0" w:line="4404" w:lineRule="exact"/>
        <w:rPr>
          <w:sz w:val="20"/>
          <w:szCs w:val="20"/>
          <w:color w:val="auto"/>
        </w:rPr>
      </w:pPr>
    </w:p>
    <w:p>
      <w:pPr>
        <w:sectPr>
          <w:pgSz w:w="11900" w:h="16838" w:orient="portrait"/>
          <w:cols w:equalWidth="0" w:num="2">
            <w:col w:w="8320" w:space="720"/>
            <w:col w:w="1160"/>
          </w:cols>
          <w:pgMar w:left="780" w:top="1052" w:right="919" w:bottom="1440" w:gutter="0" w:footer="0" w:header="0"/>
        </w:sectPr>
      </w:pPr>
    </w:p>
    <w:p>
      <w:pPr>
        <w:spacing w:after="0" w:line="203" w:lineRule="exact"/>
        <w:rPr>
          <w:sz w:val="20"/>
          <w:szCs w:val="20"/>
          <w:color w:val="auto"/>
        </w:rPr>
      </w:pPr>
    </w:p>
    <w:p>
      <w:pPr>
        <w:ind w:left="10100"/>
        <w:spacing w:after="0"/>
        <w:rPr>
          <w:sz w:val="20"/>
          <w:szCs w:val="20"/>
          <w:color w:val="auto"/>
        </w:rPr>
      </w:pPr>
      <w:r>
        <w:rPr>
          <w:rFonts w:ascii="Arial" w:cs="Arial" w:eastAsia="Arial" w:hAnsi="Arial"/>
          <w:sz w:val="17"/>
          <w:szCs w:val="17"/>
          <w:color w:val="898989"/>
        </w:rPr>
        <w:t>4</w:t>
      </w:r>
    </w:p>
    <w:p>
      <w:pPr>
        <w:sectPr>
          <w:pgSz w:w="11900" w:h="16838" w:orient="portrait"/>
          <w:cols w:equalWidth="0" w:num="1">
            <w:col w:w="10200"/>
          </w:cols>
          <w:pgMar w:left="780" w:top="1052" w:right="9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Our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00"/>
        <w:spacing w:after="0"/>
        <w:rPr>
          <w:sz w:val="20"/>
          <w:szCs w:val="20"/>
          <w:color w:val="auto"/>
        </w:rPr>
      </w:pPr>
      <w:r>
        <w:rPr>
          <w:rFonts w:ascii="Arial" w:cs="Arial" w:eastAsia="Arial" w:hAnsi="Arial"/>
          <w:sz w:val="28"/>
          <w:szCs w:val="28"/>
          <w:color w:val="auto"/>
        </w:rPr>
        <w:t>Males with a waist size 42”and</w:t>
      </w:r>
    </w:p>
    <w:p>
      <w:pPr>
        <w:spacing w:after="0" w:line="37" w:lineRule="exact"/>
        <w:rPr>
          <w:sz w:val="20"/>
          <w:szCs w:val="20"/>
          <w:color w:val="auto"/>
        </w:rPr>
      </w:pPr>
    </w:p>
    <w:p>
      <w:pPr>
        <w:ind w:left="3100"/>
        <w:spacing w:after="0"/>
        <w:rPr>
          <w:sz w:val="20"/>
          <w:szCs w:val="20"/>
          <w:color w:val="auto"/>
        </w:rPr>
      </w:pPr>
      <w:r>
        <w:rPr>
          <w:rFonts w:ascii="Arial" w:cs="Arial" w:eastAsia="Arial" w:hAnsi="Arial"/>
          <w:sz w:val="28"/>
          <w:szCs w:val="28"/>
          <w:color w:val="auto"/>
        </w:rPr>
        <w:t>greater (35M men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60"/>
        <w:spacing w:after="0"/>
        <w:rPr>
          <w:sz w:val="20"/>
          <w:szCs w:val="20"/>
          <w:color w:val="auto"/>
        </w:rPr>
      </w:pPr>
      <w:r>
        <w:rPr>
          <w:rFonts w:ascii="Arial" w:cs="Arial" w:eastAsia="Arial" w:hAnsi="Arial"/>
          <w:sz w:val="28"/>
          <w:szCs w:val="28"/>
          <w:color w:val="auto"/>
        </w:rPr>
        <w:t>Determined by physical</w:t>
      </w:r>
    </w:p>
    <w:p>
      <w:pPr>
        <w:spacing w:after="0" w:line="37" w:lineRule="exact"/>
        <w:rPr>
          <w:sz w:val="20"/>
          <w:szCs w:val="20"/>
          <w:color w:val="auto"/>
        </w:rPr>
      </w:pPr>
    </w:p>
    <w:p>
      <w:pPr>
        <w:jc w:val="center"/>
        <w:ind w:right="840"/>
        <w:spacing w:after="0"/>
        <w:rPr>
          <w:sz w:val="20"/>
          <w:szCs w:val="20"/>
          <w:color w:val="auto"/>
        </w:rPr>
      </w:pPr>
      <w:r>
        <w:rPr>
          <w:rFonts w:ascii="Arial" w:cs="Arial" w:eastAsia="Arial" w:hAnsi="Arial"/>
          <w:sz w:val="28"/>
          <w:szCs w:val="28"/>
          <w:color w:val="auto"/>
        </w:rPr>
        <w:t>characteristic, not demographic.</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Not dependent on age, income,</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race or nationality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60"/>
        <w:spacing w:after="0"/>
        <w:rPr>
          <w:sz w:val="20"/>
          <w:szCs w:val="20"/>
          <w:color w:val="auto"/>
        </w:rPr>
      </w:pPr>
      <w:r>
        <w:rPr>
          <w:rFonts w:ascii="Arial" w:cs="Arial" w:eastAsia="Arial" w:hAnsi="Arial"/>
          <w:sz w:val="28"/>
          <w:szCs w:val="28"/>
          <w:color w:val="auto"/>
        </w:rPr>
        <w:t>Seeking greater selection in size.</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28"/>
          <w:szCs w:val="28"/>
          <w:color w:val="auto"/>
        </w:rPr>
        <w:t>Values convenience, selection</w:t>
      </w:r>
    </w:p>
    <w:p>
      <w:pPr>
        <w:spacing w:after="0" w:line="13"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and fit over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5</w:t>
      </w:r>
    </w:p>
    <w:p>
      <w:pPr>
        <w:sectPr>
          <w:pgSz w:w="11900" w:h="16838" w:orient="portrait"/>
          <w:cols w:equalWidth="0" w:num="1">
            <w:col w:w="9960"/>
          </w:cols>
          <w:pgMar w:left="1040" w:top="1075" w:right="899" w:bottom="1440" w:gutter="0" w:footer="0" w:header="0"/>
        </w:sectPr>
      </w:pPr>
    </w:p>
    <w:bookmarkStart w:id="8" w:name="page9"/>
    <w:bookmarkEnd w:id="8"/>
    <w:p>
      <w:pPr>
        <w:spacing w:after="0"/>
        <w:rPr>
          <w:sz w:val="20"/>
          <w:szCs w:val="20"/>
          <w:color w:val="auto"/>
        </w:rPr>
      </w:pPr>
      <w:r>
        <w:rPr>
          <w:rFonts w:ascii="Arial" w:cs="Arial" w:eastAsia="Arial" w:hAnsi="Arial"/>
          <w:sz w:val="59"/>
          <w:szCs w:val="59"/>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Our Current Casual Male XL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6</w:t>
      </w:r>
    </w:p>
    <w:p>
      <w:pPr>
        <w:sectPr>
          <w:pgSz w:w="11900" w:h="16838" w:orient="portrait"/>
          <w:cols w:equalWidth="0" w:num="1">
            <w:col w:w="9940"/>
          </w:cols>
          <w:pgMar w:left="960" w:top="946" w:right="999" w:bottom="1440" w:gutter="0" w:footer="0" w:header="0"/>
        </w:sectPr>
      </w:pPr>
    </w:p>
    <w:bookmarkStart w:id="9" w:name="page10"/>
    <w:bookmarkEnd w:id="9"/>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What Our Customer Wants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329"/>
        </w:trPr>
        <w:tc>
          <w:tcPr>
            <w:tcW w:w="1880" w:type="dxa"/>
            <w:vAlign w:val="bottom"/>
          </w:tcPr>
          <w:p>
            <w:pPr>
              <w:jc w:val="center"/>
              <w:ind w:right="579"/>
              <w:spacing w:after="0"/>
              <w:rPr>
                <w:sz w:val="20"/>
                <w:szCs w:val="20"/>
                <w:color w:val="auto"/>
              </w:rPr>
            </w:pPr>
            <w:r>
              <w:rPr>
                <w:rFonts w:ascii="Arial" w:cs="Arial" w:eastAsia="Arial" w:hAnsi="Arial"/>
                <w:sz w:val="28"/>
                <w:szCs w:val="28"/>
                <w:b w:val="1"/>
                <w:bCs w:val="1"/>
                <w:color w:val="auto"/>
                <w:w w:val="94"/>
              </w:rPr>
              <w:t>Large</w:t>
            </w:r>
          </w:p>
        </w:tc>
        <w:tc>
          <w:tcPr>
            <w:tcW w:w="2980" w:type="dxa"/>
            <w:vAlign w:val="bottom"/>
            <w:vMerge w:val="restart"/>
          </w:tcPr>
          <w:p>
            <w:pPr>
              <w:ind w:left="800"/>
              <w:spacing w:after="0"/>
              <w:rPr>
                <w:sz w:val="20"/>
                <w:szCs w:val="20"/>
                <w:color w:val="auto"/>
              </w:rPr>
            </w:pPr>
            <w:r>
              <w:rPr>
                <w:rFonts w:ascii="Arial" w:cs="Arial" w:eastAsia="Arial" w:hAnsi="Arial"/>
                <w:sz w:val="28"/>
                <w:szCs w:val="28"/>
                <w:b w:val="1"/>
                <w:bCs w:val="1"/>
                <w:color w:val="auto"/>
              </w:rPr>
              <w:t>More brand</w:t>
            </w:r>
          </w:p>
        </w:tc>
        <w:tc>
          <w:tcPr>
            <w:tcW w:w="250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1"/>
              </w:rPr>
              <w:t>On-site</w:t>
            </w:r>
          </w:p>
        </w:tc>
        <w:tc>
          <w:tcPr>
            <w:tcW w:w="2140" w:type="dxa"/>
            <w:vAlign w:val="bottom"/>
            <w:vMerge w:val="restart"/>
          </w:tcPr>
          <w:p>
            <w:pPr>
              <w:jc w:val="center"/>
              <w:ind w:left="599"/>
              <w:spacing w:after="0"/>
              <w:rPr>
                <w:sz w:val="20"/>
                <w:szCs w:val="20"/>
                <w:color w:val="auto"/>
              </w:rPr>
            </w:pPr>
            <w:r>
              <w:rPr>
                <w:rFonts w:ascii="Arial" w:cs="Arial" w:eastAsia="Arial" w:hAnsi="Arial"/>
                <w:sz w:val="28"/>
                <w:szCs w:val="28"/>
                <w:b w:val="1"/>
                <w:bCs w:val="1"/>
                <w:color w:val="auto"/>
                <w:w w:val="96"/>
              </w:rPr>
              <w:t>Bright</w:t>
            </w:r>
          </w:p>
        </w:tc>
        <w:tc>
          <w:tcPr>
            <w:tcW w:w="0" w:type="dxa"/>
            <w:vAlign w:val="bottom"/>
          </w:tcPr>
          <w:p>
            <w:pPr>
              <w:spacing w:after="0"/>
              <w:rPr>
                <w:sz w:val="1"/>
                <w:szCs w:val="1"/>
                <w:color w:val="auto"/>
              </w:rPr>
            </w:pPr>
          </w:p>
        </w:tc>
      </w:tr>
      <w:tr>
        <w:trPr>
          <w:trHeight w:val="176"/>
        </w:trPr>
        <w:tc>
          <w:tcPr>
            <w:tcW w:w="1880" w:type="dxa"/>
            <w:vAlign w:val="bottom"/>
            <w:vMerge w:val="restart"/>
          </w:tcPr>
          <w:p>
            <w:pPr>
              <w:jc w:val="center"/>
              <w:ind w:right="639"/>
              <w:spacing w:after="0"/>
              <w:rPr>
                <w:sz w:val="20"/>
                <w:szCs w:val="20"/>
                <w:color w:val="auto"/>
              </w:rPr>
            </w:pPr>
            <w:r>
              <w:rPr>
                <w:rFonts w:ascii="Arial" w:cs="Arial" w:eastAsia="Arial" w:hAnsi="Arial"/>
                <w:sz w:val="28"/>
                <w:szCs w:val="28"/>
                <w:b w:val="1"/>
                <w:bCs w:val="1"/>
                <w:color w:val="auto"/>
                <w:w w:val="88"/>
              </w:rPr>
              <w:t>changing</w:t>
            </w:r>
          </w:p>
        </w:tc>
        <w:tc>
          <w:tcPr>
            <w:tcW w:w="298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80" w:type="dxa"/>
            <w:vAlign w:val="bottom"/>
            <w:vMerge w:val="continue"/>
          </w:tcPr>
          <w:p>
            <w:pPr>
              <w:spacing w:after="0"/>
              <w:rPr>
                <w:sz w:val="14"/>
                <w:szCs w:val="14"/>
                <w:color w:val="auto"/>
              </w:rPr>
            </w:pPr>
          </w:p>
        </w:tc>
        <w:tc>
          <w:tcPr>
            <w:tcW w:w="2980" w:type="dxa"/>
            <w:vAlign w:val="bottom"/>
            <w:vMerge w:val="restart"/>
          </w:tcPr>
          <w:p>
            <w:pPr>
              <w:ind w:left="900"/>
              <w:spacing w:after="0"/>
              <w:rPr>
                <w:sz w:val="20"/>
                <w:szCs w:val="20"/>
                <w:color w:val="auto"/>
              </w:rPr>
            </w:pPr>
            <w:r>
              <w:rPr>
                <w:rFonts w:ascii="Arial" w:cs="Arial" w:eastAsia="Arial" w:hAnsi="Arial"/>
                <w:sz w:val="28"/>
                <w:szCs w:val="28"/>
                <w:b w:val="1"/>
                <w:bCs w:val="1"/>
                <w:color w:val="auto"/>
              </w:rPr>
              <w:t>selections</w:t>
            </w:r>
          </w:p>
        </w:tc>
        <w:tc>
          <w:tcPr>
            <w:tcW w:w="250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4"/>
              </w:rPr>
              <w:t>tailoring</w:t>
            </w:r>
          </w:p>
        </w:tc>
        <w:tc>
          <w:tcPr>
            <w:tcW w:w="2140" w:type="dxa"/>
            <w:vAlign w:val="bottom"/>
            <w:vMerge w:val="restart"/>
          </w:tcPr>
          <w:p>
            <w:pPr>
              <w:jc w:val="center"/>
              <w:ind w:left="579"/>
              <w:spacing w:after="0"/>
              <w:rPr>
                <w:sz w:val="20"/>
                <w:szCs w:val="20"/>
                <w:color w:val="auto"/>
              </w:rPr>
            </w:pPr>
            <w:r>
              <w:rPr>
                <w:rFonts w:ascii="Arial" w:cs="Arial" w:eastAsia="Arial" w:hAnsi="Arial"/>
                <w:sz w:val="28"/>
                <w:szCs w:val="28"/>
                <w:b w:val="1"/>
                <w:bCs w:val="1"/>
                <w:color w:val="auto"/>
                <w:w w:val="89"/>
              </w:rPr>
              <w:t>atmosphere</w:t>
            </w:r>
          </w:p>
        </w:tc>
        <w:tc>
          <w:tcPr>
            <w:tcW w:w="0" w:type="dxa"/>
            <w:vAlign w:val="bottom"/>
          </w:tcPr>
          <w:p>
            <w:pPr>
              <w:spacing w:after="0"/>
              <w:rPr>
                <w:sz w:val="1"/>
                <w:szCs w:val="1"/>
                <w:color w:val="auto"/>
              </w:rPr>
            </w:pPr>
          </w:p>
        </w:tc>
      </w:tr>
      <w:tr>
        <w:trPr>
          <w:trHeight w:val="203"/>
        </w:trPr>
        <w:tc>
          <w:tcPr>
            <w:tcW w:w="1880" w:type="dxa"/>
            <w:vAlign w:val="bottom"/>
            <w:vMerge w:val="restart"/>
          </w:tcPr>
          <w:p>
            <w:pPr>
              <w:jc w:val="center"/>
              <w:ind w:right="639"/>
              <w:spacing w:after="0"/>
              <w:rPr>
                <w:sz w:val="20"/>
                <w:szCs w:val="20"/>
                <w:color w:val="auto"/>
              </w:rPr>
            </w:pPr>
            <w:r>
              <w:rPr>
                <w:rFonts w:ascii="Arial" w:cs="Arial" w:eastAsia="Arial" w:hAnsi="Arial"/>
                <w:sz w:val="28"/>
                <w:szCs w:val="28"/>
                <w:b w:val="1"/>
                <w:bCs w:val="1"/>
                <w:color w:val="auto"/>
                <w:w w:val="86"/>
              </w:rPr>
              <w:t>rooms</w:t>
            </w:r>
          </w:p>
        </w:tc>
        <w:tc>
          <w:tcPr>
            <w:tcW w:w="2980" w:type="dxa"/>
            <w:vAlign w:val="bottom"/>
            <w:vMerge w:val="continue"/>
          </w:tcPr>
          <w:p>
            <w:pPr>
              <w:spacing w:after="0"/>
              <w:rPr>
                <w:sz w:val="17"/>
                <w:szCs w:val="17"/>
                <w:color w:val="auto"/>
              </w:rPr>
            </w:pPr>
          </w:p>
        </w:tc>
        <w:tc>
          <w:tcPr>
            <w:tcW w:w="2500" w:type="dxa"/>
            <w:vAlign w:val="bottom"/>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88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120" w:type="dxa"/>
        <w:tblCellMar>
          <w:top w:w="0" w:type="dxa"/>
          <w:left w:w="0" w:type="dxa"/>
          <w:bottom w:w="0" w:type="dxa"/>
          <w:right w:w="0" w:type="dxa"/>
        </w:tblCellMar>
      </w:tblPr>
      <w:tr>
        <w:trPr>
          <w:trHeight w:val="341"/>
        </w:trPr>
        <w:tc>
          <w:tcPr>
            <w:tcW w:w="2080" w:type="dxa"/>
            <w:vAlign w:val="bottom"/>
          </w:tcPr>
          <w:p>
            <w:pPr>
              <w:jc w:val="center"/>
              <w:ind w:right="739"/>
              <w:spacing w:after="0"/>
              <w:rPr>
                <w:sz w:val="20"/>
                <w:szCs w:val="20"/>
                <w:color w:val="auto"/>
              </w:rPr>
            </w:pPr>
            <w:r>
              <w:rPr>
                <w:rFonts w:ascii="Arial" w:cs="Arial" w:eastAsia="Arial" w:hAnsi="Arial"/>
                <w:sz w:val="28"/>
                <w:szCs w:val="28"/>
                <w:b w:val="1"/>
                <w:bCs w:val="1"/>
                <w:color w:val="auto"/>
                <w:w w:val="83"/>
              </w:rPr>
              <w:t>Suggested</w:t>
            </w:r>
          </w:p>
        </w:tc>
        <w:tc>
          <w:tcPr>
            <w:tcW w:w="3100" w:type="dxa"/>
            <w:vAlign w:val="bottom"/>
            <w:vMerge w:val="restart"/>
          </w:tcPr>
          <w:p>
            <w:pPr>
              <w:ind w:left="860"/>
              <w:spacing w:after="0"/>
              <w:rPr>
                <w:sz w:val="20"/>
                <w:szCs w:val="20"/>
                <w:color w:val="auto"/>
              </w:rPr>
            </w:pPr>
            <w:r>
              <w:rPr>
                <w:rFonts w:ascii="Arial" w:cs="Arial" w:eastAsia="Arial" w:hAnsi="Arial"/>
                <w:sz w:val="28"/>
                <w:szCs w:val="28"/>
                <w:b w:val="1"/>
                <w:bCs w:val="1"/>
                <w:color w:val="auto"/>
              </w:rPr>
              <w:t>Wide aisles</w:t>
            </w:r>
          </w:p>
        </w:tc>
        <w:tc>
          <w:tcPr>
            <w:tcW w:w="1980" w:type="dxa"/>
            <w:vAlign w:val="bottom"/>
          </w:tcPr>
          <w:p>
            <w:pPr>
              <w:ind w:left="880"/>
              <w:spacing w:after="0"/>
              <w:rPr>
                <w:sz w:val="20"/>
                <w:szCs w:val="20"/>
                <w:color w:val="auto"/>
              </w:rPr>
            </w:pPr>
            <w:r>
              <w:rPr>
                <w:rFonts w:ascii="Arial" w:cs="Arial" w:eastAsia="Arial" w:hAnsi="Arial"/>
                <w:sz w:val="28"/>
                <w:szCs w:val="28"/>
                <w:b w:val="1"/>
                <w:bCs w:val="1"/>
                <w:color w:val="auto"/>
                <w:w w:val="87"/>
              </w:rPr>
              <w:t>One-stop</w:t>
            </w:r>
          </w:p>
        </w:tc>
        <w:tc>
          <w:tcPr>
            <w:tcW w:w="0" w:type="dxa"/>
            <w:vAlign w:val="bottom"/>
          </w:tcPr>
          <w:p>
            <w:pPr>
              <w:spacing w:after="0"/>
              <w:rPr>
                <w:sz w:val="1"/>
                <w:szCs w:val="1"/>
                <w:color w:val="auto"/>
              </w:rPr>
            </w:pPr>
          </w:p>
        </w:tc>
      </w:tr>
      <w:tr>
        <w:trPr>
          <w:trHeight w:val="353"/>
        </w:trPr>
        <w:tc>
          <w:tcPr>
            <w:tcW w:w="2080" w:type="dxa"/>
            <w:vAlign w:val="bottom"/>
          </w:tcPr>
          <w:p>
            <w:pPr>
              <w:jc w:val="center"/>
              <w:ind w:right="679"/>
              <w:spacing w:after="0"/>
              <w:rPr>
                <w:sz w:val="20"/>
                <w:szCs w:val="20"/>
                <w:color w:val="auto"/>
              </w:rPr>
            </w:pPr>
            <w:r>
              <w:rPr>
                <w:rFonts w:ascii="Arial" w:cs="Arial" w:eastAsia="Arial" w:hAnsi="Arial"/>
                <w:sz w:val="28"/>
                <w:szCs w:val="28"/>
                <w:b w:val="1"/>
                <w:bCs w:val="1"/>
                <w:color w:val="auto"/>
                <w:w w:val="93"/>
              </w:rPr>
              <w:t>wardrobe</w:t>
            </w:r>
          </w:p>
        </w:tc>
        <w:tc>
          <w:tcPr>
            <w:tcW w:w="3100" w:type="dxa"/>
            <w:vAlign w:val="bottom"/>
            <w:vMerge w:val="continue"/>
          </w:tcPr>
          <w:p>
            <w:pPr>
              <w:spacing w:after="0"/>
              <w:rPr>
                <w:sz w:val="24"/>
                <w:szCs w:val="24"/>
                <w:color w:val="auto"/>
              </w:rPr>
            </w:pPr>
          </w:p>
        </w:tc>
        <w:tc>
          <w:tcPr>
            <w:tcW w:w="1980" w:type="dxa"/>
            <w:vAlign w:val="bottom"/>
          </w:tcPr>
          <w:p>
            <w:pPr>
              <w:ind w:left="880"/>
              <w:spacing w:after="0"/>
              <w:rPr>
                <w:sz w:val="20"/>
                <w:szCs w:val="20"/>
                <w:color w:val="auto"/>
              </w:rPr>
            </w:pPr>
            <w:r>
              <w:rPr>
                <w:rFonts w:ascii="Arial" w:cs="Arial" w:eastAsia="Arial" w:hAnsi="Arial"/>
                <w:sz w:val="28"/>
                <w:szCs w:val="28"/>
                <w:b w:val="1"/>
                <w:bCs w:val="1"/>
                <w:color w:val="auto"/>
                <w:w w:val="85"/>
              </w:rPr>
              <w:t>shopping</w:t>
            </w:r>
          </w:p>
        </w:tc>
        <w:tc>
          <w:tcPr>
            <w:tcW w:w="0" w:type="dxa"/>
            <w:vAlign w:val="bottom"/>
          </w:tcPr>
          <w:p>
            <w:pPr>
              <w:spacing w:after="0"/>
              <w:rPr>
                <w:sz w:val="1"/>
                <w:szCs w:val="1"/>
                <w:color w:val="auto"/>
              </w:rPr>
            </w:pPr>
          </w:p>
        </w:tc>
      </w:tr>
      <w:tr>
        <w:trPr>
          <w:trHeight w:val="367"/>
        </w:trPr>
        <w:tc>
          <w:tcPr>
            <w:tcW w:w="2080" w:type="dxa"/>
            <w:vAlign w:val="bottom"/>
          </w:tcPr>
          <w:p>
            <w:pPr>
              <w:jc w:val="center"/>
              <w:ind w:right="759"/>
              <w:spacing w:after="0"/>
              <w:rPr>
                <w:sz w:val="20"/>
                <w:szCs w:val="20"/>
                <w:color w:val="auto"/>
              </w:rPr>
            </w:pPr>
            <w:r>
              <w:rPr>
                <w:rFonts w:ascii="Arial" w:cs="Arial" w:eastAsia="Arial" w:hAnsi="Arial"/>
                <w:sz w:val="28"/>
                <w:szCs w:val="28"/>
                <w:b w:val="1"/>
                <w:bCs w:val="1"/>
                <w:color w:val="auto"/>
                <w:w w:val="85"/>
              </w:rPr>
              <w:t>solutions</w:t>
            </w:r>
          </w:p>
        </w:tc>
        <w:tc>
          <w:tcPr>
            <w:tcW w:w="3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7</w:t>
      </w:r>
    </w:p>
    <w:p>
      <w:pPr>
        <w:sectPr>
          <w:pgSz w:w="11900" w:h="16838" w:orient="portrait"/>
          <w:cols w:equalWidth="0" w:num="1">
            <w:col w:w="9960"/>
          </w:cols>
          <w:pgMar w:left="1040" w:top="1052" w:right="899" w:bottom="1440" w:gutter="0" w:footer="0" w:header="0"/>
        </w:sectPr>
      </w:pPr>
    </w:p>
    <w:bookmarkStart w:id="10" w:name="page11"/>
    <w:bookmarkEnd w:id="10"/>
    <w:p>
      <w:pPr>
        <w:spacing w:after="0"/>
        <w:rPr>
          <w:sz w:val="20"/>
          <w:szCs w:val="20"/>
          <w:color w:val="auto"/>
        </w:rPr>
      </w:pPr>
      <w:r>
        <w:rPr>
          <w:rFonts w:ascii="Arial" w:cs="Arial" w:eastAsia="Arial" w:hAnsi="Arial"/>
          <w:sz w:val="62"/>
          <w:szCs w:val="62"/>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Responding with Destination XL</w:t>
      </w:r>
      <w:r>
        <w:rPr>
          <w:rFonts w:ascii="Arial" w:cs="Arial" w:eastAsia="Arial" w:hAnsi="Arial"/>
          <w:sz w:val="84"/>
          <w:szCs w:val="84"/>
          <w:b w:val="1"/>
          <w:bCs w:val="1"/>
          <w:color w:val="5F5F5F"/>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89"/>
        </w:trPr>
        <w:tc>
          <w:tcPr>
            <w:tcW w:w="4440" w:type="dxa"/>
            <w:vAlign w:val="bottom"/>
          </w:tcPr>
          <w:p>
            <w:pPr>
              <w:ind w:left="300"/>
              <w:spacing w:after="0"/>
              <w:rPr>
                <w:sz w:val="20"/>
                <w:szCs w:val="20"/>
                <w:color w:val="auto"/>
              </w:rPr>
            </w:pPr>
            <w:r>
              <w:rPr>
                <w:rFonts w:ascii="Arial" w:cs="Arial" w:eastAsia="Arial" w:hAnsi="Arial"/>
                <w:sz w:val="25"/>
                <w:szCs w:val="25"/>
                <w:b w:val="1"/>
                <w:bCs w:val="1"/>
                <w:color w:val="558ED5"/>
              </w:rPr>
              <w:t>2010</w:t>
            </w:r>
          </w:p>
        </w:tc>
        <w:tc>
          <w:tcPr>
            <w:tcW w:w="4480" w:type="dxa"/>
            <w:vAlign w:val="bottom"/>
          </w:tcPr>
          <w:p>
            <w:pPr>
              <w:jc w:val="center"/>
              <w:ind w:right="2276"/>
              <w:spacing w:after="0"/>
              <w:rPr>
                <w:sz w:val="20"/>
                <w:szCs w:val="20"/>
                <w:color w:val="auto"/>
              </w:rPr>
            </w:pPr>
            <w:r>
              <w:rPr>
                <w:rFonts w:ascii="Arial" w:cs="Arial" w:eastAsia="Arial" w:hAnsi="Arial"/>
                <w:sz w:val="25"/>
                <w:szCs w:val="25"/>
                <w:b w:val="1"/>
                <w:bCs w:val="1"/>
                <w:color w:val="558ED5"/>
                <w:w w:val="97"/>
              </w:rPr>
              <w:t>2012</w:t>
            </w:r>
          </w:p>
        </w:tc>
      </w:tr>
      <w:tr>
        <w:trPr>
          <w:trHeight w:val="251"/>
        </w:trPr>
        <w:tc>
          <w:tcPr>
            <w:tcW w:w="4440" w:type="dxa"/>
            <w:vAlign w:val="bottom"/>
          </w:tcPr>
          <w:p>
            <w:pPr>
              <w:spacing w:after="0" w:line="251" w:lineRule="exact"/>
              <w:rPr>
                <w:sz w:val="20"/>
                <w:szCs w:val="20"/>
                <w:color w:val="auto"/>
              </w:rPr>
            </w:pPr>
            <w:r>
              <w:rPr>
                <w:rFonts w:ascii="Arial" w:cs="Arial" w:eastAsia="Arial" w:hAnsi="Arial"/>
                <w:sz w:val="22"/>
                <w:szCs w:val="22"/>
                <w:color w:val="auto"/>
              </w:rPr>
              <w:t>Opened 4 DXL</w:t>
            </w:r>
          </w:p>
        </w:tc>
        <w:tc>
          <w:tcPr>
            <w:tcW w:w="4480" w:type="dxa"/>
            <w:vAlign w:val="bottom"/>
          </w:tcPr>
          <w:p>
            <w:pPr>
              <w:jc w:val="center"/>
              <w:ind w:right="2316"/>
              <w:spacing w:after="0"/>
              <w:rPr>
                <w:sz w:val="20"/>
                <w:szCs w:val="20"/>
                <w:color w:val="auto"/>
              </w:rPr>
            </w:pPr>
            <w:r>
              <w:rPr>
                <w:rFonts w:ascii="Arial" w:cs="Arial" w:eastAsia="Arial" w:hAnsi="Arial"/>
                <w:sz w:val="19"/>
                <w:szCs w:val="19"/>
                <w:color w:val="auto"/>
                <w:w w:val="99"/>
              </w:rPr>
              <w:t>Opened 32</w:t>
            </w:r>
          </w:p>
        </w:tc>
      </w:tr>
      <w:tr>
        <w:trPr>
          <w:trHeight w:val="285"/>
        </w:trPr>
        <w:tc>
          <w:tcPr>
            <w:tcW w:w="4440" w:type="dxa"/>
            <w:vAlign w:val="bottom"/>
          </w:tcPr>
          <w:p>
            <w:pPr>
              <w:ind w:left="20"/>
              <w:spacing w:after="0"/>
              <w:rPr>
                <w:sz w:val="20"/>
                <w:szCs w:val="20"/>
                <w:color w:val="auto"/>
              </w:rPr>
            </w:pPr>
            <w:r>
              <w:rPr>
                <w:rFonts w:ascii="Arial" w:cs="Arial" w:eastAsia="Arial" w:hAnsi="Arial"/>
                <w:sz w:val="22"/>
                <w:szCs w:val="22"/>
                <w:color w:val="auto"/>
              </w:rPr>
              <w:t>concept stores</w:t>
            </w:r>
          </w:p>
        </w:tc>
        <w:tc>
          <w:tcPr>
            <w:tcW w:w="4480" w:type="dxa"/>
            <w:vAlign w:val="bottom"/>
          </w:tcPr>
          <w:p>
            <w:pPr>
              <w:jc w:val="center"/>
              <w:ind w:right="2276"/>
              <w:spacing w:after="0"/>
              <w:rPr>
                <w:sz w:val="20"/>
                <w:szCs w:val="20"/>
                <w:color w:val="auto"/>
              </w:rPr>
            </w:pPr>
            <w:r>
              <w:rPr>
                <w:rFonts w:ascii="Arial" w:cs="Arial" w:eastAsia="Arial" w:hAnsi="Arial"/>
                <w:sz w:val="19"/>
                <w:szCs w:val="19"/>
                <w:color w:val="auto"/>
                <w:w w:val="99"/>
              </w:rPr>
              <w:t>DXL stores</w:t>
            </w:r>
          </w:p>
        </w:tc>
      </w:tr>
      <w:tr>
        <w:trPr>
          <w:trHeight w:val="785"/>
        </w:trPr>
        <w:tc>
          <w:tcPr>
            <w:tcW w:w="4440" w:type="dxa"/>
            <w:vAlign w:val="bottom"/>
          </w:tcPr>
          <w:p>
            <w:pPr>
              <w:ind w:left="3000"/>
              <w:spacing w:after="0"/>
              <w:rPr>
                <w:sz w:val="20"/>
                <w:szCs w:val="20"/>
                <w:color w:val="auto"/>
              </w:rPr>
            </w:pPr>
            <w:r>
              <w:rPr>
                <w:rFonts w:ascii="Arial" w:cs="Arial" w:eastAsia="Arial" w:hAnsi="Arial"/>
                <w:sz w:val="25"/>
                <w:szCs w:val="25"/>
                <w:b w:val="1"/>
                <w:bCs w:val="1"/>
                <w:color w:val="558ED5"/>
              </w:rPr>
              <w:t>2011</w:t>
            </w:r>
          </w:p>
        </w:tc>
        <w:tc>
          <w:tcPr>
            <w:tcW w:w="4480" w:type="dxa"/>
            <w:vAlign w:val="bottom"/>
          </w:tcPr>
          <w:p>
            <w:pPr>
              <w:jc w:val="right"/>
              <w:ind w:right="336"/>
              <w:spacing w:after="0"/>
              <w:rPr>
                <w:sz w:val="20"/>
                <w:szCs w:val="20"/>
                <w:color w:val="auto"/>
              </w:rPr>
            </w:pPr>
            <w:r>
              <w:rPr>
                <w:rFonts w:ascii="Arial" w:cs="Arial" w:eastAsia="Arial" w:hAnsi="Arial"/>
                <w:sz w:val="25"/>
                <w:szCs w:val="25"/>
                <w:b w:val="1"/>
                <w:bCs w:val="1"/>
                <w:color w:val="558ED5"/>
              </w:rPr>
              <w:t>2013</w:t>
            </w:r>
          </w:p>
        </w:tc>
      </w:tr>
      <w:tr>
        <w:trPr>
          <w:trHeight w:val="270"/>
        </w:trPr>
        <w:tc>
          <w:tcPr>
            <w:tcW w:w="4440" w:type="dxa"/>
            <w:vAlign w:val="bottom"/>
          </w:tcPr>
          <w:p>
            <w:pPr>
              <w:ind w:left="2840"/>
              <w:spacing w:after="0"/>
              <w:rPr>
                <w:sz w:val="20"/>
                <w:szCs w:val="20"/>
                <w:color w:val="auto"/>
              </w:rPr>
            </w:pPr>
            <w:r>
              <w:rPr>
                <w:rFonts w:ascii="Arial" w:cs="Arial" w:eastAsia="Arial" w:hAnsi="Arial"/>
                <w:sz w:val="22"/>
                <w:szCs w:val="22"/>
                <w:color w:val="auto"/>
              </w:rPr>
              <w:t>Opened 12</w:t>
            </w:r>
          </w:p>
        </w:tc>
        <w:tc>
          <w:tcPr>
            <w:tcW w:w="4480" w:type="dxa"/>
            <w:vAlign w:val="bottom"/>
          </w:tcPr>
          <w:p>
            <w:pPr>
              <w:jc w:val="center"/>
              <w:ind w:left="2996"/>
              <w:spacing w:after="0"/>
              <w:rPr>
                <w:sz w:val="20"/>
                <w:szCs w:val="20"/>
                <w:color w:val="auto"/>
              </w:rPr>
            </w:pPr>
            <w:r>
              <w:rPr>
                <w:rFonts w:ascii="Arial" w:cs="Arial" w:eastAsia="Arial" w:hAnsi="Arial"/>
                <w:sz w:val="19"/>
                <w:szCs w:val="19"/>
                <w:color w:val="auto"/>
                <w:w w:val="99"/>
              </w:rPr>
              <w:t>Expect to Open</w:t>
            </w:r>
          </w:p>
        </w:tc>
      </w:tr>
      <w:tr>
        <w:trPr>
          <w:trHeight w:val="285"/>
        </w:trPr>
        <w:tc>
          <w:tcPr>
            <w:tcW w:w="4440" w:type="dxa"/>
            <w:vAlign w:val="bottom"/>
          </w:tcPr>
          <w:p>
            <w:pPr>
              <w:ind w:left="2860"/>
              <w:spacing w:after="0"/>
              <w:rPr>
                <w:sz w:val="20"/>
                <w:szCs w:val="20"/>
                <w:color w:val="auto"/>
              </w:rPr>
            </w:pPr>
            <w:r>
              <w:rPr>
                <w:rFonts w:ascii="Arial" w:cs="Arial" w:eastAsia="Arial" w:hAnsi="Arial"/>
                <w:sz w:val="22"/>
                <w:szCs w:val="22"/>
                <w:color w:val="auto"/>
              </w:rPr>
              <w:t>DXL stores</w:t>
            </w:r>
          </w:p>
        </w:tc>
        <w:tc>
          <w:tcPr>
            <w:tcW w:w="4480" w:type="dxa"/>
            <w:vAlign w:val="bottom"/>
          </w:tcPr>
          <w:p>
            <w:pPr>
              <w:ind w:left="3180"/>
              <w:spacing w:after="0"/>
              <w:rPr>
                <w:sz w:val="20"/>
                <w:szCs w:val="20"/>
                <w:color w:val="auto"/>
              </w:rPr>
            </w:pPr>
            <w:r>
              <w:rPr>
                <w:rFonts w:ascii="Arial" w:cs="Arial" w:eastAsia="Arial" w:hAnsi="Arial"/>
                <w:sz w:val="19"/>
                <w:szCs w:val="19"/>
                <w:color w:val="auto"/>
                <w:w w:val="97"/>
              </w:rPr>
              <w:t>~60 DXL stores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28"/>
          <w:szCs w:val="28"/>
          <w:color w:val="auto"/>
        </w:rPr>
        <w:t>Opportunity for accelerated growth and profitability</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8</w:t>
      </w:r>
    </w:p>
    <w:p>
      <w:pPr>
        <w:sectPr>
          <w:pgSz w:w="11900" w:h="16838" w:orient="portrait"/>
          <w:cols w:equalWidth="0" w:num="1">
            <w:col w:w="10260"/>
          </w:cols>
          <w:pgMar w:left="740" w:top="794" w:right="8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360"/>
        <w:spacing w:after="0"/>
        <w:rPr>
          <w:sz w:val="20"/>
          <w:szCs w:val="20"/>
          <w:color w:val="auto"/>
        </w:rPr>
      </w:pPr>
      <w:r>
        <w:rPr>
          <w:rFonts w:ascii="Arial" w:cs="Arial" w:eastAsia="Arial" w:hAnsi="Arial"/>
          <w:sz w:val="17"/>
          <w:szCs w:val="17"/>
          <w:color w:val="898989"/>
        </w:rPr>
        <w:t>9</w:t>
      </w:r>
    </w:p>
    <w:p>
      <w:pPr>
        <w:sectPr>
          <w:pgSz w:w="11900" w:h="16838" w:orient="portrait"/>
          <w:cols w:equalWidth="0" w:num="1">
            <w:col w:w="9460"/>
          </w:cols>
          <w:pgMar w:left="1440" w:top="1440" w:right="9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2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10</w:t>
      </w:r>
    </w:p>
    <w:p>
      <w:pPr>
        <w:sectPr>
          <w:pgSz w:w="11900" w:h="16838" w:orient="portrait"/>
          <w:cols w:equalWidth="0" w:num="1">
            <w:col w:w="9460"/>
          </w:cols>
          <w:pgMar w:left="1440" w:top="1440" w:right="9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2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11</w:t>
      </w:r>
    </w:p>
    <w:p>
      <w:pPr>
        <w:sectPr>
          <w:pgSz w:w="11900" w:h="16838" w:orient="portrait"/>
          <w:cols w:equalWidth="0" w:num="1">
            <w:col w:w="9460"/>
          </w:cols>
          <w:pgMar w:left="1440" w:top="1440" w:right="9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2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12</w:t>
      </w:r>
    </w:p>
    <w:p>
      <w:pPr>
        <w:sectPr>
          <w:pgSz w:w="11900" w:h="16838" w:orient="portrait"/>
          <w:cols w:equalWidth="0" w:num="1">
            <w:col w:w="9460"/>
          </w:cols>
          <w:pgMar w:left="1440" w:top="1440" w:right="9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28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13</w:t>
      </w:r>
    </w:p>
    <w:p>
      <w:pPr>
        <w:sectPr>
          <w:pgSz w:w="11900" w:h="16838" w:orient="portrait"/>
          <w:cols w:equalWidth="0" w:num="1">
            <w:col w:w="9460"/>
          </w:cols>
          <w:pgMar w:left="1440" w:top="1440" w:right="999" w:bottom="1440" w:gutter="0" w:footer="0" w:header="0"/>
        </w:sectPr>
      </w:pPr>
    </w:p>
    <w:bookmarkStart w:id="16" w:name="page17"/>
    <w:bookmarkEnd w:id="16"/>
    <w:p>
      <w:pPr>
        <w:spacing w:after="0"/>
        <w:rPr>
          <w:sz w:val="20"/>
          <w:szCs w:val="20"/>
          <w:color w:val="auto"/>
        </w:rPr>
      </w:pPr>
      <w:r>
        <w:rPr>
          <w:rFonts w:ascii="Arial" w:cs="Arial" w:eastAsia="Arial" w:hAnsi="Arial"/>
          <w:sz w:val="60"/>
          <w:szCs w:val="60"/>
          <w:b w:val="1"/>
          <w:bCs w:val="1"/>
          <w:color w:val="595959"/>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Large Selection of Name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14</w:t>
      </w:r>
    </w:p>
    <w:p>
      <w:pPr>
        <w:sectPr>
          <w:pgSz w:w="11900" w:h="16838" w:orient="portrait"/>
          <w:cols w:equalWidth="0" w:num="1">
            <w:col w:w="9580"/>
          </w:cols>
          <w:pgMar w:left="1420" w:top="770" w:right="899" w:bottom="1440" w:gutter="0" w:footer="0" w:header="0"/>
        </w:sectPr>
      </w:pPr>
    </w:p>
    <w:bookmarkStart w:id="17" w:name="page18"/>
    <w:bookmarkEnd w:id="17"/>
    <w:p>
      <w:pPr>
        <w:spacing w:after="0"/>
        <w:rPr>
          <w:sz w:val="20"/>
          <w:szCs w:val="20"/>
          <w:color w:val="auto"/>
        </w:rPr>
      </w:pPr>
      <w:r>
        <w:rPr>
          <w:rFonts w:ascii="Arial" w:cs="Arial" w:eastAsia="Arial" w:hAnsi="Arial"/>
          <w:sz w:val="57"/>
          <w:szCs w:val="57"/>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Casual Male XL vs. Destination XL</w:t>
      </w:r>
      <w:r>
        <w:rPr>
          <w:rFonts w:ascii="Arial" w:cs="Arial" w:eastAsia="Arial" w:hAnsi="Arial"/>
          <w:sz w:val="76"/>
          <w:szCs w:val="76"/>
          <w:b w:val="1"/>
          <w:bCs w:val="1"/>
          <w:color w:val="5F5F5F"/>
          <w:vertAlign w:val="superscript"/>
        </w:rPr>
        <w:t>®</w:t>
      </w:r>
    </w:p>
    <w:p>
      <w:pPr>
        <w:sectPr>
          <w:pgSz w:w="11900" w:h="16838" w:orient="portrait"/>
          <w:cols w:equalWidth="0" w:num="1">
            <w:col w:w="10360"/>
          </w:cols>
          <w:pgMar w:left="640" w:top="104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60"/>
        <w:spacing w:after="0"/>
        <w:rPr>
          <w:sz w:val="20"/>
          <w:szCs w:val="20"/>
          <w:color w:val="auto"/>
        </w:rPr>
      </w:pPr>
      <w:r>
        <w:rPr>
          <w:rFonts w:ascii="Arial" w:cs="Arial" w:eastAsia="Arial" w:hAnsi="Arial"/>
          <w:sz w:val="28"/>
          <w:szCs w:val="28"/>
          <w:color w:val="auto"/>
        </w:rPr>
        <w:t>Average</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28"/>
          <w:szCs w:val="28"/>
          <w:b w:val="1"/>
          <w:bCs w:val="1"/>
          <w:color w:val="558ED5"/>
        </w:rPr>
        <w:t>Store size</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558ED5"/>
        </w:rPr>
        <w:t>Sales per sq. ft.</w:t>
      </w:r>
    </w:p>
    <w:p>
      <w:pPr>
        <w:spacing w:after="0" w:line="242"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558ED5"/>
        </w:rPr>
        <w:t>Build out costs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8"/>
          <w:szCs w:val="28"/>
          <w:b w:val="1"/>
          <w:bCs w:val="1"/>
          <w:color w:val="558ED5"/>
        </w:rPr>
        <w:t>Occupancy costs</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28"/>
          <w:szCs w:val="28"/>
          <w:b w:val="1"/>
          <w:bCs w:val="1"/>
          <w:color w:val="558ED5"/>
        </w:rPr>
        <w:t>Dollars per</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28"/>
          <w:szCs w:val="28"/>
          <w:b w:val="1"/>
          <w:bCs w:val="1"/>
          <w:color w:val="558ED5"/>
        </w:rPr>
        <w:t>transaction</w:t>
      </w:r>
    </w:p>
    <w:p>
      <w:pPr>
        <w:spacing w:after="0" w:line="157" w:lineRule="exact"/>
        <w:rPr>
          <w:sz w:val="20"/>
          <w:szCs w:val="20"/>
          <w:color w:val="auto"/>
        </w:rPr>
      </w:pPr>
    </w:p>
    <w:p>
      <w:pPr>
        <w:jc w:val="center"/>
        <w:ind w:left="20"/>
        <w:spacing w:after="0"/>
        <w:rPr>
          <w:sz w:val="20"/>
          <w:szCs w:val="20"/>
          <w:color w:val="auto"/>
        </w:rPr>
      </w:pPr>
      <w:r>
        <w:rPr>
          <w:rFonts w:ascii="Arial" w:cs="Arial" w:eastAsia="Arial" w:hAnsi="Arial"/>
          <w:sz w:val="28"/>
          <w:szCs w:val="28"/>
          <w:b w:val="1"/>
          <w:bCs w:val="1"/>
          <w:color w:val="558ED5"/>
        </w:rPr>
        <w:t>Style choices</w:t>
      </w:r>
    </w:p>
    <w:p>
      <w:pPr>
        <w:spacing w:after="0" w:line="242" w:lineRule="exact"/>
        <w:rPr>
          <w:sz w:val="20"/>
          <w:szCs w:val="20"/>
          <w:color w:val="auto"/>
        </w:rPr>
      </w:pPr>
    </w:p>
    <w:p>
      <w:pPr>
        <w:jc w:val="center"/>
        <w:ind w:left="80"/>
        <w:spacing w:after="0"/>
        <w:rPr>
          <w:sz w:val="20"/>
          <w:szCs w:val="20"/>
          <w:color w:val="auto"/>
        </w:rPr>
      </w:pPr>
      <w:r>
        <w:rPr>
          <w:rFonts w:ascii="Arial" w:cs="Arial" w:eastAsia="Arial" w:hAnsi="Arial"/>
          <w:sz w:val="26"/>
          <w:szCs w:val="26"/>
          <w:b w:val="1"/>
          <w:bCs w:val="1"/>
          <w:color w:val="558ED5"/>
        </w:rPr>
        <w:t>Private label brands</w:t>
      </w:r>
    </w:p>
    <w:p>
      <w:pPr>
        <w:spacing w:after="0" w:line="265" w:lineRule="exact"/>
        <w:rPr>
          <w:sz w:val="20"/>
          <w:szCs w:val="20"/>
          <w:color w:val="auto"/>
        </w:rPr>
      </w:pPr>
    </w:p>
    <w:p>
      <w:pPr>
        <w:jc w:val="center"/>
        <w:ind w:left="20"/>
        <w:spacing w:after="0"/>
        <w:rPr>
          <w:sz w:val="20"/>
          <w:szCs w:val="20"/>
          <w:color w:val="auto"/>
        </w:rPr>
      </w:pPr>
      <w:r>
        <w:rPr>
          <w:rFonts w:ascii="Arial" w:cs="Arial" w:eastAsia="Arial" w:hAnsi="Arial"/>
          <w:sz w:val="28"/>
          <w:szCs w:val="28"/>
          <w:b w:val="1"/>
          <w:bCs w:val="1"/>
          <w:color w:val="558ED5"/>
        </w:rPr>
        <w:t>Name brands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9"/>
        </w:trPr>
        <w:tc>
          <w:tcPr>
            <w:tcW w:w="1780" w:type="dxa"/>
            <w:vAlign w:val="bottom"/>
          </w:tcPr>
          <w:p>
            <w:pPr>
              <w:spacing w:after="0"/>
              <w:rPr>
                <w:sz w:val="20"/>
                <w:szCs w:val="20"/>
                <w:color w:val="auto"/>
              </w:rPr>
            </w:pPr>
            <w:r>
              <w:rPr>
                <w:rFonts w:ascii="Arial" w:cs="Arial" w:eastAsia="Arial" w:hAnsi="Arial"/>
                <w:sz w:val="28"/>
                <w:szCs w:val="28"/>
                <w:color w:val="auto"/>
              </w:rPr>
              <w:t>3,400 sq. ft.</w:t>
            </w:r>
          </w:p>
        </w:tc>
        <w:tc>
          <w:tcPr>
            <w:tcW w:w="2780" w:type="dxa"/>
            <w:vAlign w:val="bottom"/>
          </w:tcPr>
          <w:p>
            <w:pPr>
              <w:ind w:left="880"/>
              <w:spacing w:after="0"/>
              <w:rPr>
                <w:sz w:val="20"/>
                <w:szCs w:val="20"/>
                <w:color w:val="auto"/>
              </w:rPr>
            </w:pPr>
            <w:r>
              <w:rPr>
                <w:rFonts w:ascii="Arial" w:cs="Arial" w:eastAsia="Arial" w:hAnsi="Arial"/>
                <w:sz w:val="28"/>
                <w:szCs w:val="28"/>
                <w:color w:val="auto"/>
              </w:rPr>
              <w:t>8,400 sq. ft.</w:t>
            </w:r>
          </w:p>
        </w:tc>
      </w:tr>
      <w:tr>
        <w:trPr>
          <w:trHeight w:val="576"/>
        </w:trPr>
        <w:tc>
          <w:tcPr>
            <w:tcW w:w="1780" w:type="dxa"/>
            <w:vAlign w:val="bottom"/>
          </w:tcPr>
          <w:p>
            <w:pPr>
              <w:jc w:val="center"/>
              <w:ind w:right="319"/>
              <w:spacing w:after="0"/>
              <w:rPr>
                <w:sz w:val="20"/>
                <w:szCs w:val="20"/>
                <w:color w:val="auto"/>
              </w:rPr>
            </w:pPr>
            <w:r>
              <w:rPr>
                <w:rFonts w:ascii="Arial" w:cs="Arial" w:eastAsia="Arial" w:hAnsi="Arial"/>
                <w:sz w:val="28"/>
                <w:szCs w:val="28"/>
                <w:color w:val="auto"/>
                <w:w w:val="89"/>
              </w:rPr>
              <w:t>$166</w:t>
            </w:r>
          </w:p>
        </w:tc>
        <w:tc>
          <w:tcPr>
            <w:tcW w:w="2780" w:type="dxa"/>
            <w:vAlign w:val="bottom"/>
          </w:tcPr>
          <w:p>
            <w:pPr>
              <w:ind w:left="420"/>
              <w:spacing w:after="0"/>
              <w:rPr>
                <w:sz w:val="20"/>
                <w:szCs w:val="20"/>
                <w:color w:val="auto"/>
              </w:rPr>
            </w:pPr>
            <w:r>
              <w:rPr>
                <w:rFonts w:ascii="Arial" w:cs="Arial" w:eastAsia="Arial" w:hAnsi="Arial"/>
                <w:sz w:val="28"/>
                <w:szCs w:val="28"/>
                <w:color w:val="auto"/>
                <w:w w:val="90"/>
              </w:rPr>
              <w:t xml:space="preserve">$147 </w:t>
            </w:r>
            <w:r>
              <w:rPr>
                <w:rFonts w:ascii="Arial" w:cs="Arial" w:eastAsia="Arial" w:hAnsi="Arial"/>
                <w:sz w:val="28"/>
                <w:szCs w:val="28"/>
                <w:i w:val="1"/>
                <w:iCs w:val="1"/>
                <w:color w:val="auto"/>
                <w:w w:val="90"/>
              </w:rPr>
              <w:t>($230 by 2016)</w:t>
            </w:r>
          </w:p>
        </w:tc>
      </w:tr>
      <w:tr>
        <w:trPr>
          <w:trHeight w:val="564"/>
        </w:trPr>
        <w:tc>
          <w:tcPr>
            <w:tcW w:w="1780" w:type="dxa"/>
            <w:vAlign w:val="bottom"/>
          </w:tcPr>
          <w:p>
            <w:pPr>
              <w:jc w:val="center"/>
              <w:ind w:right="299"/>
              <w:spacing w:after="0"/>
              <w:rPr>
                <w:sz w:val="20"/>
                <w:szCs w:val="20"/>
                <w:color w:val="auto"/>
              </w:rPr>
            </w:pPr>
            <w:r>
              <w:rPr>
                <w:rFonts w:ascii="Arial" w:cs="Arial" w:eastAsia="Arial" w:hAnsi="Arial"/>
                <w:sz w:val="28"/>
                <w:szCs w:val="28"/>
                <w:color w:val="auto"/>
                <w:w w:val="89"/>
              </w:rPr>
              <w:t>$50</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94"/>
              </w:rPr>
              <w:t>$70</w:t>
            </w:r>
          </w:p>
        </w:tc>
      </w:tr>
      <w:tr>
        <w:trPr>
          <w:trHeight w:val="564"/>
        </w:trPr>
        <w:tc>
          <w:tcPr>
            <w:tcW w:w="1780" w:type="dxa"/>
            <w:vAlign w:val="bottom"/>
          </w:tcPr>
          <w:p>
            <w:pPr>
              <w:jc w:val="center"/>
              <w:ind w:right="299"/>
              <w:spacing w:after="0"/>
              <w:rPr>
                <w:sz w:val="20"/>
                <w:szCs w:val="20"/>
                <w:color w:val="auto"/>
              </w:rPr>
            </w:pPr>
            <w:r>
              <w:rPr>
                <w:rFonts w:ascii="Arial" w:cs="Arial" w:eastAsia="Arial" w:hAnsi="Arial"/>
                <w:sz w:val="28"/>
                <w:szCs w:val="28"/>
                <w:color w:val="auto"/>
                <w:w w:val="89"/>
              </w:rPr>
              <w:t>$30</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94"/>
              </w:rPr>
              <w:t>$30</w:t>
            </w:r>
          </w:p>
        </w:tc>
      </w:tr>
      <w:tr>
        <w:trPr>
          <w:trHeight w:val="682"/>
        </w:trPr>
        <w:tc>
          <w:tcPr>
            <w:tcW w:w="1780" w:type="dxa"/>
            <w:vAlign w:val="bottom"/>
          </w:tcPr>
          <w:p>
            <w:pPr>
              <w:jc w:val="center"/>
              <w:ind w:right="299"/>
              <w:spacing w:after="0"/>
              <w:rPr>
                <w:sz w:val="20"/>
                <w:szCs w:val="20"/>
                <w:color w:val="auto"/>
              </w:rPr>
            </w:pPr>
            <w:r>
              <w:rPr>
                <w:rFonts w:ascii="Arial" w:cs="Arial" w:eastAsia="Arial" w:hAnsi="Arial"/>
                <w:sz w:val="28"/>
                <w:szCs w:val="28"/>
                <w:color w:val="auto"/>
                <w:w w:val="89"/>
              </w:rPr>
              <w:t>$97</w:t>
            </w:r>
          </w:p>
        </w:tc>
        <w:tc>
          <w:tcPr>
            <w:tcW w:w="2780" w:type="dxa"/>
            <w:vAlign w:val="bottom"/>
          </w:tcPr>
          <w:p>
            <w:pPr>
              <w:jc w:val="right"/>
              <w:ind w:right="819"/>
              <w:spacing w:after="0"/>
              <w:rPr>
                <w:sz w:val="20"/>
                <w:szCs w:val="20"/>
                <w:color w:val="auto"/>
              </w:rPr>
            </w:pPr>
            <w:r>
              <w:rPr>
                <w:rFonts w:ascii="Arial" w:cs="Arial" w:eastAsia="Arial" w:hAnsi="Arial"/>
                <w:sz w:val="28"/>
                <w:szCs w:val="28"/>
                <w:color w:val="auto"/>
              </w:rPr>
              <w:t>$137</w:t>
            </w:r>
          </w:p>
        </w:tc>
      </w:tr>
      <w:tr>
        <w:trPr>
          <w:trHeight w:val="682"/>
        </w:trPr>
        <w:tc>
          <w:tcPr>
            <w:tcW w:w="1780" w:type="dxa"/>
            <w:vAlign w:val="bottom"/>
          </w:tcPr>
          <w:p>
            <w:pPr>
              <w:jc w:val="center"/>
              <w:ind w:right="299"/>
              <w:spacing w:after="0"/>
              <w:rPr>
                <w:sz w:val="20"/>
                <w:szCs w:val="20"/>
                <w:color w:val="auto"/>
              </w:rPr>
            </w:pPr>
            <w:r>
              <w:rPr>
                <w:rFonts w:ascii="Arial" w:cs="Arial" w:eastAsia="Arial" w:hAnsi="Arial"/>
                <w:sz w:val="28"/>
                <w:szCs w:val="28"/>
                <w:color w:val="auto"/>
                <w:w w:val="89"/>
              </w:rPr>
              <w:t>600</w:t>
            </w:r>
          </w:p>
        </w:tc>
        <w:tc>
          <w:tcPr>
            <w:tcW w:w="2780" w:type="dxa"/>
            <w:vAlign w:val="bottom"/>
          </w:tcPr>
          <w:p>
            <w:pPr>
              <w:jc w:val="right"/>
              <w:ind w:right="779"/>
              <w:spacing w:after="0"/>
              <w:rPr>
                <w:sz w:val="20"/>
                <w:szCs w:val="20"/>
                <w:color w:val="auto"/>
              </w:rPr>
            </w:pPr>
            <w:r>
              <w:rPr>
                <w:rFonts w:ascii="Arial" w:cs="Arial" w:eastAsia="Arial" w:hAnsi="Arial"/>
                <w:sz w:val="28"/>
                <w:szCs w:val="28"/>
                <w:color w:val="auto"/>
              </w:rPr>
              <w:t>2,000</w:t>
            </w:r>
          </w:p>
        </w:tc>
      </w:tr>
      <w:tr>
        <w:trPr>
          <w:trHeight w:val="564"/>
        </w:trPr>
        <w:tc>
          <w:tcPr>
            <w:tcW w:w="1780" w:type="dxa"/>
            <w:vAlign w:val="bottom"/>
          </w:tcPr>
          <w:p>
            <w:pPr>
              <w:jc w:val="right"/>
              <w:ind w:right="839"/>
              <w:spacing w:after="0"/>
              <w:rPr>
                <w:sz w:val="20"/>
                <w:szCs w:val="20"/>
                <w:color w:val="auto"/>
              </w:rPr>
            </w:pPr>
            <w:r>
              <w:rPr>
                <w:rFonts w:ascii="Arial" w:cs="Arial" w:eastAsia="Arial" w:hAnsi="Arial"/>
                <w:sz w:val="28"/>
                <w:szCs w:val="28"/>
                <w:color w:val="auto"/>
              </w:rPr>
              <w:t>10</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89"/>
              </w:rPr>
              <w:t>15</w:t>
            </w:r>
          </w:p>
        </w:tc>
      </w:tr>
      <w:tr>
        <w:trPr>
          <w:trHeight w:val="564"/>
        </w:trPr>
        <w:tc>
          <w:tcPr>
            <w:tcW w:w="1780" w:type="dxa"/>
            <w:vAlign w:val="bottom"/>
          </w:tcPr>
          <w:p>
            <w:pPr>
              <w:jc w:val="right"/>
              <w:ind w:right="919"/>
              <w:spacing w:after="0"/>
              <w:rPr>
                <w:sz w:val="20"/>
                <w:szCs w:val="20"/>
                <w:color w:val="auto"/>
              </w:rPr>
            </w:pPr>
            <w:r>
              <w:rPr>
                <w:rFonts w:ascii="Arial" w:cs="Arial" w:eastAsia="Arial" w:hAnsi="Arial"/>
                <w:sz w:val="28"/>
                <w:szCs w:val="28"/>
                <w:color w:val="auto"/>
              </w:rPr>
              <w:t>8</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89"/>
              </w:rPr>
              <w:t>30</w:t>
            </w:r>
          </w:p>
        </w:tc>
      </w:tr>
    </w:tbl>
    <w:p>
      <w:pPr>
        <w:spacing w:after="0" w:line="200" w:lineRule="exact"/>
        <w:rPr>
          <w:sz w:val="20"/>
          <w:szCs w:val="20"/>
          <w:color w:val="auto"/>
        </w:rPr>
      </w:pPr>
    </w:p>
    <w:p>
      <w:pPr>
        <w:sectPr>
          <w:pgSz w:w="11900" w:h="16838" w:orient="portrait"/>
          <w:cols w:equalWidth="0" w:num="2">
            <w:col w:w="2980" w:space="720"/>
            <w:col w:w="6660"/>
          </w:cols>
          <w:pgMar w:left="640" w:top="1041" w:right="899" w:bottom="1440" w:gutter="0" w:footer="0" w:header="0"/>
          <w:type w:val="continuous"/>
        </w:sectPr>
      </w:pPr>
    </w:p>
    <w:p>
      <w:pPr>
        <w:spacing w:after="0" w:line="75" w:lineRule="exact"/>
        <w:rPr>
          <w:sz w:val="20"/>
          <w:szCs w:val="20"/>
          <w:color w:val="auto"/>
        </w:rPr>
      </w:pPr>
    </w:p>
    <w:p>
      <w:pPr>
        <w:ind w:left="10160"/>
        <w:spacing w:after="0"/>
        <w:rPr>
          <w:sz w:val="20"/>
          <w:szCs w:val="20"/>
          <w:color w:val="auto"/>
        </w:rPr>
      </w:pPr>
      <w:r>
        <w:rPr>
          <w:rFonts w:ascii="Arial" w:cs="Arial" w:eastAsia="Arial" w:hAnsi="Arial"/>
          <w:sz w:val="17"/>
          <w:szCs w:val="17"/>
          <w:color w:val="898989"/>
        </w:rPr>
        <w:t>15</w:t>
      </w:r>
    </w:p>
    <w:p>
      <w:pPr>
        <w:sectPr>
          <w:pgSz w:w="11900" w:h="16838" w:orient="portrait"/>
          <w:cols w:equalWidth="0" w:num="1">
            <w:col w:w="10360"/>
          </w:cols>
          <w:pgMar w:left="640" w:top="1041" w:right="8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Market Consolidation to DXL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340" w:type="dxa"/>
        <w:tblCellMar>
          <w:top w:w="0" w:type="dxa"/>
          <w:left w:w="0" w:type="dxa"/>
          <w:bottom w:w="0" w:type="dxa"/>
          <w:right w:w="0" w:type="dxa"/>
        </w:tblCellMar>
      </w:tblPr>
      <w:tr>
        <w:trPr>
          <w:trHeight w:val="198"/>
        </w:trPr>
        <w:tc>
          <w:tcPr>
            <w:tcW w:w="1700" w:type="dxa"/>
            <w:vAlign w:val="bottom"/>
            <w:vMerge w:val="restart"/>
          </w:tcPr>
          <w:p>
            <w:pPr>
              <w:spacing w:after="0"/>
              <w:rPr>
                <w:sz w:val="20"/>
                <w:szCs w:val="20"/>
                <w:color w:val="auto"/>
              </w:rPr>
            </w:pPr>
            <w:r>
              <w:rPr>
                <w:rFonts w:ascii="Arial" w:cs="Arial" w:eastAsia="Arial" w:hAnsi="Arial"/>
                <w:sz w:val="18"/>
                <w:szCs w:val="18"/>
                <w:color w:val="auto"/>
                <w:w w:val="97"/>
              </w:rPr>
              <w:t>9451 Schaumburg, IL</w:t>
            </w:r>
          </w:p>
        </w:tc>
        <w:tc>
          <w:tcPr>
            <w:tcW w:w="1900" w:type="dxa"/>
            <w:vAlign w:val="bottom"/>
          </w:tcPr>
          <w:p>
            <w:pPr>
              <w:ind w:left="160"/>
              <w:spacing w:after="0"/>
              <w:rPr>
                <w:sz w:val="20"/>
                <w:szCs w:val="20"/>
                <w:color w:val="auto"/>
              </w:rPr>
            </w:pPr>
            <w:r>
              <w:rPr>
                <w:rFonts w:ascii="Arial" w:cs="Arial" w:eastAsia="Arial" w:hAnsi="Arial"/>
                <w:sz w:val="15"/>
                <w:szCs w:val="15"/>
                <w:b w:val="1"/>
                <w:bCs w:val="1"/>
                <w:color w:val="auto"/>
              </w:rPr>
              <w:t>DXL</w:t>
            </w:r>
          </w:p>
        </w:tc>
        <w:tc>
          <w:tcPr>
            <w:tcW w:w="1700" w:type="dxa"/>
            <w:vAlign w:val="bottom"/>
            <w:vMerge w:val="restart"/>
          </w:tcPr>
          <w:p>
            <w:pPr>
              <w:jc w:val="center"/>
              <w:ind w:left="592"/>
              <w:spacing w:after="0"/>
              <w:rPr>
                <w:sz w:val="20"/>
                <w:szCs w:val="20"/>
                <w:color w:val="auto"/>
              </w:rPr>
            </w:pPr>
            <w:r>
              <w:rPr>
                <w:rFonts w:ascii="Arial" w:cs="Arial" w:eastAsia="Arial" w:hAnsi="Arial"/>
                <w:sz w:val="18"/>
                <w:szCs w:val="18"/>
                <w:color w:val="auto"/>
                <w:w w:val="92"/>
              </w:rPr>
              <w:t>9183 Niles, IL</w:t>
            </w:r>
          </w:p>
        </w:tc>
        <w:tc>
          <w:tcPr>
            <w:tcW w:w="0" w:type="dxa"/>
            <w:vAlign w:val="bottom"/>
          </w:tcPr>
          <w:p>
            <w:pPr>
              <w:spacing w:after="0"/>
              <w:rPr>
                <w:sz w:val="1"/>
                <w:szCs w:val="1"/>
                <w:color w:val="auto"/>
              </w:rPr>
            </w:pPr>
          </w:p>
        </w:tc>
      </w:tr>
      <w:tr>
        <w:trPr>
          <w:trHeight w:val="136"/>
        </w:trPr>
        <w:tc>
          <w:tcPr>
            <w:tcW w:w="1700" w:type="dxa"/>
            <w:vAlign w:val="bottom"/>
            <w:vMerge w:val="continue"/>
          </w:tcPr>
          <w:p>
            <w:pPr>
              <w:spacing w:after="0"/>
              <w:rPr>
                <w:sz w:val="11"/>
                <w:szCs w:val="11"/>
                <w:color w:val="auto"/>
              </w:rPr>
            </w:pPr>
          </w:p>
        </w:tc>
        <w:tc>
          <w:tcPr>
            <w:tcW w:w="190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Schaumburg, IL</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700" w:type="dxa"/>
            <w:vAlign w:val="bottom"/>
            <w:vMerge w:val="restart"/>
          </w:tcPr>
          <w:p>
            <w:pPr>
              <w:jc w:val="center"/>
              <w:ind w:left="592"/>
              <w:spacing w:after="0"/>
              <w:rPr>
                <w:sz w:val="20"/>
                <w:szCs w:val="20"/>
                <w:color w:val="auto"/>
              </w:rPr>
            </w:pPr>
            <w:r>
              <w:rPr>
                <w:rFonts w:ascii="Arial" w:cs="Arial" w:eastAsia="Arial" w:hAnsi="Arial"/>
                <w:sz w:val="18"/>
                <w:szCs w:val="18"/>
                <w:color w:val="auto"/>
                <w:w w:val="90"/>
              </w:rPr>
              <w:t>11.4 miles</w:t>
            </w:r>
          </w:p>
        </w:tc>
        <w:tc>
          <w:tcPr>
            <w:tcW w:w="0" w:type="dxa"/>
            <w:vAlign w:val="bottom"/>
          </w:tcPr>
          <w:p>
            <w:pPr>
              <w:spacing w:after="0"/>
              <w:rPr>
                <w:sz w:val="1"/>
                <w:szCs w:val="1"/>
                <w:color w:val="auto"/>
              </w:rPr>
            </w:pPr>
          </w:p>
        </w:tc>
      </w:tr>
      <w:tr>
        <w:trPr>
          <w:trHeight w:val="77"/>
        </w:trPr>
        <w:tc>
          <w:tcPr>
            <w:tcW w:w="17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Arial" w:cs="Arial" w:eastAsia="Arial" w:hAnsi="Arial"/>
                <w:sz w:val="15"/>
                <w:szCs w:val="15"/>
                <w:b w:val="1"/>
                <w:bCs w:val="1"/>
                <w:color w:val="auto"/>
              </w:rPr>
              <w:t>0.9 miles</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840"/>
        <w:spacing w:after="0"/>
        <w:rPr>
          <w:sz w:val="20"/>
          <w:szCs w:val="20"/>
          <w:color w:val="auto"/>
        </w:rPr>
      </w:pPr>
      <w:r>
        <w:rPr>
          <w:rFonts w:ascii="Arial" w:cs="Arial" w:eastAsia="Arial" w:hAnsi="Arial"/>
          <w:sz w:val="94"/>
          <w:szCs w:val="94"/>
          <w:b w:val="1"/>
          <w:bCs w:val="1"/>
          <w:color w:val="auto"/>
        </w:rPr>
        <w:t>Chicago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9512 Bloomingdale, IL</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11.2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28"/>
          <w:szCs w:val="28"/>
          <w:color w:val="auto"/>
        </w:rPr>
        <w:t>Customers are willing to drive up to 20 miles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16</w:t>
      </w:r>
    </w:p>
    <w:p>
      <w:pPr>
        <w:sectPr>
          <w:pgSz w:w="11900" w:h="16838" w:orient="portrait"/>
          <w:cols w:equalWidth="0" w:num="1">
            <w:col w:w="9960"/>
          </w:cols>
          <w:pgMar w:left="1040" w:top="1052" w:right="899" w:bottom="1440" w:gutter="0" w:footer="0" w:header="0"/>
        </w:sectPr>
      </w:pPr>
    </w:p>
    <w:bookmarkStart w:id="19" w:name="page20"/>
    <w:bookmarkEnd w:id="19"/>
    <w:p>
      <w:pPr>
        <w:spacing w:after="0"/>
        <w:rPr>
          <w:sz w:val="20"/>
          <w:szCs w:val="20"/>
          <w:color w:val="auto"/>
        </w:rPr>
      </w:pPr>
      <w:r>
        <w:rPr>
          <w:rFonts w:ascii="Arial" w:cs="Arial" w:eastAsia="Arial" w:hAnsi="Arial"/>
          <w:sz w:val="53"/>
          <w:szCs w:val="53"/>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Comps Reflect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250"/>
        </w:trPr>
        <w:tc>
          <w:tcPr>
            <w:tcW w:w="620" w:type="dxa"/>
            <w:vAlign w:val="bottom"/>
          </w:tcPr>
          <w:p>
            <w:pPr>
              <w:jc w:val="right"/>
              <w:spacing w:after="0"/>
              <w:rPr>
                <w:sz w:val="20"/>
                <w:szCs w:val="20"/>
                <w:color w:val="auto"/>
              </w:rPr>
            </w:pPr>
            <w:r>
              <w:rPr>
                <w:rFonts w:ascii="Arial" w:cs="Arial" w:eastAsia="Arial" w:hAnsi="Arial"/>
                <w:sz w:val="19"/>
                <w:szCs w:val="19"/>
                <w:b w:val="1"/>
                <w:bCs w:val="1"/>
                <w:color w:val="697D88"/>
                <w:w w:val="96"/>
              </w:rPr>
              <w:t>20.0%</w:t>
            </w:r>
          </w:p>
        </w:tc>
        <w:tc>
          <w:tcPr>
            <w:tcW w:w="8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6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697D88"/>
              </w:rPr>
              <w:t>16.3%</w:t>
            </w:r>
          </w:p>
        </w:tc>
        <w:tc>
          <w:tcPr>
            <w:tcW w:w="2680" w:type="dxa"/>
            <w:vAlign w:val="bottom"/>
          </w:tcPr>
          <w:p>
            <w:pPr>
              <w:jc w:val="right"/>
              <w:ind w:right="1866"/>
              <w:spacing w:after="0"/>
              <w:rPr>
                <w:sz w:val="20"/>
                <w:szCs w:val="20"/>
                <w:color w:val="auto"/>
              </w:rPr>
            </w:pPr>
            <w:r>
              <w:rPr>
                <w:rFonts w:ascii="Arial" w:cs="Arial" w:eastAsia="Arial" w:hAnsi="Arial"/>
                <w:sz w:val="19"/>
                <w:szCs w:val="19"/>
                <w:b w:val="1"/>
                <w:bCs w:val="1"/>
                <w:color w:val="697D88"/>
              </w:rPr>
              <w:t>17.1%</w:t>
            </w:r>
          </w:p>
        </w:tc>
        <w:tc>
          <w:tcPr>
            <w:tcW w:w="74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15.8%</w:t>
            </w: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26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20" w:type="dxa"/>
            <w:vAlign w:val="bottom"/>
          </w:tcPr>
          <w:p>
            <w:pPr>
              <w:spacing w:after="0"/>
              <w:rPr>
                <w:sz w:val="9"/>
                <w:szCs w:val="9"/>
                <w:color w:val="auto"/>
              </w:rPr>
            </w:pPr>
          </w:p>
        </w:tc>
        <w:tc>
          <w:tcPr>
            <w:tcW w:w="840" w:type="dxa"/>
            <w:vAlign w:val="bottom"/>
            <w:vMerge w:val="restart"/>
          </w:tcPr>
          <w:p>
            <w:pPr>
              <w:jc w:val="right"/>
              <w:ind w:right="126"/>
              <w:spacing w:after="0"/>
              <w:rPr>
                <w:sz w:val="20"/>
                <w:szCs w:val="20"/>
                <w:color w:val="auto"/>
              </w:rPr>
            </w:pPr>
            <w:r>
              <w:rPr>
                <w:rFonts w:ascii="Arial" w:cs="Arial" w:eastAsia="Arial" w:hAnsi="Arial"/>
                <w:sz w:val="19"/>
                <w:szCs w:val="19"/>
                <w:b w:val="1"/>
                <w:bCs w:val="1"/>
                <w:color w:val="697D88"/>
              </w:rPr>
              <w:t>14.5%</w:t>
            </w:r>
          </w:p>
        </w:tc>
        <w:tc>
          <w:tcPr>
            <w:tcW w:w="2660" w:type="dxa"/>
            <w:vAlign w:val="bottom"/>
          </w:tcPr>
          <w:p>
            <w:pPr>
              <w:spacing w:after="0"/>
              <w:rPr>
                <w:sz w:val="9"/>
                <w:szCs w:val="9"/>
                <w:color w:val="auto"/>
              </w:rPr>
            </w:pPr>
          </w:p>
        </w:tc>
        <w:tc>
          <w:tcPr>
            <w:tcW w:w="268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697D88"/>
              </w:rPr>
              <w:t>15.0%</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20" w:type="dxa"/>
            <w:vAlign w:val="bottom"/>
            <w:vMerge w:val="restart"/>
          </w:tcPr>
          <w:p>
            <w:pPr>
              <w:jc w:val="right"/>
              <w:spacing w:after="0"/>
              <w:rPr>
                <w:sz w:val="20"/>
                <w:szCs w:val="20"/>
                <w:color w:val="auto"/>
              </w:rPr>
            </w:pPr>
            <w:r>
              <w:rPr>
                <w:rFonts w:ascii="Arial" w:cs="Arial" w:eastAsia="Arial" w:hAnsi="Arial"/>
                <w:sz w:val="19"/>
                <w:szCs w:val="19"/>
                <w:b w:val="1"/>
                <w:bCs w:val="1"/>
                <w:color w:val="697D88"/>
                <w:w w:val="96"/>
              </w:rPr>
              <w:t>15.0%</w:t>
            </w:r>
          </w:p>
        </w:tc>
        <w:tc>
          <w:tcPr>
            <w:tcW w:w="8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6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2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660" w:type="dxa"/>
            <w:vAlign w:val="bottom"/>
            <w:vMerge w:val="restart"/>
          </w:tcPr>
          <w:p>
            <w:pPr>
              <w:jc w:val="right"/>
              <w:ind w:right="1046"/>
              <w:spacing w:after="0"/>
              <w:rPr>
                <w:sz w:val="20"/>
                <w:szCs w:val="20"/>
                <w:color w:val="auto"/>
              </w:rPr>
            </w:pPr>
            <w:r>
              <w:rPr>
                <w:rFonts w:ascii="Arial" w:cs="Arial" w:eastAsia="Arial" w:hAnsi="Arial"/>
                <w:sz w:val="19"/>
                <w:szCs w:val="19"/>
                <w:b w:val="1"/>
                <w:bCs w:val="1"/>
                <w:color w:val="697D88"/>
              </w:rPr>
              <w:t>12.8%</w:t>
            </w:r>
          </w:p>
        </w:tc>
        <w:tc>
          <w:tcPr>
            <w:tcW w:w="2680" w:type="dxa"/>
            <w:vAlign w:val="bottom"/>
          </w:tcPr>
          <w:p>
            <w:pPr>
              <w:jc w:val="right"/>
              <w:ind w:right="926"/>
              <w:spacing w:after="0"/>
              <w:rPr>
                <w:sz w:val="20"/>
                <w:szCs w:val="20"/>
                <w:color w:val="auto"/>
              </w:rPr>
            </w:pPr>
            <w:r>
              <w:rPr>
                <w:rFonts w:ascii="Arial" w:cs="Arial" w:eastAsia="Arial" w:hAnsi="Arial"/>
                <w:sz w:val="19"/>
                <w:szCs w:val="19"/>
                <w:b w:val="1"/>
                <w:bCs w:val="1"/>
                <w:color w:val="697D88"/>
              </w:rPr>
              <w:t>13.8%</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60" w:type="dxa"/>
            <w:vAlign w:val="bottom"/>
            <w:vMerge w:val="continue"/>
          </w:tcPr>
          <w:p>
            <w:pPr>
              <w:spacing w:after="0"/>
              <w:rPr>
                <w:sz w:val="20"/>
                <w:szCs w:val="20"/>
                <w:color w:val="auto"/>
              </w:rPr>
            </w:pPr>
          </w:p>
        </w:tc>
        <w:tc>
          <w:tcPr>
            <w:tcW w:w="2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620" w:type="dxa"/>
            <w:vAlign w:val="bottom"/>
          </w:tcPr>
          <w:p>
            <w:pPr>
              <w:jc w:val="right"/>
              <w:spacing w:after="0"/>
              <w:rPr>
                <w:sz w:val="20"/>
                <w:szCs w:val="20"/>
                <w:color w:val="auto"/>
              </w:rPr>
            </w:pPr>
            <w:r>
              <w:rPr>
                <w:rFonts w:ascii="Arial" w:cs="Arial" w:eastAsia="Arial" w:hAnsi="Arial"/>
                <w:sz w:val="19"/>
                <w:szCs w:val="19"/>
                <w:b w:val="1"/>
                <w:bCs w:val="1"/>
                <w:color w:val="697D88"/>
                <w:w w:val="96"/>
              </w:rPr>
              <w:t>10.0%</w:t>
            </w:r>
          </w:p>
        </w:tc>
        <w:tc>
          <w:tcPr>
            <w:tcW w:w="840" w:type="dxa"/>
            <w:vAlign w:val="bottom"/>
          </w:tcPr>
          <w:p>
            <w:pPr>
              <w:spacing w:after="0"/>
              <w:rPr>
                <w:sz w:val="24"/>
                <w:szCs w:val="24"/>
                <w:color w:val="auto"/>
              </w:rPr>
            </w:pPr>
          </w:p>
        </w:tc>
        <w:tc>
          <w:tcPr>
            <w:tcW w:w="2660" w:type="dxa"/>
            <w:vAlign w:val="bottom"/>
          </w:tcPr>
          <w:p>
            <w:pPr>
              <w:jc w:val="right"/>
              <w:ind w:right="1946"/>
              <w:spacing w:after="0"/>
              <w:rPr>
                <w:sz w:val="20"/>
                <w:szCs w:val="20"/>
                <w:color w:val="auto"/>
              </w:rPr>
            </w:pPr>
            <w:r>
              <w:rPr>
                <w:rFonts w:ascii="Arial" w:cs="Arial" w:eastAsia="Arial" w:hAnsi="Arial"/>
                <w:sz w:val="19"/>
                <w:szCs w:val="19"/>
                <w:b w:val="1"/>
                <w:bCs w:val="1"/>
                <w:color w:val="697D88"/>
              </w:rPr>
              <w:t>9.0%</w:t>
            </w:r>
          </w:p>
        </w:tc>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4"/>
        </w:trPr>
        <w:tc>
          <w:tcPr>
            <w:tcW w:w="620" w:type="dxa"/>
            <w:vAlign w:val="bottom"/>
          </w:tcPr>
          <w:p>
            <w:pPr>
              <w:jc w:val="right"/>
              <w:spacing w:after="0"/>
              <w:rPr>
                <w:sz w:val="20"/>
                <w:szCs w:val="20"/>
                <w:color w:val="auto"/>
              </w:rPr>
            </w:pPr>
            <w:r>
              <w:rPr>
                <w:rFonts w:ascii="Arial" w:cs="Arial" w:eastAsia="Arial" w:hAnsi="Arial"/>
                <w:sz w:val="19"/>
                <w:szCs w:val="19"/>
                <w:b w:val="1"/>
                <w:bCs w:val="1"/>
                <w:color w:val="697D88"/>
              </w:rPr>
              <w:t>5.0%</w:t>
            </w:r>
          </w:p>
        </w:tc>
        <w:tc>
          <w:tcPr>
            <w:tcW w:w="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tbl>
      <w:tblPr>
        <w:tblLayout w:type="fixed"/>
        <w:tblInd w:w="800" w:type="dxa"/>
        <w:tblCellMar>
          <w:top w:w="0" w:type="dxa"/>
          <w:left w:w="0" w:type="dxa"/>
          <w:bottom w:w="0" w:type="dxa"/>
          <w:right w:w="0" w:type="dxa"/>
        </w:tblCellMar>
      </w:tblPr>
      <w:tr>
        <w:trPr>
          <w:trHeight w:val="247"/>
        </w:trPr>
        <w:tc>
          <w:tcPr>
            <w:tcW w:w="1520" w:type="dxa"/>
            <w:vAlign w:val="bottom"/>
          </w:tcPr>
          <w:p>
            <w:pPr>
              <w:spacing w:after="0"/>
              <w:rPr>
                <w:sz w:val="21"/>
                <w:szCs w:val="21"/>
                <w:color w:val="auto"/>
              </w:rPr>
            </w:pPr>
          </w:p>
        </w:tc>
        <w:tc>
          <w:tcPr>
            <w:tcW w:w="2180" w:type="dxa"/>
            <w:vAlign w:val="bottom"/>
          </w:tcPr>
          <w:p>
            <w:pPr>
              <w:jc w:val="right"/>
              <w:ind w:right="386"/>
              <w:spacing w:after="0"/>
              <w:rPr>
                <w:sz w:val="20"/>
                <w:szCs w:val="20"/>
                <w:color w:val="auto"/>
              </w:rPr>
            </w:pPr>
            <w:r>
              <w:rPr>
                <w:rFonts w:ascii="Arial" w:cs="Arial" w:eastAsia="Arial" w:hAnsi="Arial"/>
                <w:sz w:val="19"/>
                <w:szCs w:val="19"/>
                <w:b w:val="1"/>
                <w:bCs w:val="1"/>
                <w:color w:val="697D88"/>
              </w:rPr>
              <w:t>2.1%</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697D88"/>
                <w:w w:val="96"/>
              </w:rPr>
              <w:t>2.0%</w:t>
            </w:r>
          </w:p>
        </w:tc>
        <w:tc>
          <w:tcPr>
            <w:tcW w:w="1100" w:type="dxa"/>
            <w:vAlign w:val="bottom"/>
          </w:tcPr>
          <w:p>
            <w:pPr>
              <w:jc w:val="right"/>
              <w:ind w:right="146"/>
              <w:spacing w:after="0"/>
              <w:rPr>
                <w:sz w:val="20"/>
                <w:szCs w:val="20"/>
                <w:color w:val="auto"/>
              </w:rPr>
            </w:pPr>
            <w:r>
              <w:rPr>
                <w:rFonts w:ascii="Arial" w:cs="Arial" w:eastAsia="Arial" w:hAnsi="Arial"/>
                <w:sz w:val="19"/>
                <w:szCs w:val="19"/>
                <w:b w:val="1"/>
                <w:bCs w:val="1"/>
                <w:color w:val="697D88"/>
              </w:rPr>
              <w:t>2.0%</w:t>
            </w:r>
          </w:p>
        </w:tc>
        <w:tc>
          <w:tcPr>
            <w:tcW w:w="1600" w:type="dxa"/>
            <w:vAlign w:val="bottom"/>
            <w:vMerge w:val="restart"/>
          </w:tcPr>
          <w:p>
            <w:pPr>
              <w:jc w:val="right"/>
              <w:ind w:right="826"/>
              <w:spacing w:after="0"/>
              <w:rPr>
                <w:sz w:val="20"/>
                <w:szCs w:val="20"/>
                <w:color w:val="auto"/>
              </w:rPr>
            </w:pPr>
            <w:r>
              <w:rPr>
                <w:rFonts w:ascii="Arial" w:cs="Arial" w:eastAsia="Arial" w:hAnsi="Arial"/>
                <w:sz w:val="19"/>
                <w:szCs w:val="19"/>
                <w:b w:val="1"/>
                <w:bCs w:val="1"/>
                <w:color w:val="697D88"/>
              </w:rPr>
              <w:t>1.5%</w:t>
            </w:r>
          </w:p>
        </w:tc>
        <w:tc>
          <w:tcPr>
            <w:tcW w:w="82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1.5%</w:t>
            </w:r>
          </w:p>
        </w:tc>
        <w:tc>
          <w:tcPr>
            <w:tcW w:w="0" w:type="dxa"/>
            <w:vAlign w:val="bottom"/>
          </w:tcPr>
          <w:p>
            <w:pPr>
              <w:spacing w:after="0"/>
              <w:rPr>
                <w:sz w:val="1"/>
                <w:szCs w:val="1"/>
                <w:color w:val="auto"/>
              </w:rPr>
            </w:pPr>
          </w:p>
        </w:tc>
      </w:tr>
      <w:tr>
        <w:trPr>
          <w:trHeight w:val="41"/>
        </w:trPr>
        <w:tc>
          <w:tcPr>
            <w:tcW w:w="152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0.7%</w:t>
            </w:r>
          </w:p>
        </w:tc>
        <w:tc>
          <w:tcPr>
            <w:tcW w:w="2180" w:type="dxa"/>
            <w:vAlign w:val="bottom"/>
            <w:vMerge w:val="restart"/>
          </w:tcPr>
          <w:p>
            <w:pPr>
              <w:jc w:val="right"/>
              <w:ind w:right="1226"/>
              <w:spacing w:after="0"/>
              <w:rPr>
                <w:sz w:val="20"/>
                <w:szCs w:val="20"/>
                <w:color w:val="auto"/>
              </w:rPr>
            </w:pPr>
            <w:r>
              <w:rPr>
                <w:rFonts w:ascii="Arial" w:cs="Arial" w:eastAsia="Arial" w:hAnsi="Arial"/>
                <w:sz w:val="19"/>
                <w:szCs w:val="19"/>
                <w:b w:val="1"/>
                <w:bCs w:val="1"/>
                <w:color w:val="697D88"/>
              </w:rPr>
              <w:t>0.8%</w:t>
            </w: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52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jc w:val="right"/>
              <w:ind w:right="6"/>
              <w:spacing w:after="0" w:line="205" w:lineRule="exact"/>
              <w:rPr>
                <w:sz w:val="20"/>
                <w:szCs w:val="20"/>
                <w:color w:val="auto"/>
              </w:rPr>
            </w:pPr>
            <w:r>
              <w:rPr>
                <w:rFonts w:ascii="Arial" w:cs="Arial" w:eastAsia="Arial" w:hAnsi="Arial"/>
                <w:sz w:val="19"/>
                <w:szCs w:val="19"/>
                <w:b w:val="1"/>
                <w:bCs w:val="1"/>
                <w:color w:val="697D88"/>
              </w:rPr>
              <w:t>0.5%</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tcPr>
          <w:p>
            <w:pPr>
              <w:jc w:val="right"/>
              <w:ind w:right="986"/>
              <w:spacing w:after="0"/>
              <w:rPr>
                <w:sz w:val="20"/>
                <w:szCs w:val="20"/>
                <w:color w:val="auto"/>
              </w:rPr>
            </w:pPr>
            <w:r>
              <w:rPr>
                <w:rFonts w:ascii="Arial" w:cs="Arial" w:eastAsia="Arial" w:hAnsi="Arial"/>
                <w:sz w:val="19"/>
                <w:szCs w:val="19"/>
                <w:b w:val="1"/>
                <w:bCs w:val="1"/>
                <w:color w:val="697D88"/>
                <w:w w:val="96"/>
              </w:rPr>
              <w:t>0.0%</w:t>
            </w:r>
          </w:p>
        </w:tc>
        <w:tc>
          <w:tcPr>
            <w:tcW w:w="2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20" w:type="dxa"/>
            <w:vAlign w:val="bottom"/>
          </w:tcPr>
          <w:p>
            <w:pPr>
              <w:jc w:val="right"/>
              <w:ind w:right="6"/>
              <w:spacing w:after="0"/>
              <w:rPr>
                <w:sz w:val="20"/>
                <w:szCs w:val="20"/>
                <w:color w:val="auto"/>
              </w:rPr>
            </w:pPr>
            <w:r>
              <w:rPr>
                <w:rFonts w:ascii="Arial" w:cs="Arial" w:eastAsia="Arial" w:hAnsi="Arial"/>
                <w:sz w:val="19"/>
                <w:szCs w:val="19"/>
                <w:b w:val="1"/>
                <w:bCs w:val="1"/>
                <w:color w:val="697D88"/>
              </w:rPr>
              <w:t>Q3 2011</w:t>
            </w:r>
          </w:p>
        </w:tc>
        <w:tc>
          <w:tcPr>
            <w:tcW w:w="2700" w:type="dxa"/>
            <w:vAlign w:val="bottom"/>
            <w:gridSpan w:val="2"/>
          </w:tcPr>
          <w:p>
            <w:pPr>
              <w:jc w:val="center"/>
              <w:spacing w:after="0"/>
              <w:rPr>
                <w:sz w:val="20"/>
                <w:szCs w:val="20"/>
                <w:color w:val="auto"/>
              </w:rPr>
            </w:pPr>
            <w:r>
              <w:rPr>
                <w:rFonts w:ascii="Arial" w:cs="Arial" w:eastAsia="Arial" w:hAnsi="Arial"/>
                <w:sz w:val="19"/>
                <w:szCs w:val="19"/>
                <w:b w:val="1"/>
                <w:bCs w:val="1"/>
                <w:color w:val="697D88"/>
              </w:rPr>
              <w:t>Q4 2011  FY 2011  Q1 2012</w:t>
            </w:r>
          </w:p>
        </w:tc>
        <w:tc>
          <w:tcPr>
            <w:tcW w:w="2700" w:type="dxa"/>
            <w:vAlign w:val="bottom"/>
            <w:gridSpan w:val="2"/>
          </w:tcPr>
          <w:p>
            <w:pPr>
              <w:jc w:val="right"/>
              <w:ind w:right="26"/>
              <w:spacing w:after="0"/>
              <w:rPr>
                <w:sz w:val="20"/>
                <w:szCs w:val="20"/>
                <w:color w:val="auto"/>
              </w:rPr>
            </w:pPr>
            <w:r>
              <w:rPr>
                <w:rFonts w:ascii="Arial" w:cs="Arial" w:eastAsia="Arial" w:hAnsi="Arial"/>
                <w:sz w:val="19"/>
                <w:szCs w:val="19"/>
                <w:b w:val="1"/>
                <w:bCs w:val="1"/>
                <w:color w:val="697D88"/>
              </w:rPr>
              <w:t>Q2 2012  Q3 2012  Q4 2012</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697D88"/>
              </w:rPr>
              <w:t>FY 2012</w:t>
            </w:r>
          </w:p>
        </w:tc>
        <w:tc>
          <w:tcPr>
            <w:tcW w:w="0" w:type="dxa"/>
            <w:vAlign w:val="bottom"/>
          </w:tcPr>
          <w:p>
            <w:pPr>
              <w:spacing w:after="0"/>
              <w:rPr>
                <w:sz w:val="1"/>
                <w:szCs w:val="1"/>
                <w:color w:val="auto"/>
              </w:rPr>
            </w:pPr>
          </w:p>
        </w:tc>
      </w:tr>
      <w:tr>
        <w:trPr>
          <w:trHeight w:val="529"/>
        </w:trPr>
        <w:tc>
          <w:tcPr>
            <w:tcW w:w="1520" w:type="dxa"/>
            <w:vAlign w:val="bottom"/>
          </w:tcPr>
          <w:p>
            <w:pPr>
              <w:spacing w:after="0"/>
              <w:rPr>
                <w:sz w:val="24"/>
                <w:szCs w:val="24"/>
                <w:color w:val="auto"/>
              </w:rPr>
            </w:pPr>
          </w:p>
        </w:tc>
        <w:tc>
          <w:tcPr>
            <w:tcW w:w="2180" w:type="dxa"/>
            <w:vAlign w:val="bottom"/>
          </w:tcPr>
          <w:p>
            <w:pPr>
              <w:jc w:val="center"/>
              <w:ind w:left="386"/>
              <w:spacing w:after="0"/>
              <w:rPr>
                <w:sz w:val="20"/>
                <w:szCs w:val="20"/>
                <w:color w:val="auto"/>
              </w:rPr>
            </w:pPr>
            <w:r>
              <w:rPr>
                <w:rFonts w:ascii="Arial" w:cs="Arial" w:eastAsia="Arial" w:hAnsi="Arial"/>
                <w:sz w:val="19"/>
                <w:szCs w:val="19"/>
                <w:b w:val="1"/>
                <w:bCs w:val="1"/>
                <w:color w:val="697D88"/>
                <w:w w:val="98"/>
              </w:rPr>
              <w:t>DXL Comparables</w:t>
            </w:r>
          </w:p>
        </w:tc>
        <w:tc>
          <w:tcPr>
            <w:tcW w:w="3220" w:type="dxa"/>
            <w:vAlign w:val="bottom"/>
            <w:gridSpan w:val="3"/>
          </w:tcPr>
          <w:p>
            <w:pPr>
              <w:jc w:val="right"/>
              <w:ind w:right="626"/>
              <w:spacing w:after="0"/>
              <w:rPr>
                <w:sz w:val="20"/>
                <w:szCs w:val="20"/>
                <w:color w:val="auto"/>
              </w:rPr>
            </w:pPr>
            <w:r>
              <w:rPr>
                <w:rFonts w:ascii="Arial" w:cs="Arial" w:eastAsia="Arial" w:hAnsi="Arial"/>
                <w:sz w:val="19"/>
                <w:szCs w:val="19"/>
                <w:b w:val="1"/>
                <w:bCs w:val="1"/>
                <w:color w:val="697D88"/>
              </w:rPr>
              <w:t>Total DXLG Comparables*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47"/>
        </w:trPr>
        <w:tc>
          <w:tcPr>
            <w:tcW w:w="6940" w:type="dxa"/>
            <w:vAlign w:val="bottom"/>
          </w:tcPr>
          <w:p>
            <w:pPr>
              <w:spacing w:after="0"/>
              <w:rPr>
                <w:sz w:val="20"/>
                <w:szCs w:val="20"/>
                <w:color w:val="auto"/>
              </w:rPr>
            </w:pPr>
            <w:r>
              <w:rPr>
                <w:rFonts w:ascii="Arial" w:cs="Arial" w:eastAsia="Arial" w:hAnsi="Arial"/>
                <w:sz w:val="20"/>
                <w:szCs w:val="20"/>
                <w:color w:val="auto"/>
              </w:rPr>
              <w:t>*Total DXLG Comparables consist of all stores,</w:t>
            </w:r>
          </w:p>
        </w:tc>
        <w:tc>
          <w:tcPr>
            <w:tcW w:w="3300" w:type="dxa"/>
            <w:vAlign w:val="bottom"/>
            <w:vMerge w:val="restart"/>
          </w:tcPr>
          <w:p>
            <w:pPr>
              <w:jc w:val="right"/>
              <w:spacing w:after="0"/>
              <w:rPr>
                <w:sz w:val="20"/>
                <w:szCs w:val="20"/>
                <w:color w:val="auto"/>
              </w:rPr>
            </w:pPr>
            <w:r>
              <w:rPr>
                <w:rFonts w:ascii="Arial" w:cs="Arial" w:eastAsia="Arial" w:hAnsi="Arial"/>
                <w:sz w:val="19"/>
                <w:szCs w:val="19"/>
                <w:color w:val="898989"/>
              </w:rPr>
              <w:t>17</w:t>
            </w:r>
          </w:p>
        </w:tc>
        <w:tc>
          <w:tcPr>
            <w:tcW w:w="0" w:type="dxa"/>
            <w:vAlign w:val="bottom"/>
          </w:tcPr>
          <w:p>
            <w:pPr>
              <w:spacing w:after="0"/>
              <w:rPr>
                <w:sz w:val="1"/>
                <w:szCs w:val="1"/>
                <w:color w:val="auto"/>
              </w:rPr>
            </w:pPr>
          </w:p>
        </w:tc>
      </w:tr>
      <w:tr>
        <w:trPr>
          <w:trHeight w:val="168"/>
        </w:trPr>
        <w:tc>
          <w:tcPr>
            <w:tcW w:w="6940" w:type="dxa"/>
            <w:vAlign w:val="bottom"/>
            <w:vMerge w:val="restart"/>
          </w:tcPr>
          <w:p>
            <w:pPr>
              <w:spacing w:after="0"/>
              <w:rPr>
                <w:sz w:val="20"/>
                <w:szCs w:val="20"/>
                <w:color w:val="auto"/>
              </w:rPr>
            </w:pPr>
            <w:r>
              <w:rPr>
                <w:rFonts w:ascii="Arial" w:cs="Arial" w:eastAsia="Arial" w:hAnsi="Arial"/>
                <w:sz w:val="20"/>
                <w:szCs w:val="20"/>
                <w:color w:val="auto"/>
              </w:rPr>
              <w:t>including DXL stores and direct channel</w:t>
            </w: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694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560" w:top="854" w:right="899" w:bottom="1440" w:gutter="0" w:footer="0" w:header="0"/>
        </w:sectPr>
      </w:pPr>
    </w:p>
    <w:bookmarkStart w:id="20" w:name="page21"/>
    <w:bookmarkEnd w:id="20"/>
    <w:p>
      <w:pPr>
        <w:ind w:left="180"/>
        <w:spacing w:after="0"/>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Compelling DXL Returns</w:t>
      </w:r>
    </w:p>
    <w:p>
      <w:pPr>
        <w:sectPr>
          <w:pgSz w:w="11900" w:h="16838" w:orient="portrait"/>
          <w:cols w:equalWidth="0" w:num="1">
            <w:col w:w="10140"/>
          </w:cols>
          <w:pgMar w:left="860" w:top="1052" w:right="8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right="980"/>
        <w:spacing w:after="0" w:line="274" w:lineRule="auto"/>
        <w:rPr>
          <w:sz w:val="20"/>
          <w:szCs w:val="20"/>
          <w:color w:val="auto"/>
        </w:rPr>
      </w:pPr>
      <w:r>
        <w:rPr>
          <w:rFonts w:ascii="Arial" w:cs="Arial" w:eastAsia="Arial" w:hAnsi="Arial"/>
          <w:sz w:val="25"/>
          <w:szCs w:val="25"/>
          <w:b w:val="1"/>
          <w:bCs w:val="1"/>
          <w:color w:val="558ED5"/>
        </w:rPr>
        <w:t>Expect greater store productivity and profitability</w:t>
      </w:r>
    </w:p>
    <w:p>
      <w:pPr>
        <w:spacing w:after="0" w:line="296" w:lineRule="exact"/>
        <w:rPr>
          <w:sz w:val="20"/>
          <w:szCs w:val="20"/>
          <w:color w:val="auto"/>
        </w:rPr>
      </w:pPr>
    </w:p>
    <w:p>
      <w:pPr>
        <w:ind w:right="600"/>
        <w:spacing w:after="0" w:line="383" w:lineRule="auto"/>
        <w:rPr>
          <w:sz w:val="20"/>
          <w:szCs w:val="20"/>
          <w:color w:val="auto"/>
        </w:rPr>
      </w:pPr>
      <w:r>
        <w:rPr>
          <w:rFonts w:ascii="Arial" w:cs="Arial" w:eastAsia="Arial" w:hAnsi="Arial"/>
          <w:sz w:val="21"/>
          <w:szCs w:val="21"/>
          <w:b w:val="1"/>
          <w:bCs w:val="1"/>
          <w:color w:val="558ED5"/>
        </w:rPr>
        <w:t>Projecting higher 4-wall profits than combined profits of individual stores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60"/>
        <w:spacing w:after="0" w:line="284" w:lineRule="auto"/>
        <w:rPr>
          <w:sz w:val="20"/>
          <w:szCs w:val="20"/>
          <w:color w:val="auto"/>
        </w:rPr>
      </w:pPr>
      <w:r>
        <w:rPr>
          <w:rFonts w:ascii="Arial" w:cs="Arial" w:eastAsia="Arial" w:hAnsi="Arial"/>
          <w:sz w:val="25"/>
          <w:szCs w:val="25"/>
          <w:b w:val="1"/>
          <w:bCs w:val="1"/>
          <w:color w:val="558ED5"/>
        </w:rPr>
        <w:t>Potential to capture additional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558ED5"/>
        </w:rPr>
        <w:t>Opportunity to improve</w:t>
      </w:r>
    </w:p>
    <w:p>
      <w:pPr>
        <w:spacing w:after="0" w:line="35" w:lineRule="exact"/>
        <w:rPr>
          <w:sz w:val="20"/>
          <w:szCs w:val="20"/>
          <w:color w:val="auto"/>
        </w:rPr>
      </w:pPr>
    </w:p>
    <w:p>
      <w:pPr>
        <w:spacing w:after="0"/>
        <w:rPr>
          <w:sz w:val="20"/>
          <w:szCs w:val="20"/>
          <w:color w:val="auto"/>
        </w:rPr>
      </w:pPr>
      <w:r>
        <w:rPr>
          <w:rFonts w:ascii="Arial" w:cs="Arial" w:eastAsia="Arial" w:hAnsi="Arial"/>
          <w:sz w:val="25"/>
          <w:szCs w:val="25"/>
          <w:b w:val="1"/>
          <w:bCs w:val="1"/>
          <w:color w:val="558ED5"/>
        </w:rPr>
        <w:t>operating margins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Better leveraging of expenses --</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occupancy, labor productivity and</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local/district management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Targeting between 25%-30% store</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operating margin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Attract new customers</w:t>
      </w:r>
    </w:p>
    <w:p>
      <w:pPr>
        <w:spacing w:after="0" w:line="100" w:lineRule="exact"/>
        <w:rPr>
          <w:sz w:val="20"/>
          <w:szCs w:val="20"/>
          <w:color w:val="auto"/>
        </w:rPr>
      </w:pPr>
    </w:p>
    <w:p>
      <w:pPr>
        <w:ind w:right="1820"/>
        <w:spacing w:after="0" w:line="304" w:lineRule="auto"/>
        <w:rPr>
          <w:sz w:val="20"/>
          <w:szCs w:val="20"/>
          <w:color w:val="auto"/>
        </w:rPr>
      </w:pPr>
      <w:r>
        <w:rPr>
          <w:rFonts w:ascii="Arial" w:cs="Arial" w:eastAsia="Arial" w:hAnsi="Arial"/>
          <w:sz w:val="20"/>
          <w:szCs w:val="20"/>
          <w:color w:val="auto"/>
        </w:rPr>
        <w:t>Better cross-selling environment to capture greater share of apparel wallet from existing customers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Expect to increase margins</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significantly after the transition to</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DXL is complete</w:t>
      </w:r>
    </w:p>
    <w:p>
      <w:pPr>
        <w:spacing w:after="0" w:line="200" w:lineRule="exact"/>
        <w:rPr>
          <w:sz w:val="20"/>
          <w:szCs w:val="20"/>
          <w:color w:val="auto"/>
        </w:rPr>
      </w:pPr>
    </w:p>
    <w:p>
      <w:pPr>
        <w:sectPr>
          <w:pgSz w:w="11900" w:h="16838" w:orient="portrait"/>
          <w:cols w:equalWidth="0" w:num="2">
            <w:col w:w="4460" w:space="720"/>
            <w:col w:w="4960"/>
          </w:cols>
          <w:pgMar w:left="860" w:top="1052"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940"/>
        <w:spacing w:after="0"/>
        <w:rPr>
          <w:sz w:val="20"/>
          <w:szCs w:val="20"/>
          <w:color w:val="auto"/>
        </w:rPr>
      </w:pPr>
      <w:r>
        <w:rPr>
          <w:rFonts w:ascii="Arial" w:cs="Arial" w:eastAsia="Arial" w:hAnsi="Arial"/>
          <w:sz w:val="17"/>
          <w:szCs w:val="17"/>
          <w:color w:val="898989"/>
        </w:rPr>
        <w:t>18</w:t>
      </w:r>
    </w:p>
    <w:p>
      <w:pPr>
        <w:sectPr>
          <w:pgSz w:w="11900" w:h="16838" w:orient="portrait"/>
          <w:cols w:equalWidth="0" w:num="1">
            <w:col w:w="10140"/>
          </w:cols>
          <w:pgMar w:left="860" w:top="1052" w:right="899" w:bottom="1440" w:gutter="0" w:footer="0" w:header="0"/>
          <w:type w:val="continuous"/>
        </w:sectPr>
      </w:pPr>
    </w:p>
    <w:bookmarkStart w:id="21" w:name="page22"/>
    <w:bookmarkEnd w:id="21"/>
    <w:p>
      <w:pPr>
        <w:ind w:left="480"/>
        <w:spacing w:after="0"/>
        <w:rPr>
          <w:sz w:val="20"/>
          <w:szCs w:val="20"/>
          <w:color w:val="auto"/>
        </w:rPr>
      </w:pPr>
      <w:r>
        <w:rPr>
          <w:rFonts w:ascii="Arial" w:cs="Arial" w:eastAsia="Arial" w:hAnsi="Arial"/>
          <w:sz w:val="54"/>
          <w:szCs w:val="54"/>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DXL Openings</w:t>
      </w:r>
    </w:p>
    <w:p>
      <w:pPr>
        <w:sectPr>
          <w:pgSz w:w="11900" w:h="16838" w:orient="portrait"/>
          <w:cols w:equalWidth="0" w:num="1">
            <w:col w:w="10160"/>
          </w:cols>
          <w:pgMar w:left="840" w:top="1052" w:right="8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500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450</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400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350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300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250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200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150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100</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66699"/>
        </w:rPr>
        <w:t>50</w:t>
      </w: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9"/>
          <w:szCs w:val="19"/>
          <w:b w:val="1"/>
          <w:bCs w:val="1"/>
          <w:color w:val="666699"/>
        </w:rPr>
        <w:t>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2015 Store Count Target</w:t>
      </w:r>
    </w:p>
    <w:p>
      <w:pPr>
        <w:spacing w:after="0" w:line="263" w:lineRule="exact"/>
        <w:rPr>
          <w:sz w:val="20"/>
          <w:szCs w:val="20"/>
          <w:color w:val="auto"/>
        </w:rPr>
      </w:pPr>
    </w:p>
    <w:tbl>
      <w:tblPr>
        <w:tblLayout w:type="fixed"/>
        <w:tblInd w:w="5640" w:type="dxa"/>
        <w:tblCellMar>
          <w:top w:w="0" w:type="dxa"/>
          <w:left w:w="0" w:type="dxa"/>
          <w:bottom w:w="0" w:type="dxa"/>
          <w:right w:w="0" w:type="dxa"/>
        </w:tblCellMar>
      </w:tblPr>
      <w:tr>
        <w:trPr>
          <w:trHeight w:val="353"/>
        </w:trPr>
        <w:tc>
          <w:tcPr>
            <w:tcW w:w="1700" w:type="dxa"/>
            <w:vAlign w:val="bottom"/>
          </w:tcPr>
          <w:p>
            <w:pPr>
              <w:jc w:val="center"/>
              <w:ind w:right="66"/>
              <w:spacing w:after="0"/>
              <w:rPr>
                <w:sz w:val="20"/>
                <w:szCs w:val="20"/>
                <w:color w:val="auto"/>
              </w:rPr>
            </w:pPr>
            <w:r>
              <w:rPr>
                <w:rFonts w:ascii="Arial" w:cs="Arial" w:eastAsia="Arial" w:hAnsi="Arial"/>
                <w:sz w:val="19"/>
                <w:szCs w:val="19"/>
                <w:color w:val="auto"/>
                <w:w w:val="89"/>
              </w:rPr>
              <w:t>Destination XL</w:t>
            </w:r>
            <w:r>
              <w:rPr>
                <w:rFonts w:ascii="Arial" w:cs="Arial" w:eastAsia="Arial" w:hAnsi="Arial"/>
                <w:sz w:val="25"/>
                <w:szCs w:val="25"/>
                <w:color w:val="auto"/>
                <w:w w:val="89"/>
                <w:vertAlign w:val="superscript"/>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215-230</w:t>
            </w:r>
          </w:p>
        </w:tc>
        <w:tc>
          <w:tcPr>
            <w:tcW w:w="0" w:type="dxa"/>
            <w:vAlign w:val="bottom"/>
          </w:tcPr>
          <w:p>
            <w:pPr>
              <w:spacing w:after="0"/>
              <w:rPr>
                <w:sz w:val="1"/>
                <w:szCs w:val="1"/>
                <w:color w:val="auto"/>
              </w:rPr>
            </w:pPr>
          </w:p>
        </w:tc>
      </w:tr>
      <w:tr>
        <w:trPr>
          <w:trHeight w:val="276"/>
        </w:trPr>
        <w:tc>
          <w:tcPr>
            <w:tcW w:w="1700" w:type="dxa"/>
            <w:vAlign w:val="bottom"/>
          </w:tcPr>
          <w:p>
            <w:pPr>
              <w:jc w:val="center"/>
              <w:ind w:right="46"/>
              <w:spacing w:after="0"/>
              <w:rPr>
                <w:sz w:val="20"/>
                <w:szCs w:val="20"/>
                <w:color w:val="auto"/>
              </w:rPr>
            </w:pPr>
            <w:r>
              <w:rPr>
                <w:rFonts w:ascii="Arial" w:cs="Arial" w:eastAsia="Arial" w:hAnsi="Arial"/>
                <w:sz w:val="19"/>
                <w:szCs w:val="19"/>
                <w:color w:val="auto"/>
                <w:w w:val="92"/>
              </w:rPr>
              <w:t>Casual Male XL</w:t>
            </w:r>
          </w:p>
        </w:tc>
        <w:tc>
          <w:tcPr>
            <w:tcW w:w="860" w:type="dxa"/>
            <w:vAlign w:val="bottom"/>
            <w:vMerge w:val="restart"/>
          </w:tcPr>
          <w:p>
            <w:pPr>
              <w:jc w:val="right"/>
              <w:ind w:right="126"/>
              <w:spacing w:after="0"/>
              <w:rPr>
                <w:sz w:val="20"/>
                <w:szCs w:val="20"/>
                <w:color w:val="auto"/>
              </w:rPr>
            </w:pPr>
            <w:r>
              <w:rPr>
                <w:rFonts w:ascii="Arial" w:cs="Arial" w:eastAsia="Arial" w:hAnsi="Arial"/>
                <w:sz w:val="19"/>
                <w:szCs w:val="19"/>
                <w:b w:val="1"/>
                <w:bCs w:val="1"/>
                <w:color w:val="auto"/>
              </w:rPr>
              <w:t>~65</w:t>
            </w:r>
          </w:p>
        </w:tc>
        <w:tc>
          <w:tcPr>
            <w:tcW w:w="0" w:type="dxa"/>
            <w:vAlign w:val="bottom"/>
          </w:tcPr>
          <w:p>
            <w:pPr>
              <w:spacing w:after="0"/>
              <w:rPr>
                <w:sz w:val="1"/>
                <w:szCs w:val="1"/>
                <w:color w:val="auto"/>
              </w:rPr>
            </w:pPr>
          </w:p>
        </w:tc>
      </w:tr>
      <w:tr>
        <w:trPr>
          <w:trHeight w:val="134"/>
        </w:trPr>
        <w:tc>
          <w:tcPr>
            <w:tcW w:w="1700" w:type="dxa"/>
            <w:vAlign w:val="bottom"/>
            <w:vMerge w:val="restart"/>
          </w:tcPr>
          <w:p>
            <w:pPr>
              <w:jc w:val="center"/>
              <w:ind w:right="106"/>
              <w:spacing w:after="0"/>
              <w:rPr>
                <w:sz w:val="20"/>
                <w:szCs w:val="20"/>
                <w:color w:val="auto"/>
              </w:rPr>
            </w:pPr>
            <w:r>
              <w:rPr>
                <w:rFonts w:ascii="Arial" w:cs="Arial" w:eastAsia="Arial" w:hAnsi="Arial"/>
                <w:sz w:val="19"/>
                <w:szCs w:val="19"/>
                <w:color w:val="auto"/>
                <w:w w:val="90"/>
              </w:rPr>
              <w:t>Outlet</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1700" w:type="dxa"/>
            <w:vAlign w:val="bottom"/>
          </w:tcPr>
          <w:p>
            <w:pPr>
              <w:spacing w:after="0"/>
              <w:rPr>
                <w:sz w:val="20"/>
                <w:szCs w:val="20"/>
                <w:color w:val="auto"/>
              </w:rPr>
            </w:pPr>
            <w:r>
              <w:rPr>
                <w:rFonts w:ascii="Arial" w:cs="Arial" w:eastAsia="Arial" w:hAnsi="Arial"/>
                <w:sz w:val="19"/>
                <w:szCs w:val="19"/>
                <w:color w:val="auto"/>
              </w:rPr>
              <w:t>Rochester Clothing</w:t>
            </w:r>
          </w:p>
        </w:tc>
        <w:tc>
          <w:tcPr>
            <w:tcW w:w="860" w:type="dxa"/>
            <w:vAlign w:val="bottom"/>
          </w:tcPr>
          <w:p>
            <w:pPr>
              <w:jc w:val="right"/>
              <w:ind w:right="186"/>
              <w:spacing w:after="0"/>
              <w:rPr>
                <w:sz w:val="20"/>
                <w:szCs w:val="20"/>
                <w:color w:val="auto"/>
              </w:rPr>
            </w:pPr>
            <w:r>
              <w:rPr>
                <w:rFonts w:ascii="Arial" w:cs="Arial" w:eastAsia="Arial" w:hAnsi="Arial"/>
                <w:sz w:val="19"/>
                <w:szCs w:val="19"/>
                <w:b w:val="1"/>
                <w:bCs w:val="1"/>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180" w:val="left"/>
          <w:tab w:leader="none" w:pos="2360" w:val="left"/>
          <w:tab w:leader="none" w:pos="3560" w:val="left"/>
          <w:tab w:leader="none" w:pos="4740" w:val="left"/>
          <w:tab w:leader="none" w:pos="5940" w:val="left"/>
        </w:tabs>
        <w:rPr>
          <w:sz w:val="20"/>
          <w:szCs w:val="20"/>
          <w:color w:val="auto"/>
        </w:rPr>
      </w:pPr>
      <w:r>
        <w:rPr>
          <w:rFonts w:ascii="Arial" w:cs="Arial" w:eastAsia="Arial" w:hAnsi="Arial"/>
          <w:sz w:val="19"/>
          <w:szCs w:val="19"/>
          <w:b w:val="1"/>
          <w:bCs w:val="1"/>
          <w:color w:val="666699"/>
        </w:rPr>
        <w:t>2010</w:t>
      </w:r>
      <w:r>
        <w:rPr>
          <w:sz w:val="20"/>
          <w:szCs w:val="20"/>
          <w:color w:val="auto"/>
        </w:rPr>
        <w:tab/>
      </w:r>
      <w:r>
        <w:rPr>
          <w:rFonts w:ascii="Arial" w:cs="Arial" w:eastAsia="Arial" w:hAnsi="Arial"/>
          <w:sz w:val="19"/>
          <w:szCs w:val="19"/>
          <w:b w:val="1"/>
          <w:bCs w:val="1"/>
          <w:color w:val="666699"/>
        </w:rPr>
        <w:t>2011</w:t>
      </w:r>
      <w:r>
        <w:rPr>
          <w:sz w:val="20"/>
          <w:szCs w:val="20"/>
          <w:color w:val="auto"/>
        </w:rPr>
        <w:tab/>
      </w:r>
      <w:r>
        <w:rPr>
          <w:rFonts w:ascii="Arial" w:cs="Arial" w:eastAsia="Arial" w:hAnsi="Arial"/>
          <w:sz w:val="19"/>
          <w:szCs w:val="19"/>
          <w:b w:val="1"/>
          <w:bCs w:val="1"/>
          <w:color w:val="666699"/>
        </w:rPr>
        <w:t>2012</w:t>
      </w:r>
      <w:r>
        <w:rPr>
          <w:sz w:val="20"/>
          <w:szCs w:val="20"/>
          <w:color w:val="auto"/>
        </w:rPr>
        <w:tab/>
      </w:r>
      <w:r>
        <w:rPr>
          <w:rFonts w:ascii="Arial" w:cs="Arial" w:eastAsia="Arial" w:hAnsi="Arial"/>
          <w:sz w:val="19"/>
          <w:szCs w:val="19"/>
          <w:b w:val="1"/>
          <w:bCs w:val="1"/>
          <w:color w:val="666699"/>
        </w:rPr>
        <w:t>2013</w:t>
      </w:r>
      <w:r>
        <w:rPr>
          <w:sz w:val="20"/>
          <w:szCs w:val="20"/>
          <w:color w:val="auto"/>
        </w:rPr>
        <w:tab/>
      </w:r>
      <w:r>
        <w:rPr>
          <w:rFonts w:ascii="Arial" w:cs="Arial" w:eastAsia="Arial" w:hAnsi="Arial"/>
          <w:sz w:val="19"/>
          <w:szCs w:val="19"/>
          <w:b w:val="1"/>
          <w:bCs w:val="1"/>
          <w:color w:val="666699"/>
        </w:rPr>
        <w:t>2014</w:t>
      </w:r>
      <w:r>
        <w:rPr>
          <w:sz w:val="20"/>
          <w:szCs w:val="20"/>
          <w:color w:val="auto"/>
        </w:rPr>
        <w:tab/>
      </w:r>
      <w:r>
        <w:rPr>
          <w:rFonts w:ascii="Arial" w:cs="Arial" w:eastAsia="Arial" w:hAnsi="Arial"/>
          <w:sz w:val="18"/>
          <w:szCs w:val="18"/>
          <w:b w:val="1"/>
          <w:bCs w:val="1"/>
          <w:color w:val="666699"/>
        </w:rPr>
        <w:t>2015</w:t>
      </w:r>
    </w:p>
    <w:p>
      <w:pPr>
        <w:spacing w:after="0" w:line="180" w:lineRule="exact"/>
        <w:rPr>
          <w:sz w:val="20"/>
          <w:szCs w:val="20"/>
          <w:color w:val="auto"/>
        </w:rPr>
      </w:pPr>
    </w:p>
    <w:p>
      <w:pPr>
        <w:sectPr>
          <w:pgSz w:w="11900" w:h="16838" w:orient="portrait"/>
          <w:cols w:equalWidth="0" w:num="2">
            <w:col w:w="800" w:space="540"/>
            <w:col w:w="8820"/>
          </w:cols>
          <w:pgMar w:left="840" w:top="1052" w:right="89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1140" w:type="dxa"/>
            <w:vAlign w:val="bottom"/>
          </w:tcPr>
          <w:p>
            <w:pPr>
              <w:spacing w:after="0"/>
              <w:rPr>
                <w:sz w:val="20"/>
                <w:szCs w:val="20"/>
                <w:color w:val="auto"/>
              </w:rPr>
            </w:pPr>
            <w:r>
              <w:rPr>
                <w:rFonts w:ascii="Arial" w:cs="Arial" w:eastAsia="Arial" w:hAnsi="Arial"/>
                <w:sz w:val="19"/>
                <w:szCs w:val="19"/>
                <w:color w:val="auto"/>
              </w:rPr>
              <w:t>Total Stores:</w:t>
            </w:r>
          </w:p>
        </w:tc>
        <w:tc>
          <w:tcPr>
            <w:tcW w:w="960" w:type="dxa"/>
            <w:vAlign w:val="bottom"/>
          </w:tcPr>
          <w:p>
            <w:pPr>
              <w:jc w:val="right"/>
              <w:ind w:right="286"/>
              <w:spacing w:after="0"/>
              <w:rPr>
                <w:sz w:val="20"/>
                <w:szCs w:val="20"/>
                <w:color w:val="auto"/>
              </w:rPr>
            </w:pPr>
            <w:r>
              <w:rPr>
                <w:rFonts w:ascii="Arial" w:cs="Arial" w:eastAsia="Arial" w:hAnsi="Arial"/>
                <w:sz w:val="19"/>
                <w:szCs w:val="19"/>
                <w:color w:val="auto"/>
              </w:rPr>
              <w:t>(460)</w:t>
            </w:r>
          </w:p>
        </w:tc>
        <w:tc>
          <w:tcPr>
            <w:tcW w:w="1200" w:type="dxa"/>
            <w:vAlign w:val="bottom"/>
          </w:tcPr>
          <w:p>
            <w:pPr>
              <w:jc w:val="right"/>
              <w:ind w:right="306"/>
              <w:spacing w:after="0"/>
              <w:rPr>
                <w:sz w:val="20"/>
                <w:szCs w:val="20"/>
                <w:color w:val="auto"/>
              </w:rPr>
            </w:pPr>
            <w:r>
              <w:rPr>
                <w:rFonts w:ascii="Arial" w:cs="Arial" w:eastAsia="Arial" w:hAnsi="Arial"/>
                <w:sz w:val="19"/>
                <w:szCs w:val="19"/>
                <w:color w:val="auto"/>
              </w:rPr>
              <w:t>(450)</w:t>
            </w:r>
          </w:p>
        </w:tc>
        <w:tc>
          <w:tcPr>
            <w:tcW w:w="1140" w:type="dxa"/>
            <w:vAlign w:val="bottom"/>
          </w:tcPr>
          <w:p>
            <w:pPr>
              <w:jc w:val="right"/>
              <w:ind w:right="226"/>
              <w:spacing w:after="0"/>
              <w:rPr>
                <w:sz w:val="20"/>
                <w:szCs w:val="20"/>
                <w:color w:val="auto"/>
              </w:rPr>
            </w:pPr>
            <w:r>
              <w:rPr>
                <w:rFonts w:ascii="Arial" w:cs="Arial" w:eastAsia="Arial" w:hAnsi="Arial"/>
                <w:sz w:val="19"/>
                <w:szCs w:val="19"/>
                <w:color w:val="auto"/>
              </w:rPr>
              <w:t>(412)</w:t>
            </w:r>
          </w:p>
        </w:tc>
        <w:tc>
          <w:tcPr>
            <w:tcW w:w="1280" w:type="dxa"/>
            <w:vAlign w:val="bottom"/>
          </w:tcPr>
          <w:p>
            <w:pPr>
              <w:jc w:val="right"/>
              <w:ind w:right="126"/>
              <w:spacing w:after="0"/>
              <w:rPr>
                <w:sz w:val="20"/>
                <w:szCs w:val="20"/>
                <w:color w:val="auto"/>
              </w:rPr>
            </w:pPr>
            <w:r>
              <w:rPr>
                <w:rFonts w:ascii="Arial" w:cs="Arial" w:eastAsia="Arial" w:hAnsi="Arial"/>
                <w:sz w:val="19"/>
                <w:szCs w:val="19"/>
                <w:color w:val="auto"/>
              </w:rPr>
              <w:t>(348-358)</w:t>
            </w:r>
          </w:p>
        </w:tc>
        <w:tc>
          <w:tcPr>
            <w:tcW w:w="1180" w:type="dxa"/>
            <w:vAlign w:val="bottom"/>
          </w:tcPr>
          <w:p>
            <w:pPr>
              <w:jc w:val="right"/>
              <w:ind w:right="106"/>
              <w:spacing w:after="0"/>
              <w:rPr>
                <w:sz w:val="20"/>
                <w:szCs w:val="20"/>
                <w:color w:val="auto"/>
              </w:rPr>
            </w:pPr>
            <w:r>
              <w:rPr>
                <w:rFonts w:ascii="Arial" w:cs="Arial" w:eastAsia="Arial" w:hAnsi="Arial"/>
                <w:sz w:val="19"/>
                <w:szCs w:val="19"/>
                <w:color w:val="auto"/>
              </w:rPr>
              <w:t>(308-318)</w:t>
            </w:r>
          </w:p>
        </w:tc>
        <w:tc>
          <w:tcPr>
            <w:tcW w:w="940" w:type="dxa"/>
            <w:vAlign w:val="bottom"/>
          </w:tcPr>
          <w:p>
            <w:pPr>
              <w:jc w:val="right"/>
              <w:spacing w:after="0"/>
              <w:rPr>
                <w:sz w:val="20"/>
                <w:szCs w:val="20"/>
                <w:color w:val="auto"/>
              </w:rPr>
            </w:pPr>
            <w:r>
              <w:rPr>
                <w:rFonts w:ascii="Arial" w:cs="Arial" w:eastAsia="Arial" w:hAnsi="Arial"/>
                <w:sz w:val="19"/>
                <w:szCs w:val="19"/>
                <w:color w:val="auto"/>
              </w:rPr>
              <w:t>(283-298)</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0"/>
        <w:spacing w:after="0"/>
        <w:rPr>
          <w:sz w:val="20"/>
          <w:szCs w:val="20"/>
          <w:color w:val="auto"/>
        </w:rPr>
      </w:pPr>
      <w:r>
        <w:rPr>
          <w:rFonts w:ascii="Arial" w:cs="Arial" w:eastAsia="Arial" w:hAnsi="Arial"/>
          <w:sz w:val="28"/>
          <w:szCs w:val="28"/>
          <w:color w:val="auto"/>
        </w:rPr>
        <w:t>Accelerated rollout based on</w:t>
      </w:r>
    </w:p>
    <w:p>
      <w:pPr>
        <w:jc w:val="right"/>
        <w:spacing w:after="0" w:line="190" w:lineRule="auto"/>
        <w:rPr>
          <w:sz w:val="20"/>
          <w:szCs w:val="20"/>
          <w:color w:val="auto"/>
        </w:rPr>
      </w:pPr>
      <w:r>
        <w:rPr>
          <w:rFonts w:ascii="Arial" w:cs="Arial" w:eastAsia="Arial" w:hAnsi="Arial"/>
          <w:sz w:val="13"/>
          <w:szCs w:val="13"/>
          <w:color w:val="898989"/>
        </w:rPr>
        <w:t>19</w:t>
      </w:r>
    </w:p>
    <w:p>
      <w:pPr>
        <w:ind w:left="720"/>
        <w:spacing w:after="0"/>
        <w:rPr>
          <w:sz w:val="20"/>
          <w:szCs w:val="20"/>
          <w:color w:val="auto"/>
        </w:rPr>
      </w:pPr>
      <w:r>
        <w:rPr>
          <w:rFonts w:ascii="Arial" w:cs="Arial" w:eastAsia="Arial" w:hAnsi="Arial"/>
          <w:sz w:val="28"/>
          <w:szCs w:val="28"/>
          <w:color w:val="auto"/>
        </w:rPr>
        <w:t>success of DXL stores in 2011</w:t>
      </w:r>
    </w:p>
    <w:p>
      <w:pPr>
        <w:sectPr>
          <w:pgSz w:w="11900" w:h="16838" w:orient="portrait"/>
          <w:cols w:equalWidth="0" w:num="1">
            <w:col w:w="10160"/>
          </w:cols>
          <w:pgMar w:left="840" w:top="1052" w:right="8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51"/>
          <w:szCs w:val="51"/>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Sales Increase as % of Total Revenue</w:t>
      </w:r>
    </w:p>
    <w:p>
      <w:pPr>
        <w:spacing w:after="0" w:line="200" w:lineRule="exact"/>
        <w:rPr>
          <w:sz w:val="20"/>
          <w:szCs w:val="20"/>
          <w:color w:val="auto"/>
        </w:rPr>
      </w:pPr>
    </w:p>
    <w:p>
      <w:pPr>
        <w:spacing w:after="0" w:line="245" w:lineRule="exact"/>
        <w:rPr>
          <w:sz w:val="20"/>
          <w:szCs w:val="20"/>
          <w:color w:val="auto"/>
        </w:rPr>
      </w:pPr>
    </w:p>
    <w:tbl>
      <w:tblPr>
        <w:tblLayout w:type="fixed"/>
        <w:tblInd w:w="440" w:type="dxa"/>
        <w:tblCellMar>
          <w:top w:w="0" w:type="dxa"/>
          <w:left w:w="0" w:type="dxa"/>
          <w:bottom w:w="0" w:type="dxa"/>
          <w:right w:w="0" w:type="dxa"/>
        </w:tblCellMar>
      </w:tblPr>
      <w:tr>
        <w:trPr>
          <w:trHeight w:val="250"/>
        </w:trPr>
        <w:tc>
          <w:tcPr>
            <w:tcW w:w="3060" w:type="dxa"/>
            <w:vAlign w:val="bottom"/>
          </w:tcPr>
          <w:p>
            <w:pPr>
              <w:jc w:val="right"/>
              <w:ind w:right="2486"/>
              <w:spacing w:after="0"/>
              <w:rPr>
                <w:sz w:val="20"/>
                <w:szCs w:val="20"/>
                <w:color w:val="auto"/>
              </w:rPr>
            </w:pPr>
            <w:r>
              <w:rPr>
                <w:rFonts w:ascii="Arial" w:cs="Arial" w:eastAsia="Arial" w:hAnsi="Arial"/>
                <w:sz w:val="19"/>
                <w:szCs w:val="19"/>
                <w:b w:val="1"/>
                <w:bCs w:val="1"/>
                <w:color w:val="666699"/>
                <w:w w:val="94"/>
              </w:rPr>
              <w:t>100%</w:t>
            </w:r>
          </w:p>
        </w:tc>
        <w:tc>
          <w:tcPr>
            <w:tcW w:w="5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060" w:type="dxa"/>
            <w:vAlign w:val="bottom"/>
            <w:vMerge w:val="restart"/>
          </w:tcPr>
          <w:p>
            <w:pPr>
              <w:jc w:val="right"/>
              <w:ind w:right="2486"/>
              <w:spacing w:after="0"/>
              <w:rPr>
                <w:sz w:val="20"/>
                <w:szCs w:val="20"/>
                <w:color w:val="auto"/>
              </w:rPr>
            </w:pPr>
            <w:r>
              <w:rPr>
                <w:rFonts w:ascii="Arial" w:cs="Arial" w:eastAsia="Arial" w:hAnsi="Arial"/>
                <w:sz w:val="19"/>
                <w:szCs w:val="19"/>
                <w:b w:val="1"/>
                <w:bCs w:val="1"/>
                <w:color w:val="666699"/>
              </w:rPr>
              <w:t>90%</w:t>
            </w:r>
          </w:p>
        </w:tc>
        <w:tc>
          <w:tcPr>
            <w:tcW w:w="5240" w:type="dxa"/>
            <w:vAlign w:val="bottom"/>
          </w:tcPr>
          <w:p>
            <w:pPr>
              <w:jc w:val="right"/>
              <w:spacing w:after="0"/>
              <w:rPr>
                <w:sz w:val="20"/>
                <w:szCs w:val="20"/>
                <w:color w:val="auto"/>
              </w:rPr>
            </w:pPr>
            <w:r>
              <w:rPr>
                <w:rFonts w:ascii="Arial" w:cs="Arial" w:eastAsia="Arial" w:hAnsi="Arial"/>
                <w:sz w:val="19"/>
                <w:szCs w:val="19"/>
                <w:b w:val="1"/>
                <w:bCs w:val="1"/>
                <w:color w:val="666699"/>
              </w:rPr>
              <w:t>89%</w:t>
            </w:r>
          </w:p>
        </w:tc>
        <w:tc>
          <w:tcPr>
            <w:tcW w:w="0" w:type="dxa"/>
            <w:vAlign w:val="bottom"/>
          </w:tcPr>
          <w:p>
            <w:pPr>
              <w:spacing w:after="0"/>
              <w:rPr>
                <w:sz w:val="1"/>
                <w:szCs w:val="1"/>
                <w:color w:val="auto"/>
              </w:rPr>
            </w:pPr>
          </w:p>
        </w:tc>
      </w:tr>
      <w:tr>
        <w:trPr>
          <w:trHeight w:val="156"/>
        </w:trPr>
        <w:tc>
          <w:tcPr>
            <w:tcW w:w="3060" w:type="dxa"/>
            <w:vAlign w:val="bottom"/>
            <w:vMerge w:val="continue"/>
          </w:tcPr>
          <w:p>
            <w:pPr>
              <w:spacing w:after="0"/>
              <w:rPr>
                <w:sz w:val="13"/>
                <w:szCs w:val="13"/>
                <w:color w:val="auto"/>
              </w:rPr>
            </w:pPr>
          </w:p>
        </w:tc>
        <w:tc>
          <w:tcPr>
            <w:tcW w:w="5240" w:type="dxa"/>
            <w:vAlign w:val="bottom"/>
            <w:vMerge w:val="restart"/>
          </w:tcPr>
          <w:p>
            <w:pPr>
              <w:jc w:val="right"/>
              <w:ind w:right="1066"/>
              <w:spacing w:after="0" w:line="212" w:lineRule="exact"/>
              <w:rPr>
                <w:sz w:val="20"/>
                <w:szCs w:val="20"/>
                <w:color w:val="auto"/>
              </w:rPr>
            </w:pPr>
            <w:r>
              <w:rPr>
                <w:rFonts w:ascii="Arial" w:cs="Arial" w:eastAsia="Arial" w:hAnsi="Arial"/>
                <w:sz w:val="19"/>
                <w:szCs w:val="19"/>
                <w:b w:val="1"/>
                <w:bCs w:val="1"/>
                <w:color w:val="666699"/>
              </w:rPr>
              <w:t>84%</w:t>
            </w:r>
          </w:p>
        </w:tc>
        <w:tc>
          <w:tcPr>
            <w:tcW w:w="0" w:type="dxa"/>
            <w:vAlign w:val="bottom"/>
          </w:tcPr>
          <w:p>
            <w:pPr>
              <w:spacing w:after="0"/>
              <w:rPr>
                <w:sz w:val="1"/>
                <w:szCs w:val="1"/>
                <w:color w:val="auto"/>
              </w:rPr>
            </w:pPr>
          </w:p>
        </w:tc>
      </w:tr>
      <w:tr>
        <w:trPr>
          <w:trHeight w:val="55"/>
        </w:trPr>
        <w:tc>
          <w:tcPr>
            <w:tcW w:w="3060" w:type="dxa"/>
            <w:vAlign w:val="bottom"/>
          </w:tcPr>
          <w:p>
            <w:pPr>
              <w:spacing w:after="0"/>
              <w:rPr>
                <w:sz w:val="4"/>
                <w:szCs w:val="4"/>
                <w:color w:val="auto"/>
              </w:rPr>
            </w:pPr>
          </w:p>
        </w:tc>
        <w:tc>
          <w:tcPr>
            <w:tcW w:w="5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060" w:type="dxa"/>
            <w:vAlign w:val="bottom"/>
            <w:vMerge w:val="restart"/>
          </w:tcPr>
          <w:p>
            <w:pPr>
              <w:jc w:val="right"/>
              <w:ind w:right="2486"/>
              <w:spacing w:after="0"/>
              <w:rPr>
                <w:sz w:val="20"/>
                <w:szCs w:val="20"/>
                <w:color w:val="auto"/>
              </w:rPr>
            </w:pPr>
            <w:r>
              <w:rPr>
                <w:rFonts w:ascii="Arial" w:cs="Arial" w:eastAsia="Arial" w:hAnsi="Arial"/>
                <w:sz w:val="19"/>
                <w:szCs w:val="19"/>
                <w:b w:val="1"/>
                <w:bCs w:val="1"/>
                <w:color w:val="666699"/>
              </w:rPr>
              <w:t>80%</w:t>
            </w:r>
          </w:p>
        </w:tc>
        <w:tc>
          <w:tcPr>
            <w:tcW w:w="5240" w:type="dxa"/>
            <w:vAlign w:val="bottom"/>
          </w:tcPr>
          <w:p>
            <w:pPr>
              <w:jc w:val="right"/>
              <w:ind w:right="2206"/>
              <w:spacing w:after="0"/>
              <w:rPr>
                <w:sz w:val="20"/>
                <w:szCs w:val="20"/>
                <w:color w:val="auto"/>
              </w:rPr>
            </w:pPr>
            <w:r>
              <w:rPr>
                <w:rFonts w:ascii="Arial" w:cs="Arial" w:eastAsia="Arial" w:hAnsi="Arial"/>
                <w:sz w:val="19"/>
                <w:szCs w:val="19"/>
                <w:b w:val="1"/>
                <w:bCs w:val="1"/>
                <w:color w:val="666699"/>
              </w:rPr>
              <w:t>79%</w:t>
            </w:r>
          </w:p>
        </w:tc>
        <w:tc>
          <w:tcPr>
            <w:tcW w:w="0" w:type="dxa"/>
            <w:vAlign w:val="bottom"/>
          </w:tcPr>
          <w:p>
            <w:pPr>
              <w:spacing w:after="0"/>
              <w:rPr>
                <w:sz w:val="1"/>
                <w:szCs w:val="1"/>
                <w:color w:val="auto"/>
              </w:rPr>
            </w:pPr>
          </w:p>
        </w:tc>
      </w:tr>
      <w:tr>
        <w:trPr>
          <w:trHeight w:val="141"/>
        </w:trPr>
        <w:tc>
          <w:tcPr>
            <w:tcW w:w="3060" w:type="dxa"/>
            <w:vAlign w:val="bottom"/>
            <w:vMerge w:val="continue"/>
          </w:tcPr>
          <w:p>
            <w:pPr>
              <w:spacing w:after="0"/>
              <w:rPr>
                <w:sz w:val="12"/>
                <w:szCs w:val="12"/>
                <w:color w:val="auto"/>
              </w:rPr>
            </w:pPr>
          </w:p>
        </w:tc>
        <w:tc>
          <w:tcPr>
            <w:tcW w:w="5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666699"/>
        </w:rPr>
        <w:t>70%</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666699"/>
        </w:rPr>
        <w:t>60%</w:t>
      </w:r>
    </w:p>
    <w:p>
      <w:pPr>
        <w:spacing w:after="0" w:line="22" w:lineRule="exact"/>
        <w:rPr>
          <w:sz w:val="20"/>
          <w:szCs w:val="20"/>
          <w:color w:val="auto"/>
        </w:rPr>
      </w:pPr>
    </w:p>
    <w:p>
      <w:pPr>
        <w:jc w:val="center"/>
        <w:ind w:right="320"/>
        <w:spacing w:after="0"/>
        <w:rPr>
          <w:sz w:val="20"/>
          <w:szCs w:val="20"/>
          <w:color w:val="auto"/>
        </w:rPr>
      </w:pPr>
      <w:r>
        <w:rPr>
          <w:rFonts w:ascii="Arial" w:cs="Arial" w:eastAsia="Arial" w:hAnsi="Arial"/>
          <w:sz w:val="19"/>
          <w:szCs w:val="19"/>
          <w:b w:val="1"/>
          <w:bCs w:val="1"/>
          <w:color w:val="666699"/>
        </w:rPr>
        <w:t>49%</w:t>
      </w:r>
    </w:p>
    <w:p>
      <w:pPr>
        <w:ind w:left="540"/>
        <w:spacing w:after="0"/>
        <w:rPr>
          <w:sz w:val="20"/>
          <w:szCs w:val="20"/>
          <w:color w:val="auto"/>
        </w:rPr>
      </w:pPr>
      <w:r>
        <w:rPr>
          <w:rFonts w:ascii="Arial" w:cs="Arial" w:eastAsia="Arial" w:hAnsi="Arial"/>
          <w:sz w:val="19"/>
          <w:szCs w:val="19"/>
          <w:b w:val="1"/>
          <w:bCs w:val="1"/>
          <w:color w:val="666699"/>
        </w:rPr>
        <w:t>50%</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666699"/>
        </w:rPr>
        <w:t>40%</w:t>
      </w:r>
    </w:p>
    <w:p>
      <w:pPr>
        <w:spacing w:after="0" w:line="34"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666699"/>
        </w:rPr>
        <w:t>30%</w:t>
      </w:r>
    </w:p>
    <w:tbl>
      <w:tblPr>
        <w:tblLayout w:type="fixed"/>
        <w:tblInd w:w="540" w:type="dxa"/>
        <w:tblCellMar>
          <w:top w:w="0" w:type="dxa"/>
          <w:left w:w="0" w:type="dxa"/>
          <w:bottom w:w="0" w:type="dxa"/>
          <w:right w:w="0" w:type="dxa"/>
        </w:tblCellMar>
      </w:tblPr>
      <w:tr>
        <w:trPr>
          <w:trHeight w:val="250"/>
        </w:trPr>
        <w:tc>
          <w:tcPr>
            <w:tcW w:w="1680" w:type="dxa"/>
            <w:vAlign w:val="bottom"/>
          </w:tcPr>
          <w:p>
            <w:pPr>
              <w:jc w:val="right"/>
              <w:ind w:right="1206"/>
              <w:spacing w:after="0"/>
              <w:rPr>
                <w:sz w:val="20"/>
                <w:szCs w:val="20"/>
                <w:color w:val="auto"/>
              </w:rPr>
            </w:pPr>
            <w:r>
              <w:rPr>
                <w:rFonts w:ascii="Arial" w:cs="Arial" w:eastAsia="Arial" w:hAnsi="Arial"/>
                <w:sz w:val="19"/>
                <w:szCs w:val="19"/>
                <w:b w:val="1"/>
                <w:bCs w:val="1"/>
                <w:color w:val="666699"/>
                <w:w w:val="94"/>
              </w:rPr>
              <w:t>30%</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680" w:type="dxa"/>
            <w:vAlign w:val="bottom"/>
          </w:tcPr>
          <w:p>
            <w:pPr>
              <w:jc w:val="right"/>
              <w:ind w:right="1206"/>
              <w:spacing w:after="0"/>
              <w:rPr>
                <w:sz w:val="20"/>
                <w:szCs w:val="20"/>
                <w:color w:val="auto"/>
              </w:rPr>
            </w:pPr>
            <w:r>
              <w:rPr>
                <w:rFonts w:ascii="Arial" w:cs="Arial" w:eastAsia="Arial" w:hAnsi="Arial"/>
                <w:sz w:val="19"/>
                <w:szCs w:val="19"/>
                <w:b w:val="1"/>
                <w:bCs w:val="1"/>
                <w:color w:val="666699"/>
                <w:w w:val="94"/>
              </w:rPr>
              <w:t>20%</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680" w:type="dxa"/>
            <w:vAlign w:val="bottom"/>
          </w:tcPr>
          <w:p>
            <w:pPr>
              <w:jc w:val="right"/>
              <w:ind w:right="1206"/>
              <w:spacing w:after="0"/>
              <w:rPr>
                <w:sz w:val="20"/>
                <w:szCs w:val="20"/>
                <w:color w:val="auto"/>
              </w:rPr>
            </w:pPr>
            <w:r>
              <w:rPr>
                <w:rFonts w:ascii="Arial" w:cs="Arial" w:eastAsia="Arial" w:hAnsi="Arial"/>
                <w:sz w:val="19"/>
                <w:szCs w:val="19"/>
                <w:b w:val="1"/>
                <w:bCs w:val="1"/>
                <w:color w:val="666699"/>
                <w:w w:val="94"/>
              </w:rPr>
              <w:t>10%</w:t>
            </w:r>
          </w:p>
        </w:tc>
        <w:tc>
          <w:tcPr>
            <w:tcW w:w="1160" w:type="dxa"/>
            <w:vAlign w:val="bottom"/>
            <w:vMerge w:val="restart"/>
          </w:tcPr>
          <w:p>
            <w:pPr>
              <w:jc w:val="right"/>
              <w:ind w:right="346"/>
              <w:spacing w:after="0"/>
              <w:rPr>
                <w:sz w:val="20"/>
                <w:szCs w:val="20"/>
                <w:color w:val="auto"/>
              </w:rPr>
            </w:pPr>
            <w:r>
              <w:rPr>
                <w:rFonts w:ascii="Arial" w:cs="Arial" w:eastAsia="Arial" w:hAnsi="Arial"/>
                <w:sz w:val="19"/>
                <w:szCs w:val="19"/>
                <w:b w:val="1"/>
                <w:bCs w:val="1"/>
                <w:color w:val="666699"/>
              </w:rPr>
              <w:t>4%</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680" w:type="dxa"/>
            <w:vAlign w:val="bottom"/>
            <w:vMerge w:val="restart"/>
          </w:tcPr>
          <w:p>
            <w:pPr>
              <w:jc w:val="right"/>
              <w:ind w:right="346"/>
              <w:spacing w:after="0"/>
              <w:rPr>
                <w:sz w:val="20"/>
                <w:szCs w:val="20"/>
                <w:color w:val="auto"/>
              </w:rPr>
            </w:pPr>
            <w:r>
              <w:rPr>
                <w:rFonts w:ascii="Arial" w:cs="Arial" w:eastAsia="Arial" w:hAnsi="Arial"/>
                <w:sz w:val="19"/>
                <w:szCs w:val="19"/>
                <w:b w:val="1"/>
                <w:bCs w:val="1"/>
                <w:color w:val="666699"/>
              </w:rPr>
              <w:t>1%</w:t>
            </w:r>
          </w:p>
        </w:tc>
        <w:tc>
          <w:tcPr>
            <w:tcW w:w="11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68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680" w:type="dxa"/>
            <w:vAlign w:val="bottom"/>
          </w:tcPr>
          <w:p>
            <w:pPr>
              <w:jc w:val="right"/>
              <w:ind w:right="1226"/>
              <w:spacing w:after="0"/>
              <w:rPr>
                <w:sz w:val="20"/>
                <w:szCs w:val="20"/>
                <w:color w:val="auto"/>
              </w:rPr>
            </w:pPr>
            <w:r>
              <w:rPr>
                <w:rFonts w:ascii="Arial" w:cs="Arial" w:eastAsia="Arial" w:hAnsi="Arial"/>
                <w:sz w:val="19"/>
                <w:szCs w:val="19"/>
                <w:b w:val="1"/>
                <w:bCs w:val="1"/>
                <w:color w:val="666699"/>
              </w:rPr>
              <w:t>0%</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80" w:type="dxa"/>
            <w:vAlign w:val="bottom"/>
          </w:tcPr>
          <w:p>
            <w:pPr>
              <w:jc w:val="right"/>
              <w:ind w:right="266"/>
              <w:spacing w:after="0"/>
              <w:rPr>
                <w:sz w:val="20"/>
                <w:szCs w:val="20"/>
                <w:color w:val="auto"/>
              </w:rPr>
            </w:pPr>
            <w:r>
              <w:rPr>
                <w:rFonts w:ascii="Arial" w:cs="Arial" w:eastAsia="Arial" w:hAnsi="Arial"/>
                <w:sz w:val="19"/>
                <w:szCs w:val="19"/>
                <w:b w:val="1"/>
                <w:bCs w:val="1"/>
                <w:color w:val="666699"/>
              </w:rPr>
              <w:t>2010</w:t>
            </w:r>
          </w:p>
        </w:tc>
        <w:tc>
          <w:tcPr>
            <w:tcW w:w="1160" w:type="dxa"/>
            <w:vAlign w:val="bottom"/>
          </w:tcPr>
          <w:p>
            <w:pPr>
              <w:jc w:val="right"/>
              <w:ind w:right="286"/>
              <w:spacing w:after="0"/>
              <w:rPr>
                <w:sz w:val="20"/>
                <w:szCs w:val="20"/>
                <w:color w:val="auto"/>
              </w:rPr>
            </w:pPr>
            <w:r>
              <w:rPr>
                <w:rFonts w:ascii="Arial" w:cs="Arial" w:eastAsia="Arial" w:hAnsi="Arial"/>
                <w:sz w:val="19"/>
                <w:szCs w:val="19"/>
                <w:b w:val="1"/>
                <w:bCs w:val="1"/>
                <w:color w:val="666699"/>
              </w:rPr>
              <w:t>2011</w:t>
            </w:r>
          </w:p>
        </w:tc>
        <w:tc>
          <w:tcPr>
            <w:tcW w:w="1140" w:type="dxa"/>
            <w:vAlign w:val="bottom"/>
          </w:tcPr>
          <w:p>
            <w:pPr>
              <w:jc w:val="right"/>
              <w:ind w:right="266"/>
              <w:spacing w:after="0"/>
              <w:rPr>
                <w:sz w:val="20"/>
                <w:szCs w:val="20"/>
                <w:color w:val="auto"/>
              </w:rPr>
            </w:pPr>
            <w:r>
              <w:rPr>
                <w:rFonts w:ascii="Arial" w:cs="Arial" w:eastAsia="Arial" w:hAnsi="Arial"/>
                <w:sz w:val="19"/>
                <w:szCs w:val="19"/>
                <w:b w:val="1"/>
                <w:bCs w:val="1"/>
                <w:color w:val="666699"/>
              </w:rPr>
              <w:t>2012</w:t>
            </w:r>
          </w:p>
        </w:tc>
        <w:tc>
          <w:tcPr>
            <w:tcW w:w="1160" w:type="dxa"/>
            <w:vAlign w:val="bottom"/>
          </w:tcPr>
          <w:p>
            <w:pPr>
              <w:jc w:val="right"/>
              <w:ind w:right="266"/>
              <w:spacing w:after="0"/>
              <w:rPr>
                <w:sz w:val="20"/>
                <w:szCs w:val="20"/>
                <w:color w:val="auto"/>
              </w:rPr>
            </w:pPr>
            <w:r>
              <w:rPr>
                <w:rFonts w:ascii="Arial" w:cs="Arial" w:eastAsia="Arial" w:hAnsi="Arial"/>
                <w:sz w:val="19"/>
                <w:szCs w:val="19"/>
                <w:b w:val="1"/>
                <w:bCs w:val="1"/>
                <w:color w:val="666699"/>
              </w:rPr>
              <w:t>2013</w:t>
            </w:r>
          </w:p>
        </w:tc>
        <w:tc>
          <w:tcPr>
            <w:tcW w:w="1140" w:type="dxa"/>
            <w:vAlign w:val="bottom"/>
          </w:tcPr>
          <w:p>
            <w:pPr>
              <w:jc w:val="right"/>
              <w:ind w:right="266"/>
              <w:spacing w:after="0"/>
              <w:rPr>
                <w:sz w:val="20"/>
                <w:szCs w:val="20"/>
                <w:color w:val="auto"/>
              </w:rPr>
            </w:pPr>
            <w:r>
              <w:rPr>
                <w:rFonts w:ascii="Arial" w:cs="Arial" w:eastAsia="Arial" w:hAnsi="Arial"/>
                <w:sz w:val="19"/>
                <w:szCs w:val="19"/>
                <w:b w:val="1"/>
                <w:bCs w:val="1"/>
                <w:color w:val="666699"/>
              </w:rPr>
              <w:t>2014</w:t>
            </w:r>
          </w:p>
        </w:tc>
        <w:tc>
          <w:tcPr>
            <w:tcW w:w="1160" w:type="dxa"/>
            <w:vAlign w:val="bottom"/>
          </w:tcPr>
          <w:p>
            <w:pPr>
              <w:jc w:val="right"/>
              <w:ind w:right="286"/>
              <w:spacing w:after="0"/>
              <w:rPr>
                <w:sz w:val="20"/>
                <w:szCs w:val="20"/>
                <w:color w:val="auto"/>
              </w:rPr>
            </w:pPr>
            <w:r>
              <w:rPr>
                <w:rFonts w:ascii="Arial" w:cs="Arial" w:eastAsia="Arial" w:hAnsi="Arial"/>
                <w:sz w:val="19"/>
                <w:szCs w:val="19"/>
                <w:b w:val="1"/>
                <w:bCs w:val="1"/>
                <w:color w:val="666699"/>
              </w:rPr>
              <w:t>2015</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666699"/>
              </w:rPr>
              <w:t>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322"/>
        </w:trPr>
        <w:tc>
          <w:tcPr>
            <w:tcW w:w="8040" w:type="dxa"/>
            <w:vAlign w:val="bottom"/>
          </w:tcPr>
          <w:p>
            <w:pPr>
              <w:spacing w:after="0"/>
              <w:rPr>
                <w:sz w:val="20"/>
                <w:szCs w:val="20"/>
                <w:color w:val="auto"/>
              </w:rPr>
            </w:pPr>
            <w:r>
              <w:rPr>
                <w:rFonts w:ascii="Arial" w:cs="Arial" w:eastAsia="Arial" w:hAnsi="Arial"/>
                <w:sz w:val="22"/>
                <w:szCs w:val="22"/>
                <w:color w:val="auto"/>
              </w:rPr>
              <w:t>* DXL sales include direct sales via the DestinationXL.com website.</w:t>
            </w:r>
          </w:p>
        </w:tc>
        <w:tc>
          <w:tcPr>
            <w:tcW w:w="2100" w:type="dxa"/>
            <w:vAlign w:val="bottom"/>
          </w:tcPr>
          <w:p>
            <w:pPr>
              <w:jc w:val="right"/>
              <w:spacing w:after="0"/>
              <w:rPr>
                <w:sz w:val="20"/>
                <w:szCs w:val="20"/>
                <w:color w:val="auto"/>
              </w:rPr>
            </w:pPr>
            <w:r>
              <w:rPr>
                <w:rFonts w:ascii="Arial" w:cs="Arial" w:eastAsia="Arial" w:hAnsi="Arial"/>
                <w:sz w:val="19"/>
                <w:szCs w:val="19"/>
                <w:color w:val="898989"/>
              </w:rPr>
              <w:t>20</w:t>
            </w:r>
          </w:p>
        </w:tc>
      </w:tr>
    </w:tbl>
    <w:p>
      <w:pPr>
        <w:sectPr>
          <w:pgSz w:w="11900" w:h="16838" w:orient="portrait"/>
          <w:cols w:equalWidth="0" w:num="1">
            <w:col w:w="10520"/>
          </w:cols>
          <w:pgMar w:left="480" w:top="1136" w:right="899" w:bottom="1440" w:gutter="0" w:footer="0" w:header="0"/>
        </w:sectPr>
      </w:pPr>
    </w:p>
    <w:bookmarkStart w:id="23" w:name="page24"/>
    <w:bookmarkEnd w:id="23"/>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40"/>
        <w:spacing w:after="0"/>
        <w:rPr>
          <w:sz w:val="20"/>
          <w:szCs w:val="20"/>
          <w:color w:val="auto"/>
        </w:rPr>
      </w:pPr>
      <w:r>
        <w:rPr>
          <w:rFonts w:ascii="Arial" w:cs="Arial" w:eastAsia="Arial" w:hAnsi="Arial"/>
          <w:sz w:val="28"/>
          <w:szCs w:val="28"/>
          <w:b w:val="1"/>
          <w:bCs w:val="1"/>
          <w:color w:val="auto"/>
        </w:rPr>
        <w:t>2012</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Opened </w:t>
      </w:r>
      <w:r>
        <w:rPr>
          <w:rFonts w:ascii="Arial" w:cs="Arial" w:eastAsia="Arial" w:hAnsi="Arial"/>
          <w:sz w:val="22"/>
          <w:szCs w:val="22"/>
          <w:b w:val="1"/>
          <w:bCs w:val="1"/>
          <w:color w:val="auto"/>
        </w:rPr>
        <w:t>32</w:t>
      </w:r>
      <w:r>
        <w:rPr>
          <w:rFonts w:ascii="Arial" w:cs="Arial" w:eastAsia="Arial" w:hAnsi="Arial"/>
          <w:sz w:val="22"/>
          <w:szCs w:val="22"/>
          <w:color w:val="auto"/>
        </w:rPr>
        <w:t xml:space="preserve"> DXL stores / Closed </w:t>
      </w:r>
      <w:r>
        <w:rPr>
          <w:rFonts w:ascii="Arial" w:cs="Arial" w:eastAsia="Arial" w:hAnsi="Arial"/>
          <w:sz w:val="22"/>
          <w:szCs w:val="22"/>
          <w:b w:val="1"/>
          <w:bCs w:val="1"/>
          <w:color w:val="auto"/>
        </w:rPr>
        <w:t>70</w:t>
      </w:r>
      <w:r>
        <w:rPr>
          <w:rFonts w:ascii="Arial" w:cs="Arial" w:eastAsia="Arial" w:hAnsi="Arial"/>
          <w:sz w:val="22"/>
          <w:szCs w:val="22"/>
          <w:color w:val="auto"/>
        </w:rPr>
        <w:t xml:space="preserve"> stores</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Operating margins were approximately </w:t>
      </w:r>
      <w:r>
        <w:rPr>
          <w:rFonts w:ascii="Arial" w:cs="Arial" w:eastAsia="Arial" w:hAnsi="Arial"/>
          <w:sz w:val="22"/>
          <w:szCs w:val="22"/>
          <w:b w:val="1"/>
          <w:bCs w:val="1"/>
          <w:color w:val="auto"/>
        </w:rPr>
        <w:t>3.5%</w:t>
      </w:r>
    </w:p>
    <w:p>
      <w:pPr>
        <w:spacing w:after="0" w:line="12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CapEx was </w:t>
      </w:r>
      <w:r>
        <w:rPr>
          <w:rFonts w:ascii="Arial" w:cs="Arial" w:eastAsia="Arial" w:hAnsi="Arial"/>
          <w:sz w:val="22"/>
          <w:szCs w:val="22"/>
          <w:b w:val="1"/>
          <w:bCs w:val="1"/>
          <w:color w:val="auto"/>
        </w:rPr>
        <w:t>$32.4M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21</w:t>
      </w:r>
    </w:p>
    <w:p>
      <w:pPr>
        <w:sectPr>
          <w:pgSz w:w="11900" w:h="16838" w:orient="portrait"/>
          <w:cols w:equalWidth="0" w:num="1">
            <w:col w:w="9760"/>
          </w:cols>
          <w:pgMar w:left="1240" w:top="1240" w:right="899" w:bottom="1440" w:gutter="0" w:footer="0" w:header="0"/>
        </w:sectPr>
      </w:pPr>
    </w:p>
    <w:bookmarkStart w:id="24" w:name="page25"/>
    <w:bookmarkEnd w:id="24"/>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136" w:lineRule="exact"/>
        <w:rPr>
          <w:sz w:val="20"/>
          <w:szCs w:val="20"/>
          <w:color w:val="auto"/>
        </w:rPr>
      </w:pPr>
    </w:p>
    <w:p>
      <w:pPr>
        <w:ind w:left="4560"/>
        <w:spacing w:after="0"/>
        <w:rPr>
          <w:sz w:val="20"/>
          <w:szCs w:val="20"/>
          <w:color w:val="auto"/>
        </w:rPr>
      </w:pPr>
      <w:r>
        <w:rPr>
          <w:rFonts w:ascii="Arial" w:cs="Arial" w:eastAsia="Arial" w:hAnsi="Arial"/>
          <w:sz w:val="28"/>
          <w:szCs w:val="28"/>
          <w:b w:val="1"/>
          <w:bCs w:val="1"/>
          <w:color w:val="auto"/>
        </w:rPr>
        <w:t>2013</w:t>
      </w:r>
    </w:p>
    <w:p>
      <w:pPr>
        <w:spacing w:after="0" w:line="138"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Open </w:t>
      </w:r>
      <w:r>
        <w:rPr>
          <w:rFonts w:ascii="Arial" w:cs="Arial" w:eastAsia="Arial" w:hAnsi="Arial"/>
          <w:sz w:val="20"/>
          <w:szCs w:val="20"/>
          <w:b w:val="1"/>
          <w:bCs w:val="1"/>
          <w:color w:val="auto"/>
        </w:rPr>
        <w:t>57-64</w:t>
      </w:r>
      <w:r>
        <w:rPr>
          <w:rFonts w:ascii="Arial" w:cs="Arial" w:eastAsia="Arial" w:hAnsi="Arial"/>
          <w:sz w:val="20"/>
          <w:szCs w:val="20"/>
          <w:color w:val="auto"/>
        </w:rPr>
        <w:t xml:space="preserve"> DXL stores / Close </w:t>
      </w:r>
      <w:r>
        <w:rPr>
          <w:rFonts w:ascii="Arial" w:cs="Arial" w:eastAsia="Arial" w:hAnsi="Arial"/>
          <w:sz w:val="20"/>
          <w:szCs w:val="20"/>
          <w:b w:val="1"/>
          <w:bCs w:val="1"/>
          <w:color w:val="auto"/>
        </w:rPr>
        <w:t>110-119</w:t>
      </w:r>
      <w:r>
        <w:rPr>
          <w:rFonts w:ascii="Arial" w:cs="Arial" w:eastAsia="Arial" w:hAnsi="Arial"/>
          <w:sz w:val="20"/>
          <w:szCs w:val="20"/>
          <w:color w:val="auto"/>
        </w:rPr>
        <w:t xml:space="preserve"> stores</w:t>
      </w:r>
    </w:p>
    <w:p>
      <w:pPr>
        <w:spacing w:after="0" w:line="14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Sales of </w:t>
      </w:r>
      <w:r>
        <w:rPr>
          <w:rFonts w:ascii="Arial" w:cs="Arial" w:eastAsia="Arial" w:hAnsi="Arial"/>
          <w:sz w:val="20"/>
          <w:szCs w:val="20"/>
          <w:b w:val="1"/>
          <w:bCs w:val="1"/>
          <w:color w:val="auto"/>
        </w:rPr>
        <w:t>$415 - $420M</w:t>
      </w:r>
    </w:p>
    <w:p>
      <w:pPr>
        <w:spacing w:after="0" w:line="14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Expected borrowing level of </w:t>
      </w:r>
      <w:r>
        <w:rPr>
          <w:rFonts w:ascii="Arial" w:cs="Arial" w:eastAsia="Arial" w:hAnsi="Arial"/>
          <w:sz w:val="20"/>
          <w:szCs w:val="20"/>
          <w:b w:val="1"/>
          <w:bCs w:val="1"/>
          <w:color w:val="auto"/>
        </w:rPr>
        <w:t>$10 - $15M</w:t>
      </w:r>
      <w:r>
        <w:rPr>
          <w:rFonts w:ascii="Arial" w:cs="Arial" w:eastAsia="Arial" w:hAnsi="Arial"/>
          <w:sz w:val="20"/>
          <w:szCs w:val="20"/>
          <w:color w:val="auto"/>
        </w:rPr>
        <w:t xml:space="preserve"> at year end</w:t>
      </w:r>
    </w:p>
    <w:p>
      <w:pPr>
        <w:spacing w:after="0" w:line="93" w:lineRule="exact"/>
        <w:rPr>
          <w:sz w:val="20"/>
          <w:szCs w:val="20"/>
          <w:color w:val="auto"/>
        </w:rPr>
      </w:pPr>
    </w:p>
    <w:p>
      <w:pPr>
        <w:ind w:left="4560"/>
        <w:spacing w:after="0"/>
        <w:rPr>
          <w:sz w:val="20"/>
          <w:szCs w:val="20"/>
          <w:color w:val="auto"/>
        </w:rPr>
      </w:pPr>
      <w:r>
        <w:rPr>
          <w:rFonts w:ascii="Arial" w:cs="Arial" w:eastAsia="Arial" w:hAnsi="Arial"/>
          <w:sz w:val="19"/>
          <w:szCs w:val="19"/>
          <w:color w:val="auto"/>
        </w:rPr>
        <w:t xml:space="preserve">Commence new marketing strategy with incremental </w:t>
      </w:r>
      <w:r>
        <w:rPr>
          <w:rFonts w:ascii="Arial" w:cs="Arial" w:eastAsia="Arial" w:hAnsi="Arial"/>
          <w:sz w:val="17"/>
          <w:szCs w:val="17"/>
          <w:b w:val="1"/>
          <w:bCs w:val="1"/>
          <w:color w:val="auto"/>
        </w:rPr>
        <w:t>$10M</w:t>
      </w:r>
      <w:r>
        <w:rPr>
          <w:rFonts w:ascii="Arial" w:cs="Arial" w:eastAsia="Arial" w:hAnsi="Arial"/>
          <w:sz w:val="19"/>
          <w:szCs w:val="19"/>
          <w:color w:val="auto"/>
        </w:rPr>
        <w:t xml:space="preserve"> spend</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Lease exit and asset impairment charges in the range</w:t>
      </w:r>
    </w:p>
    <w:p>
      <w:pPr>
        <w:ind w:left="4560"/>
        <w:spacing w:after="0"/>
        <w:rPr>
          <w:sz w:val="20"/>
          <w:szCs w:val="20"/>
          <w:color w:val="auto"/>
        </w:rPr>
      </w:pPr>
      <w:r>
        <w:rPr>
          <w:rFonts w:ascii="Arial" w:cs="Arial" w:eastAsia="Arial" w:hAnsi="Arial"/>
          <w:sz w:val="20"/>
          <w:szCs w:val="20"/>
          <w:color w:val="auto"/>
        </w:rPr>
        <w:t xml:space="preserve">of </w:t>
      </w:r>
      <w:r>
        <w:rPr>
          <w:rFonts w:ascii="Arial" w:cs="Arial" w:eastAsia="Arial" w:hAnsi="Arial"/>
          <w:sz w:val="18"/>
          <w:szCs w:val="18"/>
          <w:b w:val="1"/>
          <w:bCs w:val="1"/>
          <w:color w:val="auto"/>
        </w:rPr>
        <w:t>$3-$4M</w:t>
      </w:r>
      <w:r>
        <w:rPr>
          <w:rFonts w:ascii="Arial" w:cs="Arial" w:eastAsia="Arial" w:hAnsi="Arial"/>
          <w:sz w:val="20"/>
          <w:szCs w:val="20"/>
          <w:color w:val="auto"/>
        </w:rPr>
        <w:t xml:space="preserve"> </w:t>
      </w:r>
      <w:r>
        <w:rPr>
          <w:rFonts w:ascii="Arial" w:cs="Arial" w:eastAsia="Arial" w:hAnsi="Arial"/>
          <w:sz w:val="28"/>
          <w:szCs w:val="28"/>
          <w:b w:val="1"/>
          <w:bCs w:val="1"/>
          <w:color w:val="auto"/>
          <w:vertAlign w:val="superscript"/>
        </w:rPr>
        <w:t>*</w:t>
      </w:r>
    </w:p>
    <w:p>
      <w:pPr>
        <w:spacing w:after="0" w:line="50"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Operating margins of </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breakeven to 0.5%</w:t>
      </w:r>
    </w:p>
    <w:p>
      <w:pPr>
        <w:spacing w:after="0" w:line="14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 xml:space="preserve">CapEx expected to </w:t>
      </w:r>
      <w:r>
        <w:rPr>
          <w:rFonts w:ascii="Arial" w:cs="Arial" w:eastAsia="Arial" w:hAnsi="Arial"/>
          <w:sz w:val="20"/>
          <w:szCs w:val="20"/>
          <w:b w:val="1"/>
          <w:bCs w:val="1"/>
          <w:color w:val="auto"/>
        </w:rPr>
        <w:t>peak</w:t>
      </w:r>
      <w:r>
        <w:rPr>
          <w:rFonts w:ascii="Arial" w:cs="Arial" w:eastAsia="Arial" w:hAnsi="Arial"/>
          <w:sz w:val="20"/>
          <w:szCs w:val="20"/>
          <w:color w:val="auto"/>
        </w:rPr>
        <w:t xml:space="preserve"> at </w:t>
      </w:r>
      <w:r>
        <w:rPr>
          <w:rFonts w:ascii="Arial" w:cs="Arial" w:eastAsia="Arial" w:hAnsi="Arial"/>
          <w:sz w:val="20"/>
          <w:szCs w:val="20"/>
          <w:b w:val="1"/>
          <w:bCs w:val="1"/>
          <w:color w:val="auto"/>
        </w:rPr>
        <w:t>$45M</w:t>
      </w: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28"/>
          <w:szCs w:val="28"/>
          <w:b w:val="1"/>
          <w:bCs w:val="1"/>
          <w:color w:val="auto"/>
        </w:rPr>
        <w:t>2014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100" w:type="dxa"/>
            <w:vAlign w:val="bottom"/>
          </w:tcPr>
          <w:p>
            <w:pPr>
              <w:spacing w:after="0"/>
              <w:rPr>
                <w:sz w:val="22"/>
                <w:szCs w:val="22"/>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w w:val="93"/>
              </w:rPr>
              <w:t xml:space="preserve">Open </w:t>
            </w:r>
            <w:r>
              <w:rPr>
                <w:rFonts w:ascii="Arial" w:cs="Arial" w:eastAsia="Arial" w:hAnsi="Arial"/>
                <w:sz w:val="18"/>
                <w:szCs w:val="18"/>
                <w:b w:val="1"/>
                <w:bCs w:val="1"/>
                <w:color w:val="auto"/>
                <w:w w:val="93"/>
              </w:rPr>
              <w:t>60</w:t>
            </w:r>
            <w:r>
              <w:rPr>
                <w:rFonts w:ascii="Arial" w:cs="Arial" w:eastAsia="Arial" w:hAnsi="Arial"/>
                <w:sz w:val="20"/>
                <w:szCs w:val="20"/>
                <w:color w:val="auto"/>
                <w:w w:val="93"/>
              </w:rPr>
              <w:t xml:space="preserve"> DXL stores / Close </w:t>
            </w:r>
            <w:r>
              <w:rPr>
                <w:rFonts w:ascii="Arial" w:cs="Arial" w:eastAsia="Arial" w:hAnsi="Arial"/>
                <w:sz w:val="18"/>
                <w:szCs w:val="18"/>
                <w:b w:val="1"/>
                <w:bCs w:val="1"/>
                <w:color w:val="auto"/>
                <w:w w:val="93"/>
              </w:rPr>
              <w:t>99</w:t>
            </w:r>
          </w:p>
        </w:tc>
        <w:tc>
          <w:tcPr>
            <w:tcW w:w="2980" w:type="dxa"/>
            <w:vAlign w:val="bottom"/>
          </w:tcPr>
          <w:p>
            <w:pPr>
              <w:ind w:left="40"/>
              <w:spacing w:after="0"/>
              <w:rPr>
                <w:sz w:val="20"/>
                <w:szCs w:val="20"/>
                <w:color w:val="auto"/>
              </w:rPr>
            </w:pPr>
            <w:r>
              <w:rPr>
                <w:rFonts w:ascii="Arial" w:cs="Arial" w:eastAsia="Arial" w:hAnsi="Arial"/>
                <w:sz w:val="20"/>
                <w:szCs w:val="20"/>
                <w:color w:val="auto"/>
              </w:rPr>
              <w:t>stores</w:t>
            </w:r>
          </w:p>
        </w:tc>
        <w:tc>
          <w:tcPr>
            <w:tcW w:w="0" w:type="dxa"/>
            <w:vAlign w:val="bottom"/>
          </w:tcPr>
          <w:p>
            <w:pPr>
              <w:spacing w:after="0"/>
              <w:rPr>
                <w:sz w:val="1"/>
                <w:szCs w:val="1"/>
                <w:color w:val="auto"/>
              </w:rPr>
            </w:pPr>
          </w:p>
        </w:tc>
      </w:tr>
      <w:tr>
        <w:trPr>
          <w:trHeight w:val="376"/>
        </w:trPr>
        <w:tc>
          <w:tcPr>
            <w:tcW w:w="3100" w:type="dxa"/>
            <w:vAlign w:val="bottom"/>
          </w:tcPr>
          <w:p>
            <w:pPr>
              <w:spacing w:after="0"/>
              <w:rPr>
                <w:sz w:val="24"/>
                <w:szCs w:val="24"/>
                <w:color w:val="auto"/>
              </w:rPr>
            </w:pPr>
          </w:p>
        </w:tc>
        <w:tc>
          <w:tcPr>
            <w:tcW w:w="7040" w:type="dxa"/>
            <w:vAlign w:val="bottom"/>
            <w:gridSpan w:val="2"/>
          </w:tcPr>
          <w:p>
            <w:pPr>
              <w:ind w:left="1480"/>
              <w:spacing w:after="0"/>
              <w:rPr>
                <w:sz w:val="20"/>
                <w:szCs w:val="20"/>
                <w:color w:val="auto"/>
              </w:rPr>
            </w:pPr>
            <w:r>
              <w:rPr>
                <w:rFonts w:ascii="Arial" w:cs="Arial" w:eastAsia="Arial" w:hAnsi="Arial"/>
                <w:sz w:val="20"/>
                <w:szCs w:val="20"/>
                <w:color w:val="auto"/>
              </w:rPr>
              <w:t xml:space="preserve">Annual sales growth of </w:t>
            </w:r>
            <w:r>
              <w:rPr>
                <w:rFonts w:ascii="Arial" w:cs="Arial" w:eastAsia="Arial" w:hAnsi="Arial"/>
                <w:sz w:val="20"/>
                <w:szCs w:val="20"/>
                <w:b w:val="1"/>
                <w:bCs w:val="1"/>
                <w:color w:val="auto"/>
              </w:rPr>
              <w:t>~ 10% - 15%</w:t>
            </w:r>
          </w:p>
        </w:tc>
        <w:tc>
          <w:tcPr>
            <w:tcW w:w="0" w:type="dxa"/>
            <w:vAlign w:val="bottom"/>
          </w:tcPr>
          <w:p>
            <w:pPr>
              <w:spacing w:after="0"/>
              <w:rPr>
                <w:sz w:val="1"/>
                <w:szCs w:val="1"/>
                <w:color w:val="auto"/>
              </w:rPr>
            </w:pPr>
          </w:p>
        </w:tc>
      </w:tr>
      <w:tr>
        <w:trPr>
          <w:trHeight w:val="316"/>
        </w:trPr>
        <w:tc>
          <w:tcPr>
            <w:tcW w:w="3100" w:type="dxa"/>
            <w:vAlign w:val="bottom"/>
          </w:tcPr>
          <w:p>
            <w:pPr>
              <w:spacing w:after="0"/>
              <w:rPr>
                <w:sz w:val="24"/>
                <w:szCs w:val="24"/>
                <w:color w:val="auto"/>
              </w:rPr>
            </w:pPr>
          </w:p>
        </w:tc>
        <w:tc>
          <w:tcPr>
            <w:tcW w:w="7040" w:type="dxa"/>
            <w:vAlign w:val="bottom"/>
            <w:gridSpan w:val="2"/>
          </w:tcPr>
          <w:p>
            <w:pPr>
              <w:ind w:left="1480"/>
              <w:spacing w:after="0"/>
              <w:rPr>
                <w:sz w:val="20"/>
                <w:szCs w:val="20"/>
                <w:color w:val="auto"/>
              </w:rPr>
            </w:pPr>
            <w:r>
              <w:rPr>
                <w:rFonts w:ascii="Arial" w:cs="Arial" w:eastAsia="Arial" w:hAnsi="Arial"/>
                <w:sz w:val="20"/>
                <w:szCs w:val="20"/>
                <w:color w:val="auto"/>
              </w:rPr>
              <w:t xml:space="preserve">Expected borrowing level of </w:t>
            </w:r>
            <w:r>
              <w:rPr>
                <w:rFonts w:ascii="Arial" w:cs="Arial" w:eastAsia="Arial" w:hAnsi="Arial"/>
                <w:sz w:val="20"/>
                <w:szCs w:val="20"/>
                <w:b w:val="1"/>
                <w:bCs w:val="1"/>
                <w:color w:val="auto"/>
              </w:rPr>
              <w:t>$10 - $15M</w:t>
            </w:r>
          </w:p>
        </w:tc>
        <w:tc>
          <w:tcPr>
            <w:tcW w:w="0" w:type="dxa"/>
            <w:vAlign w:val="bottom"/>
          </w:tcPr>
          <w:p>
            <w:pPr>
              <w:spacing w:after="0"/>
              <w:rPr>
                <w:sz w:val="1"/>
                <w:szCs w:val="1"/>
                <w:color w:val="auto"/>
              </w:rPr>
            </w:pPr>
          </w:p>
        </w:tc>
      </w:tr>
      <w:tr>
        <w:trPr>
          <w:trHeight w:val="254"/>
        </w:trPr>
        <w:tc>
          <w:tcPr>
            <w:tcW w:w="3100" w:type="dxa"/>
            <w:vAlign w:val="bottom"/>
          </w:tcPr>
          <w:p>
            <w:pPr>
              <w:spacing w:after="0"/>
              <w:rPr>
                <w:sz w:val="22"/>
                <w:szCs w:val="22"/>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rPr>
              <w:t>at year end</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3100" w:type="dxa"/>
            <w:vAlign w:val="bottom"/>
          </w:tcPr>
          <w:p>
            <w:pPr>
              <w:spacing w:after="0"/>
              <w:rPr>
                <w:sz w:val="24"/>
                <w:szCs w:val="24"/>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w w:val="88"/>
              </w:rPr>
              <w:t>Lease exit and asset impairment</w:t>
            </w:r>
          </w:p>
        </w:tc>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4"/>
        </w:trPr>
        <w:tc>
          <w:tcPr>
            <w:tcW w:w="3100" w:type="dxa"/>
            <w:vAlign w:val="bottom"/>
          </w:tcPr>
          <w:p>
            <w:pPr>
              <w:spacing w:after="0"/>
              <w:rPr>
                <w:sz w:val="22"/>
                <w:szCs w:val="22"/>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w w:val="94"/>
              </w:rPr>
              <w:t xml:space="preserve">charges in the range of </w:t>
            </w:r>
            <w:r>
              <w:rPr>
                <w:rFonts w:ascii="Arial" w:cs="Arial" w:eastAsia="Arial" w:hAnsi="Arial"/>
                <w:sz w:val="18"/>
                <w:szCs w:val="18"/>
                <w:b w:val="1"/>
                <w:bCs w:val="1"/>
                <w:color w:val="auto"/>
                <w:w w:val="94"/>
              </w:rPr>
              <w:t>$3-$4M</w:t>
            </w:r>
          </w:p>
        </w:tc>
        <w:tc>
          <w:tcPr>
            <w:tcW w:w="2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70"/>
        </w:trPr>
        <w:tc>
          <w:tcPr>
            <w:tcW w:w="3100" w:type="dxa"/>
            <w:vAlign w:val="bottom"/>
          </w:tcPr>
          <w:p>
            <w:pPr>
              <w:spacing w:after="0"/>
              <w:rPr>
                <w:sz w:val="24"/>
                <w:szCs w:val="24"/>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rPr>
              <w:t>Operating margins of ~</w:t>
            </w:r>
            <w:r>
              <w:rPr>
                <w:rFonts w:ascii="Arial" w:cs="Arial" w:eastAsia="Arial" w:hAnsi="Arial"/>
                <w:sz w:val="18"/>
                <w:szCs w:val="18"/>
                <w:b w:val="1"/>
                <w:bCs w:val="1"/>
                <w:color w:val="auto"/>
              </w:rPr>
              <w:t>4%</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100" w:type="dxa"/>
            <w:vAlign w:val="bottom"/>
            <w:vMerge w:val="restart"/>
          </w:tcPr>
          <w:p>
            <w:pPr>
              <w:spacing w:after="0"/>
              <w:rPr>
                <w:sz w:val="20"/>
                <w:szCs w:val="20"/>
                <w:color w:val="auto"/>
              </w:rPr>
            </w:pPr>
            <w:r>
              <w:rPr>
                <w:rFonts w:ascii="Arial" w:cs="Arial" w:eastAsia="Arial" w:hAnsi="Arial"/>
                <w:sz w:val="22"/>
                <w:szCs w:val="22"/>
                <w:color w:val="auto"/>
              </w:rPr>
              <w:t>* Net of subleases</w:t>
            </w:r>
          </w:p>
        </w:tc>
        <w:tc>
          <w:tcPr>
            <w:tcW w:w="4060" w:type="dxa"/>
            <w:vAlign w:val="bottom"/>
          </w:tcPr>
          <w:p>
            <w:pPr>
              <w:ind w:left="1480"/>
              <w:spacing w:after="0"/>
              <w:rPr>
                <w:sz w:val="20"/>
                <w:szCs w:val="20"/>
                <w:color w:val="auto"/>
              </w:rPr>
            </w:pPr>
            <w:r>
              <w:rPr>
                <w:rFonts w:ascii="Arial" w:cs="Arial" w:eastAsia="Arial" w:hAnsi="Arial"/>
                <w:sz w:val="20"/>
                <w:szCs w:val="20"/>
                <w:color w:val="auto"/>
              </w:rPr>
              <w:t>CapEx expected to</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vMerge w:val="continue"/>
          </w:tcPr>
          <w:p>
            <w:pPr>
              <w:spacing w:after="0"/>
              <w:rPr>
                <w:sz w:val="22"/>
                <w:szCs w:val="22"/>
                <w:color w:val="auto"/>
              </w:rPr>
            </w:pPr>
          </w:p>
        </w:tc>
        <w:tc>
          <w:tcPr>
            <w:tcW w:w="4060" w:type="dxa"/>
            <w:vAlign w:val="bottom"/>
          </w:tcPr>
          <w:p>
            <w:pPr>
              <w:ind w:left="1480"/>
              <w:spacing w:after="0"/>
              <w:rPr>
                <w:sz w:val="20"/>
                <w:szCs w:val="20"/>
                <w:color w:val="auto"/>
              </w:rPr>
            </w:pPr>
            <w:r>
              <w:rPr>
                <w:rFonts w:ascii="Arial" w:cs="Arial" w:eastAsia="Arial" w:hAnsi="Arial"/>
                <w:sz w:val="20"/>
                <w:szCs w:val="20"/>
                <w:color w:val="auto"/>
              </w:rPr>
              <w:t xml:space="preserve">be </w:t>
            </w:r>
            <w:r>
              <w:rPr>
                <w:rFonts w:ascii="Arial" w:cs="Arial" w:eastAsia="Arial" w:hAnsi="Arial"/>
                <w:sz w:val="18"/>
                <w:szCs w:val="18"/>
                <w:b w:val="1"/>
                <w:bCs w:val="1"/>
                <w:color w:val="auto"/>
              </w:rPr>
              <w:t>$40M</w:t>
            </w:r>
          </w:p>
        </w:tc>
        <w:tc>
          <w:tcPr>
            <w:tcW w:w="2980" w:type="dxa"/>
            <w:vAlign w:val="bottom"/>
          </w:tcPr>
          <w:p>
            <w:pPr>
              <w:jc w:val="right"/>
              <w:spacing w:after="0"/>
              <w:rPr>
                <w:sz w:val="20"/>
                <w:szCs w:val="20"/>
                <w:color w:val="auto"/>
              </w:rPr>
            </w:pPr>
            <w:r>
              <w:rPr>
                <w:rFonts w:ascii="Arial" w:cs="Arial" w:eastAsia="Arial" w:hAnsi="Arial"/>
                <w:sz w:val="19"/>
                <w:szCs w:val="19"/>
                <w:color w:val="898989"/>
              </w:rPr>
              <w:t>22</w:t>
            </w:r>
          </w:p>
        </w:tc>
        <w:tc>
          <w:tcPr>
            <w:tcW w:w="0" w:type="dxa"/>
            <w:vAlign w:val="bottom"/>
          </w:tcPr>
          <w:p>
            <w:pPr>
              <w:spacing w:after="0"/>
              <w:rPr>
                <w:sz w:val="1"/>
                <w:szCs w:val="1"/>
                <w:color w:val="auto"/>
              </w:rPr>
            </w:pPr>
          </w:p>
        </w:tc>
      </w:tr>
    </w:tbl>
    <w:p>
      <w:pPr>
        <w:sectPr>
          <w:pgSz w:w="11900" w:h="16838" w:orient="portrait"/>
          <w:cols w:equalWidth="0" w:num="1">
            <w:col w:w="10140"/>
          </w:cols>
          <w:pgMar w:left="860" w:top="1240" w:right="899" w:bottom="1440" w:gutter="0" w:footer="0" w:header="0"/>
        </w:sectPr>
      </w:pPr>
    </w:p>
    <w:bookmarkStart w:id="25" w:name="page26"/>
    <w:bookmarkEnd w:id="25"/>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20"/>
        <w:spacing w:after="0"/>
        <w:rPr>
          <w:sz w:val="20"/>
          <w:szCs w:val="20"/>
          <w:color w:val="auto"/>
        </w:rPr>
      </w:pPr>
      <w:r>
        <w:rPr>
          <w:rFonts w:ascii="Arial" w:cs="Arial" w:eastAsia="Arial" w:hAnsi="Arial"/>
          <w:sz w:val="28"/>
          <w:szCs w:val="28"/>
          <w:b w:val="1"/>
          <w:bCs w:val="1"/>
          <w:color w:val="auto"/>
        </w:rPr>
        <w:t>2015</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Complete rollout with </w:t>
      </w:r>
      <w:r>
        <w:rPr>
          <w:rFonts w:ascii="Arial" w:cs="Arial" w:eastAsia="Arial" w:hAnsi="Arial"/>
          <w:sz w:val="22"/>
          <w:szCs w:val="22"/>
          <w:b w:val="1"/>
          <w:bCs w:val="1"/>
          <w:color w:val="auto"/>
        </w:rPr>
        <w:t>215 - 230</w:t>
      </w:r>
      <w:r>
        <w:rPr>
          <w:rFonts w:ascii="Arial" w:cs="Arial" w:eastAsia="Arial" w:hAnsi="Arial"/>
          <w:sz w:val="22"/>
          <w:szCs w:val="22"/>
          <w:color w:val="auto"/>
        </w:rPr>
        <w:t xml:space="preserve"> opened DXL stores and</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Closure of remaining </w:t>
      </w:r>
      <w:r>
        <w:rPr>
          <w:rFonts w:ascii="Arial" w:cs="Arial" w:eastAsia="Arial" w:hAnsi="Arial"/>
          <w:sz w:val="22"/>
          <w:szCs w:val="22"/>
          <w:b w:val="1"/>
          <w:bCs w:val="1"/>
          <w:color w:val="auto"/>
        </w:rPr>
        <w:t>63</w:t>
      </w:r>
      <w:r>
        <w:rPr>
          <w:rFonts w:ascii="Arial" w:cs="Arial" w:eastAsia="Arial" w:hAnsi="Arial"/>
          <w:sz w:val="22"/>
          <w:szCs w:val="22"/>
          <w:color w:val="auto"/>
        </w:rPr>
        <w:t xml:space="preserve"> Casual Male XL anchor stores</w:t>
      </w:r>
    </w:p>
    <w:p>
      <w:pPr>
        <w:spacing w:after="0" w:line="25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Annual sales growth of </w:t>
      </w:r>
      <w:r>
        <w:rPr>
          <w:rFonts w:ascii="Arial" w:cs="Arial" w:eastAsia="Arial" w:hAnsi="Arial"/>
          <w:sz w:val="22"/>
          <w:szCs w:val="22"/>
          <w:b w:val="1"/>
          <w:bCs w:val="1"/>
          <w:color w:val="auto"/>
        </w:rPr>
        <w:t>~10% – 15%</w:t>
      </w:r>
    </w:p>
    <w:p>
      <w:pPr>
        <w:spacing w:after="0" w:line="27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Operating margins gain traction and increase to </w:t>
      </w:r>
      <w:r>
        <w:rPr>
          <w:rFonts w:ascii="Arial" w:cs="Arial" w:eastAsia="Arial" w:hAnsi="Arial"/>
          <w:sz w:val="22"/>
          <w:szCs w:val="22"/>
          <w:b w:val="1"/>
          <w:bCs w:val="1"/>
          <w:color w:val="auto"/>
        </w:rPr>
        <w:t>~8%</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(from 4.2% in ‘11)</w:t>
      </w:r>
    </w:p>
    <w:p>
      <w:pPr>
        <w:spacing w:after="0" w:line="25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Expected ending cash balance of </w:t>
      </w:r>
      <w:r>
        <w:rPr>
          <w:rFonts w:ascii="Arial" w:cs="Arial" w:eastAsia="Arial" w:hAnsi="Arial"/>
          <w:sz w:val="22"/>
          <w:szCs w:val="22"/>
          <w:b w:val="1"/>
          <w:bCs w:val="1"/>
          <w:color w:val="auto"/>
        </w:rPr>
        <w:t>$5 - $10M</w:t>
      </w:r>
    </w:p>
    <w:p>
      <w:pPr>
        <w:spacing w:after="0" w:line="26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CapEx expected to be approximately </w:t>
      </w:r>
      <w:r>
        <w:rPr>
          <w:rFonts w:ascii="Arial" w:cs="Arial" w:eastAsia="Arial" w:hAnsi="Arial"/>
          <w:sz w:val="22"/>
          <w:szCs w:val="22"/>
          <w:b w:val="1"/>
          <w:bCs w:val="1"/>
          <w:color w:val="auto"/>
        </w:rPr>
        <w:t>$38M</w:t>
      </w:r>
    </w:p>
    <w:p>
      <w:pPr>
        <w:spacing w:after="0" w:line="29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Lease exit and asset impairment charges in the range</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of </w:t>
      </w:r>
      <w:r>
        <w:rPr>
          <w:rFonts w:ascii="Arial" w:cs="Arial" w:eastAsia="Arial" w:hAnsi="Arial"/>
          <w:sz w:val="22"/>
          <w:szCs w:val="22"/>
          <w:b w:val="1"/>
          <w:bCs w:val="1"/>
          <w:color w:val="auto"/>
        </w:rPr>
        <w:t>$2-$3M</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5780" w:type="dxa"/>
            <w:vAlign w:val="bottom"/>
          </w:tcPr>
          <w:p>
            <w:pPr>
              <w:spacing w:after="0"/>
              <w:rPr>
                <w:sz w:val="20"/>
                <w:szCs w:val="20"/>
                <w:color w:val="auto"/>
              </w:rPr>
            </w:pPr>
            <w:r>
              <w:rPr>
                <w:rFonts w:ascii="Arial" w:cs="Arial" w:eastAsia="Arial" w:hAnsi="Arial"/>
                <w:sz w:val="22"/>
                <w:szCs w:val="22"/>
                <w:color w:val="auto"/>
              </w:rPr>
              <w:t>* Net of subleases</w:t>
            </w:r>
          </w:p>
        </w:tc>
        <w:tc>
          <w:tcPr>
            <w:tcW w:w="4360" w:type="dxa"/>
            <w:vAlign w:val="bottom"/>
          </w:tcPr>
          <w:p>
            <w:pPr>
              <w:jc w:val="right"/>
              <w:spacing w:after="0"/>
              <w:rPr>
                <w:sz w:val="20"/>
                <w:szCs w:val="20"/>
                <w:color w:val="auto"/>
              </w:rPr>
            </w:pPr>
            <w:r>
              <w:rPr>
                <w:rFonts w:ascii="Arial" w:cs="Arial" w:eastAsia="Arial" w:hAnsi="Arial"/>
                <w:sz w:val="19"/>
                <w:szCs w:val="19"/>
                <w:color w:val="898989"/>
              </w:rPr>
              <w:t>23</w:t>
            </w:r>
          </w:p>
        </w:tc>
      </w:tr>
    </w:tbl>
    <w:p>
      <w:pPr>
        <w:sectPr>
          <w:pgSz w:w="11900" w:h="16838" w:orient="portrait"/>
          <w:cols w:equalWidth="0" w:num="1">
            <w:col w:w="10140"/>
          </w:cols>
          <w:pgMar w:left="860" w:top="1240" w:right="899" w:bottom="1440" w:gutter="0" w:footer="0" w:header="0"/>
        </w:sectPr>
      </w:pPr>
    </w:p>
    <w:bookmarkStart w:id="26" w:name="page27"/>
    <w:bookmarkEnd w:id="26"/>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40"/>
        <w:spacing w:after="0"/>
        <w:rPr>
          <w:sz w:val="20"/>
          <w:szCs w:val="20"/>
          <w:color w:val="auto"/>
        </w:rPr>
      </w:pPr>
      <w:r>
        <w:rPr>
          <w:rFonts w:ascii="Arial" w:cs="Arial" w:eastAsia="Arial" w:hAnsi="Arial"/>
          <w:sz w:val="28"/>
          <w:szCs w:val="28"/>
          <w:b w:val="1"/>
          <w:bCs w:val="1"/>
          <w:color w:val="auto"/>
        </w:rPr>
        <w:t>2016</w:t>
      </w:r>
    </w:p>
    <w:p>
      <w:pPr>
        <w:spacing w:after="0" w:line="4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Full benefit of DXL concept drives revenue </w:t>
      </w:r>
      <w:r>
        <w:rPr>
          <w:rFonts w:ascii="Arial" w:cs="Arial" w:eastAsia="Arial" w:hAnsi="Arial"/>
          <w:sz w:val="22"/>
          <w:szCs w:val="22"/>
          <w:b w:val="1"/>
          <w:bCs w:val="1"/>
          <w:color w:val="auto"/>
        </w:rPr>
        <w:t>&gt;$600M</w:t>
      </w:r>
    </w:p>
    <w:p>
      <w:pPr>
        <w:spacing w:after="0" w:line="26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Open average of </w:t>
      </w:r>
      <w:r>
        <w:rPr>
          <w:rFonts w:ascii="Arial" w:cs="Arial" w:eastAsia="Arial" w:hAnsi="Arial"/>
          <w:sz w:val="22"/>
          <w:szCs w:val="22"/>
          <w:b w:val="1"/>
          <w:bCs w:val="1"/>
          <w:color w:val="auto"/>
        </w:rPr>
        <w:t>10</w:t>
      </w:r>
      <w:r>
        <w:rPr>
          <w:rFonts w:ascii="Arial" w:cs="Arial" w:eastAsia="Arial" w:hAnsi="Arial"/>
          <w:sz w:val="22"/>
          <w:szCs w:val="22"/>
          <w:color w:val="auto"/>
        </w:rPr>
        <w:t xml:space="preserve"> DXL stores per year</w:t>
      </w:r>
    </w:p>
    <w:p>
      <w:pPr>
        <w:spacing w:after="0" w:line="27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Operating margins </w:t>
      </w:r>
      <w:r>
        <w:rPr>
          <w:rFonts w:ascii="Arial" w:cs="Arial" w:eastAsia="Arial" w:hAnsi="Arial"/>
          <w:sz w:val="22"/>
          <w:szCs w:val="22"/>
          <w:b w:val="1"/>
          <w:bCs w:val="1"/>
          <w:color w:val="auto"/>
        </w:rPr>
        <w:t>&gt;10%</w:t>
      </w:r>
    </w:p>
    <w:p>
      <w:pPr>
        <w:spacing w:after="0" w:line="27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Generating freecash flowin the rangeof </w:t>
      </w:r>
      <w:r>
        <w:rPr>
          <w:rFonts w:ascii="Arial" w:cs="Arial" w:eastAsia="Arial" w:hAnsi="Arial"/>
          <w:sz w:val="22"/>
          <w:szCs w:val="22"/>
          <w:b w:val="1"/>
          <w:bCs w:val="1"/>
          <w:color w:val="auto"/>
        </w:rPr>
        <w:t>$60 - $70M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24</w:t>
      </w:r>
    </w:p>
    <w:p>
      <w:pPr>
        <w:sectPr>
          <w:pgSz w:w="11900" w:h="16838" w:orient="portrait"/>
          <w:cols w:equalWidth="0" w:num="1">
            <w:col w:w="9760"/>
          </w:cols>
          <w:pgMar w:left="1240" w:top="1240" w:right="899" w:bottom="1440" w:gutter="0" w:footer="0" w:header="0"/>
        </w:sectPr>
      </w:pPr>
    </w:p>
    <w:bookmarkStart w:id="27" w:name="page28"/>
    <w:bookmarkEnd w:id="27"/>
    <w:p>
      <w:pPr>
        <w:ind w:left="80"/>
        <w:spacing w:after="0"/>
        <w:rPr>
          <w:sz w:val="20"/>
          <w:szCs w:val="20"/>
          <w:color w:val="auto"/>
        </w:rPr>
      </w:pPr>
      <w:r>
        <w:rPr>
          <w:rFonts w:ascii="Arial" w:cs="Arial" w:eastAsia="Arial" w:hAnsi="Arial"/>
          <w:sz w:val="53"/>
          <w:szCs w:val="53"/>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Increased Awareness = Opportunity</w:t>
      </w:r>
    </w:p>
    <w:p>
      <w:pPr>
        <w:sectPr>
          <w:pgSz w:w="11900" w:h="16838" w:orient="portrait"/>
          <w:cols w:equalWidth="0" w:num="1">
            <w:col w:w="10780"/>
          </w:cols>
          <w:pgMar w:left="480" w:top="934" w:right="639" w:bottom="1440" w:gutter="0" w:footer="0" w:header="0"/>
        </w:sect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28"/>
          <w:szCs w:val="28"/>
          <w:color w:val="auto"/>
        </w:rPr>
        <w:t>DXL Customer Purchase Funnel*</w:t>
      </w:r>
    </w:p>
    <w:p>
      <w:pPr>
        <w:spacing w:after="0" w:line="364" w:lineRule="exact"/>
        <w:rPr>
          <w:sz w:val="20"/>
          <w:szCs w:val="20"/>
          <w:color w:val="auto"/>
        </w:rPr>
      </w:pPr>
    </w:p>
    <w:p>
      <w:pPr>
        <w:ind w:left="2160"/>
        <w:spacing w:after="0"/>
        <w:rPr>
          <w:sz w:val="20"/>
          <w:szCs w:val="20"/>
          <w:color w:val="auto"/>
        </w:rPr>
      </w:pPr>
      <w:r>
        <w:rPr>
          <w:rFonts w:ascii="Arial" w:cs="Arial" w:eastAsia="Arial" w:hAnsi="Arial"/>
          <w:sz w:val="25"/>
          <w:szCs w:val="25"/>
          <w:b w:val="1"/>
          <w:bCs w:val="1"/>
          <w:color w:val="auto"/>
        </w:rPr>
        <w:t>Addressable Population</w:t>
      </w: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506"/>
        </w:trPr>
        <w:tc>
          <w:tcPr>
            <w:tcW w:w="1820" w:type="dxa"/>
            <w:vAlign w:val="bottom"/>
          </w:tcPr>
          <w:p>
            <w:pPr>
              <w:jc w:val="right"/>
              <w:ind w:right="742"/>
              <w:spacing w:after="0"/>
              <w:rPr>
                <w:sz w:val="20"/>
                <w:szCs w:val="20"/>
                <w:color w:val="auto"/>
              </w:rPr>
            </w:pPr>
            <w:r>
              <w:rPr>
                <w:rFonts w:ascii="Arial" w:cs="Arial" w:eastAsia="Arial" w:hAnsi="Arial"/>
                <w:sz w:val="44"/>
                <w:szCs w:val="44"/>
                <w:b w:val="1"/>
                <w:bCs w:val="1"/>
                <w:color w:val="558ED5"/>
                <w:w w:val="95"/>
              </w:rPr>
              <w:t>17%</w:t>
            </w:r>
          </w:p>
        </w:tc>
        <w:tc>
          <w:tcPr>
            <w:tcW w:w="1760" w:type="dxa"/>
            <w:vAlign w:val="bottom"/>
            <w:vMerge w:val="restart"/>
          </w:tcPr>
          <w:p>
            <w:pPr>
              <w:jc w:val="center"/>
              <w:ind w:left="117"/>
              <w:spacing w:after="0"/>
              <w:rPr>
                <w:sz w:val="20"/>
                <w:szCs w:val="20"/>
                <w:color w:val="auto"/>
              </w:rPr>
            </w:pPr>
            <w:r>
              <w:rPr>
                <w:rFonts w:ascii="Arial" w:cs="Arial" w:eastAsia="Arial" w:hAnsi="Arial"/>
                <w:sz w:val="25"/>
                <w:szCs w:val="25"/>
                <w:b w:val="1"/>
                <w:bCs w:val="1"/>
                <w:color w:val="auto"/>
                <w:w w:val="93"/>
              </w:rPr>
              <w:t>Aware of DXL</w:t>
            </w:r>
          </w:p>
        </w:tc>
        <w:tc>
          <w:tcPr>
            <w:tcW w:w="0" w:type="dxa"/>
            <w:vAlign w:val="bottom"/>
          </w:tcPr>
          <w:p>
            <w:pPr>
              <w:spacing w:after="0"/>
              <w:rPr>
                <w:sz w:val="1"/>
                <w:szCs w:val="1"/>
                <w:color w:val="auto"/>
              </w:rPr>
            </w:pPr>
          </w:p>
        </w:tc>
      </w:tr>
      <w:tr>
        <w:trPr>
          <w:trHeight w:val="74"/>
        </w:trPr>
        <w:tc>
          <w:tcPr>
            <w:tcW w:w="182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8"/>
        </w:trPr>
        <w:tc>
          <w:tcPr>
            <w:tcW w:w="1820" w:type="dxa"/>
            <w:vAlign w:val="bottom"/>
            <w:vMerge w:val="restart"/>
          </w:tcPr>
          <w:p>
            <w:pPr>
              <w:jc w:val="right"/>
              <w:ind w:right="362"/>
              <w:spacing w:after="0"/>
              <w:rPr>
                <w:sz w:val="20"/>
                <w:szCs w:val="20"/>
                <w:color w:val="auto"/>
              </w:rPr>
            </w:pPr>
            <w:r>
              <w:rPr>
                <w:rFonts w:ascii="Arial" w:cs="Arial" w:eastAsia="Arial" w:hAnsi="Arial"/>
                <w:sz w:val="44"/>
                <w:szCs w:val="44"/>
                <w:b w:val="1"/>
                <w:bCs w:val="1"/>
                <w:color w:val="558ED5"/>
              </w:rPr>
              <w:t>8%</w:t>
            </w:r>
          </w:p>
        </w:tc>
        <w:tc>
          <w:tcPr>
            <w:tcW w:w="1760" w:type="dxa"/>
            <w:vAlign w:val="bottom"/>
          </w:tcPr>
          <w:p>
            <w:pPr>
              <w:jc w:val="center"/>
              <w:ind w:left="97"/>
              <w:spacing w:after="0"/>
              <w:rPr>
                <w:sz w:val="20"/>
                <w:szCs w:val="20"/>
                <w:color w:val="auto"/>
              </w:rPr>
            </w:pPr>
            <w:r>
              <w:rPr>
                <w:rFonts w:ascii="Arial" w:cs="Arial" w:eastAsia="Arial" w:hAnsi="Arial"/>
                <w:sz w:val="25"/>
                <w:szCs w:val="25"/>
                <w:b w:val="1"/>
                <w:bCs w:val="1"/>
                <w:color w:val="auto"/>
                <w:w w:val="93"/>
              </w:rPr>
              <w:t>Visiting DXL</w:t>
            </w:r>
          </w:p>
        </w:tc>
        <w:tc>
          <w:tcPr>
            <w:tcW w:w="0" w:type="dxa"/>
            <w:vAlign w:val="bottom"/>
          </w:tcPr>
          <w:p>
            <w:pPr>
              <w:spacing w:after="0"/>
              <w:rPr>
                <w:sz w:val="1"/>
                <w:szCs w:val="1"/>
                <w:color w:val="auto"/>
              </w:rPr>
            </w:pPr>
          </w:p>
        </w:tc>
      </w:tr>
      <w:tr>
        <w:trPr>
          <w:trHeight w:val="232"/>
        </w:trPr>
        <w:tc>
          <w:tcPr>
            <w:tcW w:w="182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1820" w:type="dxa"/>
            <w:vAlign w:val="bottom"/>
            <w:vMerge w:val="restart"/>
          </w:tcPr>
          <w:p>
            <w:pPr>
              <w:jc w:val="right"/>
              <w:ind w:right="2"/>
              <w:spacing w:after="0"/>
              <w:rPr>
                <w:sz w:val="20"/>
                <w:szCs w:val="20"/>
                <w:color w:val="auto"/>
              </w:rPr>
            </w:pPr>
            <w:r>
              <w:rPr>
                <w:rFonts w:ascii="Arial" w:cs="Arial" w:eastAsia="Arial" w:hAnsi="Arial"/>
                <w:sz w:val="44"/>
                <w:szCs w:val="44"/>
                <w:b w:val="1"/>
                <w:bCs w:val="1"/>
                <w:color w:val="558ED5"/>
              </w:rPr>
              <w:t>73%</w:t>
            </w:r>
          </w:p>
        </w:tc>
        <w:tc>
          <w:tcPr>
            <w:tcW w:w="1760" w:type="dxa"/>
            <w:vAlign w:val="bottom"/>
          </w:tcPr>
          <w:p>
            <w:pPr>
              <w:jc w:val="center"/>
              <w:ind w:left="197"/>
              <w:spacing w:after="0"/>
              <w:rPr>
                <w:sz w:val="20"/>
                <w:szCs w:val="20"/>
                <w:color w:val="auto"/>
              </w:rPr>
            </w:pPr>
            <w:r>
              <w:rPr>
                <w:rFonts w:ascii="Arial" w:cs="Arial" w:eastAsia="Arial" w:hAnsi="Arial"/>
                <w:sz w:val="25"/>
                <w:szCs w:val="25"/>
                <w:b w:val="1"/>
                <w:bCs w:val="1"/>
                <w:color w:val="auto"/>
                <w:w w:val="88"/>
              </w:rPr>
              <w:t>Purchasing</w:t>
            </w:r>
          </w:p>
        </w:tc>
        <w:tc>
          <w:tcPr>
            <w:tcW w:w="0" w:type="dxa"/>
            <w:vAlign w:val="bottom"/>
          </w:tcPr>
          <w:p>
            <w:pPr>
              <w:spacing w:after="0"/>
              <w:rPr>
                <w:sz w:val="1"/>
                <w:szCs w:val="1"/>
                <w:color w:val="auto"/>
              </w:rPr>
            </w:pPr>
          </w:p>
        </w:tc>
      </w:tr>
      <w:tr>
        <w:trPr>
          <w:trHeight w:val="322"/>
        </w:trPr>
        <w:tc>
          <w:tcPr>
            <w:tcW w:w="1820" w:type="dxa"/>
            <w:vAlign w:val="bottom"/>
            <w:vMerge w:val="continue"/>
          </w:tcPr>
          <w:p>
            <w:pPr>
              <w:spacing w:after="0"/>
              <w:rPr>
                <w:sz w:val="24"/>
                <w:szCs w:val="24"/>
                <w:color w:val="auto"/>
              </w:rPr>
            </w:pPr>
          </w:p>
        </w:tc>
        <w:tc>
          <w:tcPr>
            <w:tcW w:w="1760" w:type="dxa"/>
            <w:vAlign w:val="bottom"/>
          </w:tcPr>
          <w:p>
            <w:pPr>
              <w:ind w:left="540"/>
              <w:spacing w:after="0"/>
              <w:rPr>
                <w:sz w:val="20"/>
                <w:szCs w:val="20"/>
                <w:color w:val="auto"/>
              </w:rPr>
            </w:pPr>
            <w:r>
              <w:rPr>
                <w:rFonts w:ascii="Arial" w:cs="Arial" w:eastAsia="Arial" w:hAnsi="Arial"/>
                <w:sz w:val="25"/>
                <w:szCs w:val="25"/>
                <w:b w:val="1"/>
                <w:bCs w:val="1"/>
                <w:color w:val="auto"/>
              </w:rPr>
              <w:t>from DXL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DXL’s addressable market is primarily men with over 40”waist</w:t>
      </w:r>
    </w:p>
    <w:p>
      <w:pPr>
        <w:spacing w:after="0" w:line="200" w:lineRule="exact"/>
        <w:rPr>
          <w:sz w:val="20"/>
          <w:szCs w:val="20"/>
          <w:color w:val="auto"/>
        </w:rPr>
      </w:pPr>
    </w:p>
    <w:p>
      <w:pPr>
        <w:spacing w:after="0" w:line="35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Awareness of DXL is low across its markets, directly impacting 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Of those aware of DXL, only 8% are visiting the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73% of those that visit the store make a purchase</w:t>
      </w:r>
    </w:p>
    <w:p>
      <w:pPr>
        <w:spacing w:after="0" w:line="462" w:lineRule="exact"/>
        <w:rPr>
          <w:sz w:val="20"/>
          <w:szCs w:val="20"/>
          <w:color w:val="auto"/>
        </w:rPr>
      </w:pPr>
    </w:p>
    <w:p>
      <w:pPr>
        <w:sectPr>
          <w:pgSz w:w="11900" w:h="16838" w:orient="portrait"/>
          <w:cols w:equalWidth="0" w:num="2">
            <w:col w:w="5400" w:space="520"/>
            <w:col w:w="4860"/>
          </w:cols>
          <w:pgMar w:left="480" w:top="934" w:right="639" w:bottom="1440" w:gutter="0" w:footer="0" w:header="0"/>
          <w:type w:val="continuous"/>
        </w:sectPr>
      </w:pPr>
    </w:p>
    <w:p>
      <w:pPr>
        <w:spacing w:after="0" w:line="358" w:lineRule="exact"/>
        <w:rPr>
          <w:sz w:val="20"/>
          <w:szCs w:val="20"/>
          <w:color w:val="auto"/>
        </w:rPr>
      </w:pPr>
    </w:p>
    <w:p>
      <w:pPr>
        <w:ind w:left="1840"/>
        <w:spacing w:after="0"/>
        <w:rPr>
          <w:sz w:val="20"/>
          <w:szCs w:val="20"/>
          <w:color w:val="auto"/>
        </w:rPr>
      </w:pPr>
      <w:r>
        <w:rPr>
          <w:rFonts w:ascii="Arial" w:cs="Arial" w:eastAsia="Arial" w:hAnsi="Arial"/>
          <w:sz w:val="42"/>
          <w:szCs w:val="42"/>
          <w:b w:val="1"/>
          <w:bCs w:val="1"/>
          <w:color w:val="558ED5"/>
        </w:rPr>
        <w:t>89%</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Repeat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89% of those that make a purchase</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intend to return</w:t>
      </w:r>
    </w:p>
    <w:p>
      <w:pPr>
        <w:spacing w:after="0" w:line="276" w:lineRule="exact"/>
        <w:rPr>
          <w:sz w:val="20"/>
          <w:szCs w:val="20"/>
          <w:color w:val="auto"/>
        </w:rPr>
      </w:pPr>
    </w:p>
    <w:p>
      <w:pPr>
        <w:sectPr>
          <w:pgSz w:w="11900" w:h="16838" w:orient="portrait"/>
          <w:cols w:equalWidth="0" w:num="3">
            <w:col w:w="2700" w:space="460"/>
            <w:col w:w="2040" w:space="720"/>
            <w:col w:w="4860"/>
          </w:cols>
          <w:pgMar w:left="480" w:top="934"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20"/>
                <w:szCs w:val="20"/>
                <w:color w:val="auto"/>
              </w:rPr>
            </w:pPr>
            <w:r>
              <w:rPr>
                <w:rFonts w:ascii="Arial" w:cs="Arial" w:eastAsia="Arial" w:hAnsi="Arial"/>
                <w:sz w:val="19"/>
                <w:szCs w:val="19"/>
                <w:color w:val="auto"/>
              </w:rPr>
              <w:t>*Based on consumers’stated responses per L.E.K’s survey within DXL markets</w:t>
            </w:r>
          </w:p>
        </w:tc>
        <w:tc>
          <w:tcPr>
            <w:tcW w:w="2380" w:type="dxa"/>
            <w:vAlign w:val="bottom"/>
            <w:vMerge w:val="restart"/>
          </w:tcPr>
          <w:p>
            <w:pPr>
              <w:jc w:val="right"/>
              <w:spacing w:after="0"/>
              <w:rPr>
                <w:sz w:val="20"/>
                <w:szCs w:val="20"/>
                <w:color w:val="auto"/>
              </w:rPr>
            </w:pPr>
            <w:r>
              <w:rPr>
                <w:rFonts w:ascii="Arial" w:cs="Arial" w:eastAsia="Arial" w:hAnsi="Arial"/>
                <w:sz w:val="19"/>
                <w:szCs w:val="19"/>
                <w:color w:val="898989"/>
              </w:rPr>
              <w:t>25</w:t>
            </w:r>
          </w:p>
        </w:tc>
        <w:tc>
          <w:tcPr>
            <w:tcW w:w="0" w:type="dxa"/>
            <w:vAlign w:val="bottom"/>
          </w:tcPr>
          <w:p>
            <w:pPr>
              <w:spacing w:after="0"/>
              <w:rPr>
                <w:sz w:val="1"/>
                <w:szCs w:val="1"/>
                <w:color w:val="auto"/>
              </w:rPr>
            </w:pPr>
          </w:p>
        </w:tc>
      </w:tr>
      <w:tr>
        <w:trPr>
          <w:trHeight w:val="110"/>
        </w:trPr>
        <w:tc>
          <w:tcPr>
            <w:tcW w:w="8140" w:type="dxa"/>
            <w:vAlign w:val="bottom"/>
            <w:vMerge w:val="restart"/>
          </w:tcPr>
          <w:p>
            <w:pPr>
              <w:spacing w:after="0"/>
              <w:rPr>
                <w:sz w:val="20"/>
                <w:szCs w:val="20"/>
                <w:color w:val="auto"/>
              </w:rPr>
            </w:pPr>
            <w:r>
              <w:rPr>
                <w:rFonts w:ascii="Arial" w:cs="Arial" w:eastAsia="Arial" w:hAnsi="Arial"/>
                <w:sz w:val="19"/>
                <w:szCs w:val="19"/>
                <w:color w:val="auto"/>
              </w:rPr>
              <w:t>Source: L.E.K analysis</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140" w:type="dxa"/>
            <w:vAlign w:val="bottom"/>
            <w:vMerge w:val="continue"/>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480" w:top="934" w:right="6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Opportunity to Grow Market Share</w:t>
      </w:r>
    </w:p>
    <w:p>
      <w:pPr>
        <w:spacing w:after="0" w:line="200" w:lineRule="exact"/>
        <w:rPr>
          <w:sz w:val="20"/>
          <w:szCs w:val="20"/>
          <w:color w:val="auto"/>
        </w:rPr>
      </w:pPr>
    </w:p>
    <w:p>
      <w:pPr>
        <w:spacing w:after="0" w:line="312" w:lineRule="exact"/>
        <w:rPr>
          <w:sz w:val="20"/>
          <w:szCs w:val="20"/>
          <w:color w:val="auto"/>
        </w:rPr>
      </w:pPr>
    </w:p>
    <w:p>
      <w:pPr>
        <w:ind w:left="480"/>
        <w:spacing w:after="0"/>
        <w:rPr>
          <w:sz w:val="20"/>
          <w:szCs w:val="20"/>
          <w:color w:val="auto"/>
        </w:rPr>
      </w:pPr>
      <w:r>
        <w:rPr>
          <w:rFonts w:ascii="Arial" w:cs="Arial" w:eastAsia="Arial" w:hAnsi="Arial"/>
          <w:sz w:val="25"/>
          <w:szCs w:val="25"/>
          <w:b w:val="1"/>
          <w:bCs w:val="1"/>
          <w:color w:val="auto"/>
        </w:rPr>
        <w:t>Addressable Market = 40M Customers</w:t>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25"/>
          <w:szCs w:val="25"/>
          <w:b w:val="1"/>
          <w:bCs w:val="1"/>
          <w:color w:val="auto"/>
        </w:rPr>
        <w:t>1.5M Currently Active Customers</w:t>
      </w:r>
    </w:p>
    <w:p>
      <w:pPr>
        <w:spacing w:after="0" w:line="324"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Goal = Grow Customers by 40% Over 3 Years</w:t>
      </w:r>
    </w:p>
    <w:p>
      <w:pPr>
        <w:spacing w:after="0" w:line="394"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Capture greater wallet share with DXL concept</w:t>
      </w:r>
    </w:p>
    <w:p>
      <w:pPr>
        <w:spacing w:after="0" w:line="200" w:lineRule="exact"/>
        <w:rPr>
          <w:sz w:val="20"/>
          <w:szCs w:val="20"/>
          <w:color w:val="auto"/>
        </w:rPr>
      </w:pPr>
    </w:p>
    <w:p>
      <w:pPr>
        <w:spacing w:after="0" w:line="382"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Attract a broader customer audience with one-stop-shop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Target “end-of-rack”</w:t>
      </w:r>
      <w:r>
        <w:rPr>
          <w:sz w:val="20"/>
          <w:szCs w:val="20"/>
          <w:color w:val="auto"/>
        </w:rPr>
        <w:tab/>
      </w:r>
      <w:r>
        <w:rPr>
          <w:rFonts w:ascii="Arial" w:cs="Arial" w:eastAsia="Arial" w:hAnsi="Arial"/>
          <w:sz w:val="18"/>
          <w:szCs w:val="18"/>
          <w:b w:val="1"/>
          <w:bCs w:val="1"/>
          <w:color w:val="auto"/>
        </w:rPr>
        <w:t>customers</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Paradigm shift in marketing improves awareness</w:t>
      </w:r>
    </w:p>
    <w:p>
      <w:pPr>
        <w:spacing w:after="0" w:line="200" w:lineRule="exact"/>
        <w:rPr>
          <w:sz w:val="20"/>
          <w:szCs w:val="20"/>
          <w:color w:val="auto"/>
        </w:rPr>
      </w:pPr>
    </w:p>
    <w:p>
      <w:pPr>
        <w:spacing w:after="0" w:line="394" w:lineRule="exact"/>
        <w:rPr>
          <w:sz w:val="20"/>
          <w:szCs w:val="20"/>
          <w:color w:val="auto"/>
        </w:rPr>
      </w:pPr>
    </w:p>
    <w:p>
      <w:pPr>
        <w:ind w:left="1240"/>
        <w:spacing w:after="0"/>
        <w:rPr>
          <w:sz w:val="20"/>
          <w:szCs w:val="20"/>
          <w:color w:val="auto"/>
        </w:rPr>
      </w:pPr>
      <w:r>
        <w:rPr>
          <w:rFonts w:ascii="Arial" w:cs="Arial" w:eastAsia="Arial" w:hAnsi="Arial"/>
          <w:sz w:val="22"/>
          <w:szCs w:val="22"/>
          <w:b w:val="1"/>
          <w:bCs w:val="1"/>
          <w:color w:val="auto"/>
        </w:rPr>
        <w:t>Grow direct business with new website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26</w:t>
      </w:r>
    </w:p>
    <w:p>
      <w:pPr>
        <w:sectPr>
          <w:pgSz w:w="11900" w:h="16838" w:orient="portrait"/>
          <w:cols w:equalWidth="0" w:num="1">
            <w:col w:w="9920"/>
          </w:cols>
          <w:pgMar w:left="1080" w:top="935" w:right="899" w:bottom="1440" w:gutter="0" w:footer="0" w:header="0"/>
        </w:sectPr>
      </w:pPr>
    </w:p>
    <w:bookmarkStart w:id="29" w:name="page30"/>
    <w:bookmarkEnd w:id="29"/>
    <w:p>
      <w:pPr>
        <w:spacing w:after="0"/>
        <w:tabs>
          <w:tab w:leader="none" w:pos="3220" w:val="left"/>
        </w:tabs>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Destination</w:t>
      </w:r>
      <w:r>
        <w:rPr>
          <w:sz w:val="20"/>
          <w:szCs w:val="20"/>
          <w:color w:val="auto"/>
        </w:rPr>
        <w:tab/>
      </w:r>
      <w:r>
        <w:rPr>
          <w:rFonts w:ascii="Arial" w:cs="Arial" w:eastAsia="Arial" w:hAnsi="Arial"/>
          <w:sz w:val="54"/>
          <w:szCs w:val="54"/>
          <w:b w:val="1"/>
          <w:bCs w:val="1"/>
          <w:color w:val="5F5F5F"/>
        </w:rPr>
        <w:t>XL</w:t>
      </w:r>
      <w:r>
        <w:rPr>
          <w:rFonts w:ascii="Arial" w:cs="Arial" w:eastAsia="Arial" w:hAnsi="Arial"/>
          <w:sz w:val="72"/>
          <w:szCs w:val="72"/>
          <w:b w:val="1"/>
          <w:bCs w:val="1"/>
          <w:color w:val="5F5F5F"/>
          <w:vertAlign w:val="superscript"/>
        </w:rPr>
        <w:t>®</w:t>
      </w:r>
      <w:r>
        <w:rPr>
          <w:rFonts w:ascii="Arial" w:cs="Arial" w:eastAsia="Arial" w:hAnsi="Arial"/>
          <w:sz w:val="54"/>
          <w:szCs w:val="54"/>
          <w:b w:val="1"/>
          <w:bCs w:val="1"/>
          <w:color w:val="5F5F5F"/>
        </w:rPr>
        <w:t xml:space="preserve"> Marketing Campaign</w:t>
      </w:r>
    </w:p>
    <w:p>
      <w:pPr>
        <w:spacing w:after="0" w:line="396" w:lineRule="exact"/>
        <w:rPr>
          <w:sz w:val="20"/>
          <w:szCs w:val="20"/>
          <w:color w:val="auto"/>
        </w:rPr>
      </w:pPr>
    </w:p>
    <w:p>
      <w:pPr>
        <w:ind w:left="1960"/>
        <w:spacing w:after="0"/>
        <w:rPr>
          <w:sz w:val="20"/>
          <w:szCs w:val="20"/>
          <w:color w:val="auto"/>
        </w:rPr>
      </w:pPr>
      <w:r>
        <w:rPr>
          <w:rFonts w:ascii="Arial" w:cs="Arial" w:eastAsia="Arial" w:hAnsi="Arial"/>
          <w:sz w:val="32"/>
          <w:szCs w:val="32"/>
          <w:b w:val="1"/>
          <w:bCs w:val="1"/>
          <w:color w:val="auto"/>
        </w:rPr>
        <w:t>Launched test campaign in 5 markets:</w:t>
      </w:r>
    </w:p>
    <w:p>
      <w:pPr>
        <w:spacing w:after="0" w:line="44" w:lineRule="exact"/>
        <w:rPr>
          <w:sz w:val="20"/>
          <w:szCs w:val="20"/>
          <w:color w:val="auto"/>
        </w:rPr>
      </w:pPr>
    </w:p>
    <w:p>
      <w:pPr>
        <w:ind w:left="860"/>
        <w:spacing w:after="0"/>
        <w:rPr>
          <w:sz w:val="20"/>
          <w:szCs w:val="20"/>
          <w:color w:val="auto"/>
        </w:rPr>
      </w:pPr>
      <w:r>
        <w:rPr>
          <w:rFonts w:ascii="Arial" w:cs="Arial" w:eastAsia="Arial" w:hAnsi="Arial"/>
          <w:sz w:val="32"/>
          <w:szCs w:val="32"/>
          <w:color w:val="auto"/>
        </w:rPr>
        <w:t>Memphis, Minneapolis, Denver, Atlanta and Oklahoma City</w:t>
      </w:r>
    </w:p>
    <w:p>
      <w:pPr>
        <w:sectPr>
          <w:pgSz w:w="11900" w:h="16838" w:orient="portrait"/>
          <w:cols w:equalWidth="0" w:num="1">
            <w:col w:w="10460"/>
          </w:cols>
          <w:pgMar w:left="540" w:top="1077"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60"/>
        <w:spacing w:after="0"/>
        <w:rPr>
          <w:sz w:val="20"/>
          <w:szCs w:val="20"/>
          <w:color w:val="auto"/>
        </w:rPr>
      </w:pPr>
      <w:r>
        <w:rPr>
          <w:rFonts w:ascii="Arial" w:cs="Arial" w:eastAsia="Arial" w:hAnsi="Arial"/>
          <w:sz w:val="25"/>
          <w:szCs w:val="25"/>
          <w:b w:val="1"/>
          <w:bCs w:val="1"/>
          <w:color w:val="auto"/>
        </w:rPr>
        <w:t>Increased awareness by 100%</w:t>
      </w:r>
    </w:p>
    <w:p>
      <w:pPr>
        <w:spacing w:after="0" w:line="80" w:lineRule="exact"/>
        <w:rPr>
          <w:sz w:val="20"/>
          <w:szCs w:val="20"/>
          <w:color w:val="auto"/>
        </w:rPr>
      </w:pPr>
    </w:p>
    <w:p>
      <w:pPr>
        <w:ind w:left="1220" w:right="460" w:hanging="305"/>
        <w:spacing w:after="0" w:line="316" w:lineRule="auto"/>
        <w:rPr>
          <w:sz w:val="20"/>
          <w:szCs w:val="20"/>
          <w:color w:val="auto"/>
        </w:rPr>
      </w:pPr>
      <w:r>
        <w:rPr>
          <w:rFonts w:ascii="Arial" w:cs="Arial" w:eastAsia="Arial" w:hAnsi="Arial"/>
          <w:sz w:val="26"/>
          <w:szCs w:val="26"/>
          <w:b w:val="1"/>
          <w:bCs w:val="1"/>
          <w:color w:val="auto"/>
        </w:rPr>
        <w:t>in new markets &amp; 38% in established markets</w:t>
      </w:r>
    </w:p>
    <w:p>
      <w:pPr>
        <w:spacing w:after="0" w:line="350" w:lineRule="exact"/>
        <w:rPr>
          <w:sz w:val="20"/>
          <w:szCs w:val="20"/>
          <w:color w:val="auto"/>
        </w:rPr>
      </w:pPr>
    </w:p>
    <w:p>
      <w:pPr>
        <w:ind w:left="1180"/>
        <w:spacing w:after="0"/>
        <w:rPr>
          <w:sz w:val="20"/>
          <w:szCs w:val="20"/>
          <w:color w:val="auto"/>
        </w:rPr>
      </w:pPr>
      <w:r>
        <w:rPr>
          <w:rFonts w:ascii="Arial" w:cs="Arial" w:eastAsia="Arial" w:hAnsi="Arial"/>
          <w:sz w:val="28"/>
          <w:szCs w:val="28"/>
          <w:b w:val="1"/>
          <w:bCs w:val="1"/>
          <w:color w:val="auto"/>
        </w:rPr>
        <w:t>Built Stronger Brand</w:t>
      </w:r>
    </w:p>
    <w:p>
      <w:pPr>
        <w:spacing w:after="0" w:line="39" w:lineRule="exact"/>
        <w:rPr>
          <w:sz w:val="20"/>
          <w:szCs w:val="20"/>
          <w:color w:val="auto"/>
        </w:rPr>
      </w:pPr>
    </w:p>
    <w:p>
      <w:pPr>
        <w:ind w:left="1240"/>
        <w:spacing w:after="0"/>
        <w:rPr>
          <w:sz w:val="20"/>
          <w:szCs w:val="20"/>
          <w:color w:val="auto"/>
        </w:rPr>
      </w:pPr>
      <w:r>
        <w:rPr>
          <w:rFonts w:ascii="Arial" w:cs="Arial" w:eastAsia="Arial" w:hAnsi="Arial"/>
          <w:sz w:val="28"/>
          <w:szCs w:val="28"/>
          <w:b w:val="1"/>
          <w:bCs w:val="1"/>
          <w:color w:val="auto"/>
        </w:rPr>
        <w:t>to Attract and Serve</w:t>
      </w:r>
    </w:p>
    <w:p>
      <w:pPr>
        <w:spacing w:after="0" w:line="13" w:lineRule="exact"/>
        <w:rPr>
          <w:sz w:val="20"/>
          <w:szCs w:val="20"/>
          <w:color w:val="auto"/>
        </w:rPr>
      </w:pPr>
    </w:p>
    <w:p>
      <w:pPr>
        <w:ind w:left="1780"/>
        <w:spacing w:after="0"/>
        <w:rPr>
          <w:sz w:val="20"/>
          <w:szCs w:val="20"/>
          <w:color w:val="auto"/>
        </w:rPr>
      </w:pPr>
      <w:r>
        <w:rPr>
          <w:rFonts w:ascii="Arial" w:cs="Arial" w:eastAsia="Arial" w:hAnsi="Arial"/>
          <w:sz w:val="28"/>
          <w:szCs w:val="28"/>
          <w:b w:val="1"/>
          <w:bCs w:val="1"/>
          <w:color w:val="auto"/>
        </w:rPr>
        <w:t>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“End-of-rack” customer</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base grew by 38%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auto"/>
        </w:rPr>
        <w:t>Results Demonstrate</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28"/>
          <w:szCs w:val="28"/>
          <w:b w:val="1"/>
          <w:bCs w:val="1"/>
          <w:color w:val="auto"/>
        </w:rPr>
        <w:t>Ability to Grow</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Market Share</w:t>
      </w:r>
    </w:p>
    <w:p>
      <w:pPr>
        <w:spacing w:after="0" w:line="200" w:lineRule="exact"/>
        <w:rPr>
          <w:sz w:val="20"/>
          <w:szCs w:val="20"/>
          <w:color w:val="auto"/>
        </w:rPr>
      </w:pPr>
    </w:p>
    <w:p>
      <w:pPr>
        <w:sectPr>
          <w:pgSz w:w="11900" w:h="16838" w:orient="portrait"/>
          <w:cols w:equalWidth="0" w:num="2">
            <w:col w:w="4480" w:space="720"/>
            <w:col w:w="5260"/>
          </w:cols>
          <w:pgMar w:left="540" w:top="1077"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260"/>
        <w:spacing w:after="0"/>
        <w:rPr>
          <w:sz w:val="20"/>
          <w:szCs w:val="20"/>
          <w:color w:val="auto"/>
        </w:rPr>
      </w:pPr>
      <w:r>
        <w:rPr>
          <w:rFonts w:ascii="Arial" w:cs="Arial" w:eastAsia="Arial" w:hAnsi="Arial"/>
          <w:sz w:val="17"/>
          <w:szCs w:val="17"/>
          <w:color w:val="898989"/>
        </w:rPr>
        <w:t>27</w:t>
      </w:r>
    </w:p>
    <w:p>
      <w:pPr>
        <w:sectPr>
          <w:pgSz w:w="11900" w:h="16838" w:orient="portrait"/>
          <w:cols w:equalWidth="0" w:num="1">
            <w:col w:w="10460"/>
          </w:cols>
          <w:pgMar w:left="540" w:top="1077" w:right="8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Established Effective Marketing Mix</w:t>
      </w:r>
    </w:p>
    <w:p>
      <w:pPr>
        <w:spacing w:after="0" w:line="372" w:lineRule="exact"/>
        <w:rPr>
          <w:sz w:val="20"/>
          <w:szCs w:val="20"/>
          <w:color w:val="auto"/>
        </w:rPr>
      </w:pPr>
    </w:p>
    <w:p>
      <w:pPr>
        <w:ind w:left="2680" w:right="2260" w:hanging="787"/>
        <w:spacing w:after="0" w:line="319" w:lineRule="auto"/>
        <w:rPr>
          <w:sz w:val="20"/>
          <w:szCs w:val="20"/>
          <w:color w:val="auto"/>
        </w:rPr>
      </w:pPr>
      <w:r>
        <w:rPr>
          <w:rFonts w:ascii="Arial" w:cs="Arial" w:eastAsia="Arial" w:hAnsi="Arial"/>
          <w:sz w:val="26"/>
          <w:szCs w:val="26"/>
          <w:b w:val="1"/>
          <w:bCs w:val="1"/>
          <w:color w:val="auto"/>
        </w:rPr>
        <w:t>6-Week Test Demonstrated TV, Radio and Digital is Most Effective Marketing Combination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340" w:type="dxa"/>
        <w:tblCellMar>
          <w:top w:w="0" w:type="dxa"/>
          <w:left w:w="0" w:type="dxa"/>
          <w:bottom w:w="0" w:type="dxa"/>
          <w:right w:w="0" w:type="dxa"/>
        </w:tblCellMar>
      </w:tblPr>
      <w:tr>
        <w:trPr>
          <w:trHeight w:val="525"/>
        </w:trPr>
        <w:tc>
          <w:tcPr>
            <w:tcW w:w="2560" w:type="dxa"/>
            <w:vAlign w:val="bottom"/>
          </w:tcPr>
          <w:p>
            <w:pPr>
              <w:spacing w:after="0"/>
              <w:rPr>
                <w:sz w:val="20"/>
                <w:szCs w:val="20"/>
                <w:color w:val="auto"/>
              </w:rPr>
            </w:pPr>
            <w:r>
              <w:rPr>
                <w:rFonts w:ascii="Arial" w:cs="Arial" w:eastAsia="Arial" w:hAnsi="Arial"/>
                <w:sz w:val="44"/>
                <w:szCs w:val="44"/>
                <w:b w:val="1"/>
                <w:bCs w:val="1"/>
                <w:color w:val="auto"/>
              </w:rPr>
              <w:t>15% sales</w:t>
            </w:r>
          </w:p>
        </w:tc>
        <w:tc>
          <w:tcPr>
            <w:tcW w:w="3840" w:type="dxa"/>
            <w:vAlign w:val="bottom"/>
          </w:tcPr>
          <w:p>
            <w:pPr>
              <w:jc w:val="center"/>
              <w:ind w:left="285"/>
              <w:spacing w:after="0"/>
              <w:rPr>
                <w:sz w:val="20"/>
                <w:szCs w:val="20"/>
                <w:color w:val="auto"/>
              </w:rPr>
            </w:pPr>
            <w:r>
              <w:rPr>
                <w:rFonts w:ascii="Arial" w:cs="Arial" w:eastAsia="Arial" w:hAnsi="Arial"/>
                <w:sz w:val="27"/>
                <w:szCs w:val="27"/>
                <w:color w:val="auto"/>
                <w:w w:val="91"/>
              </w:rPr>
              <w:t>Established Market</w:t>
            </w:r>
          </w:p>
        </w:tc>
      </w:tr>
      <w:tr>
        <w:trPr>
          <w:trHeight w:val="345"/>
        </w:trPr>
        <w:tc>
          <w:tcPr>
            <w:tcW w:w="2560" w:type="dxa"/>
            <w:vAlign w:val="bottom"/>
          </w:tcPr>
          <w:p>
            <w:pPr>
              <w:spacing w:after="0"/>
              <w:rPr>
                <w:sz w:val="24"/>
                <w:szCs w:val="24"/>
                <w:color w:val="auto"/>
              </w:rPr>
            </w:pPr>
          </w:p>
        </w:tc>
        <w:tc>
          <w:tcPr>
            <w:tcW w:w="3840" w:type="dxa"/>
            <w:vAlign w:val="bottom"/>
          </w:tcPr>
          <w:p>
            <w:pPr>
              <w:jc w:val="center"/>
              <w:ind w:left="265"/>
              <w:spacing w:after="0"/>
              <w:rPr>
                <w:sz w:val="20"/>
                <w:szCs w:val="20"/>
                <w:color w:val="auto"/>
              </w:rPr>
            </w:pPr>
            <w:r>
              <w:rPr>
                <w:rFonts w:ascii="Arial" w:cs="Arial" w:eastAsia="Arial" w:hAnsi="Arial"/>
                <w:sz w:val="27"/>
                <w:szCs w:val="27"/>
                <w:color w:val="auto"/>
                <w:w w:val="93"/>
              </w:rPr>
              <w:t>Memphis DXL Opened in 2010</w:t>
            </w:r>
          </w:p>
        </w:tc>
      </w:tr>
      <w:tr>
        <w:trPr>
          <w:trHeight w:val="638"/>
        </w:trPr>
        <w:tc>
          <w:tcPr>
            <w:tcW w:w="2560" w:type="dxa"/>
            <w:vAlign w:val="bottom"/>
          </w:tcPr>
          <w:p>
            <w:pPr>
              <w:spacing w:after="0"/>
              <w:rPr>
                <w:sz w:val="20"/>
                <w:szCs w:val="20"/>
                <w:color w:val="auto"/>
              </w:rPr>
            </w:pPr>
            <w:r>
              <w:rPr>
                <w:rFonts w:ascii="Arial" w:cs="Arial" w:eastAsia="Arial" w:hAnsi="Arial"/>
                <w:sz w:val="44"/>
                <w:szCs w:val="44"/>
                <w:b w:val="1"/>
                <w:bCs w:val="1"/>
                <w:color w:val="auto"/>
              </w:rPr>
              <w:t>24% traffic</w:t>
            </w:r>
          </w:p>
        </w:tc>
        <w:tc>
          <w:tcPr>
            <w:tcW w:w="3840" w:type="dxa"/>
            <w:vAlign w:val="bottom"/>
          </w:tcPr>
          <w:p>
            <w:pPr>
              <w:spacing w:after="0"/>
              <w:rPr>
                <w:sz w:val="24"/>
                <w:szCs w:val="24"/>
                <w:color w:val="auto"/>
              </w:rPr>
            </w:pPr>
          </w:p>
        </w:tc>
      </w:tr>
    </w:tbl>
    <w:p>
      <w:pPr>
        <w:spacing w:after="0" w:line="373" w:lineRule="exact"/>
        <w:rPr>
          <w:sz w:val="20"/>
          <w:szCs w:val="20"/>
          <w:color w:val="auto"/>
        </w:rPr>
      </w:pPr>
    </w:p>
    <w:p>
      <w:pPr>
        <w:ind w:left="1360"/>
        <w:spacing w:after="0"/>
        <w:rPr>
          <w:sz w:val="20"/>
          <w:szCs w:val="20"/>
          <w:color w:val="auto"/>
        </w:rPr>
      </w:pPr>
      <w:r>
        <w:rPr>
          <w:rFonts w:ascii="Arial" w:cs="Arial" w:eastAsia="Arial" w:hAnsi="Arial"/>
          <w:sz w:val="44"/>
          <w:szCs w:val="44"/>
          <w:b w:val="1"/>
          <w:bCs w:val="1"/>
          <w:color w:val="auto"/>
        </w:rPr>
        <w:t>64% new customer purchases</w:t>
      </w:r>
    </w:p>
    <w:p>
      <w:pPr>
        <w:spacing w:after="0" w:line="317" w:lineRule="exact"/>
        <w:rPr>
          <w:sz w:val="20"/>
          <w:szCs w:val="20"/>
          <w:color w:val="auto"/>
        </w:rPr>
      </w:pPr>
    </w:p>
    <w:p>
      <w:pPr>
        <w:ind w:left="1340"/>
        <w:spacing w:after="0"/>
        <w:rPr>
          <w:sz w:val="20"/>
          <w:szCs w:val="20"/>
          <w:color w:val="auto"/>
        </w:rPr>
      </w:pPr>
      <w:r>
        <w:rPr>
          <w:rFonts w:ascii="Arial" w:cs="Arial" w:eastAsia="Arial" w:hAnsi="Arial"/>
          <w:sz w:val="44"/>
          <w:szCs w:val="44"/>
          <w:b w:val="1"/>
          <w:bCs w:val="1"/>
          <w:color w:val="auto"/>
        </w:rPr>
        <w:t>38% market awareness</w:t>
      </w:r>
    </w:p>
    <w:p>
      <w:pPr>
        <w:spacing w:after="0" w:line="352" w:lineRule="exact"/>
        <w:rPr>
          <w:sz w:val="20"/>
          <w:szCs w:val="20"/>
          <w:color w:val="auto"/>
        </w:rPr>
      </w:pPr>
    </w:p>
    <w:p>
      <w:pPr>
        <w:ind w:left="1380"/>
        <w:spacing w:after="0"/>
        <w:rPr>
          <w:sz w:val="20"/>
          <w:szCs w:val="20"/>
          <w:color w:val="auto"/>
        </w:rPr>
      </w:pPr>
      <w:r>
        <w:rPr>
          <w:rFonts w:ascii="Arial" w:cs="Arial" w:eastAsia="Arial" w:hAnsi="Arial"/>
          <w:sz w:val="44"/>
          <w:szCs w:val="44"/>
          <w:b w:val="1"/>
          <w:bCs w:val="1"/>
          <w:color w:val="auto"/>
        </w:rPr>
        <w:t>84% web traffic</w:t>
      </w:r>
    </w:p>
    <w:p>
      <w:pPr>
        <w:spacing w:after="0" w:line="349" w:lineRule="exact"/>
        <w:rPr>
          <w:sz w:val="20"/>
          <w:szCs w:val="20"/>
          <w:color w:val="auto"/>
        </w:rPr>
      </w:pPr>
    </w:p>
    <w:p>
      <w:pPr>
        <w:ind w:left="1500"/>
        <w:spacing w:after="0"/>
        <w:rPr>
          <w:sz w:val="20"/>
          <w:szCs w:val="20"/>
          <w:color w:val="auto"/>
        </w:rPr>
      </w:pPr>
      <w:r>
        <w:rPr>
          <w:rFonts w:ascii="Arial" w:cs="Arial" w:eastAsia="Arial" w:hAnsi="Arial"/>
          <w:sz w:val="44"/>
          <w:szCs w:val="44"/>
          <w:b w:val="1"/>
          <w:bCs w:val="1"/>
          <w:color w:val="auto"/>
        </w:rPr>
        <w:t>7% web sales</w:t>
      </w:r>
    </w:p>
    <w:p>
      <w:pPr>
        <w:jc w:val="right"/>
        <w:spacing w:after="0"/>
        <w:rPr>
          <w:sz w:val="20"/>
          <w:szCs w:val="20"/>
          <w:color w:val="auto"/>
        </w:rPr>
      </w:pPr>
      <w:r>
        <w:rPr>
          <w:rFonts w:ascii="Arial" w:cs="Arial" w:eastAsia="Arial" w:hAnsi="Arial"/>
          <w:sz w:val="19"/>
          <w:szCs w:val="19"/>
          <w:color w:val="898989"/>
        </w:rPr>
        <w:t>28</w:t>
      </w:r>
    </w:p>
    <w:p>
      <w:pPr>
        <w:sectPr>
          <w:pgSz w:w="11900" w:h="16838" w:orient="portrait"/>
          <w:cols w:equalWidth="0" w:num="1">
            <w:col w:w="10360"/>
          </w:cols>
          <w:pgMar w:left="640" w:top="911" w:right="899" w:bottom="1440" w:gutter="0" w:footer="0" w:header="0"/>
        </w:sectPr>
      </w:pPr>
    </w:p>
    <w:bookmarkStart w:id="31" w:name="page32"/>
    <w:bookmarkEnd w:id="31"/>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Test TV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28"/>
          <w:szCs w:val="28"/>
          <w:color w:val="auto"/>
        </w:rPr>
        <w:t>Marketing to Customers in “No Man’s Land”</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29</w:t>
      </w:r>
    </w:p>
    <w:p>
      <w:pPr>
        <w:sectPr>
          <w:pgSz w:w="11900" w:h="16838" w:orient="portrait"/>
          <w:cols w:equalWidth="0" w:num="1">
            <w:col w:w="9960"/>
          </w:cols>
          <w:pgMar w:left="1040" w:top="1052" w:right="899" w:bottom="1440" w:gutter="0" w:footer="0" w:header="0"/>
        </w:sectPr>
      </w:pPr>
    </w:p>
    <w:bookmarkStart w:id="32" w:name="page33"/>
    <w:bookmarkEnd w:id="32"/>
    <w:p>
      <w:pPr>
        <w:ind w:left="60"/>
        <w:spacing w:after="0"/>
        <w:rPr>
          <w:sz w:val="20"/>
          <w:szCs w:val="20"/>
          <w:color w:val="auto"/>
        </w:rPr>
      </w:pPr>
      <w:r>
        <w:rPr>
          <w:rFonts w:ascii="Arial" w:cs="Arial" w:eastAsia="Arial" w:hAnsi="Arial"/>
          <w:sz w:val="54"/>
          <w:szCs w:val="54"/>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Proposed 2013 Marketing Spend</w:t>
      </w:r>
    </w:p>
    <w:p>
      <w:pPr>
        <w:spacing w:after="0" w:line="358" w:lineRule="exact"/>
        <w:rPr>
          <w:sz w:val="20"/>
          <w:szCs w:val="20"/>
          <w:color w:val="auto"/>
        </w:rPr>
      </w:pPr>
    </w:p>
    <w:p>
      <w:pPr>
        <w:ind w:left="580" w:hanging="421"/>
        <w:spacing w:after="0"/>
        <w:tabs>
          <w:tab w:leader="none" w:pos="580" w:val="left"/>
        </w:tabs>
        <w:numPr>
          <w:ilvl w:val="0"/>
          <w:numId w:val="3"/>
        </w:numPr>
        <w:rPr>
          <w:rFonts w:ascii="Arial" w:cs="Arial" w:eastAsia="Arial" w:hAnsi="Arial"/>
          <w:sz w:val="25"/>
          <w:szCs w:val="25"/>
          <w:color w:val="auto"/>
        </w:rPr>
      </w:pPr>
      <w:r>
        <w:rPr>
          <w:rFonts w:ascii="Arial" w:cs="Arial" w:eastAsia="Arial" w:hAnsi="Arial"/>
          <w:sz w:val="25"/>
          <w:szCs w:val="25"/>
          <w:b w:val="1"/>
          <w:bCs w:val="1"/>
          <w:color w:val="auto"/>
        </w:rPr>
        <w:t>Increase marketing spend as percent of sales from 4.5% to 6.5%</w:t>
      </w:r>
    </w:p>
    <w:p>
      <w:pPr>
        <w:spacing w:after="0" w:line="124" w:lineRule="exact"/>
        <w:rPr>
          <w:rFonts w:ascii="Arial" w:cs="Arial" w:eastAsia="Arial" w:hAnsi="Arial"/>
          <w:sz w:val="25"/>
          <w:szCs w:val="25"/>
          <w:color w:val="auto"/>
        </w:rPr>
      </w:pPr>
    </w:p>
    <w:p>
      <w:pPr>
        <w:ind w:left="580" w:hanging="421"/>
        <w:spacing w:after="0"/>
        <w:tabs>
          <w:tab w:leader="none" w:pos="580" w:val="left"/>
        </w:tabs>
        <w:numPr>
          <w:ilvl w:val="0"/>
          <w:numId w:val="3"/>
        </w:numPr>
        <w:rPr>
          <w:rFonts w:ascii="Arial" w:cs="Arial" w:eastAsia="Arial" w:hAnsi="Arial"/>
          <w:sz w:val="28"/>
          <w:szCs w:val="28"/>
          <w:color w:val="auto"/>
        </w:rPr>
      </w:pPr>
      <w:r>
        <w:rPr>
          <w:rFonts w:ascii="Arial" w:cs="Arial" w:eastAsia="Arial" w:hAnsi="Arial"/>
          <w:sz w:val="28"/>
          <w:szCs w:val="28"/>
          <w:b w:val="1"/>
          <w:bCs w:val="1"/>
          <w:color w:val="auto"/>
        </w:rPr>
        <w:t>Launch strong national marketing campaign in spring 2013</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$M</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0</w:t>
      </w:r>
    </w:p>
    <w:p>
      <w:pPr>
        <w:sectPr>
          <w:pgSz w:w="11900" w:h="16838" w:orient="portrait"/>
          <w:cols w:equalWidth="0" w:num="1">
            <w:col w:w="10020"/>
          </w:cols>
          <w:pgMar w:left="980" w:top="1052" w:right="899" w:bottom="1440" w:gutter="0" w:footer="0" w:header="0"/>
        </w:sectPr>
      </w:pPr>
    </w:p>
    <w:p>
      <w:pPr>
        <w:spacing w:after="0" w:line="28"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DXL Media</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Digital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Visual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Loyalty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168" w:lineRule="exact"/>
        <w:rPr>
          <w:sz w:val="20"/>
          <w:szCs w:val="20"/>
          <w:color w:val="auto"/>
        </w:rPr>
      </w:pPr>
    </w:p>
    <w:p>
      <w:pPr>
        <w:sectPr>
          <w:pgSz w:w="11900" w:h="16838" w:orient="portrait"/>
          <w:cols w:equalWidth="0" w:num="6">
            <w:col w:w="1440" w:space="600"/>
            <w:col w:w="560" w:space="720"/>
            <w:col w:w="600" w:space="720"/>
            <w:col w:w="520" w:space="720"/>
            <w:col w:w="660" w:space="720"/>
            <w:col w:w="2760"/>
          </w:cols>
          <w:pgMar w:left="980" w:top="1052" w:right="899" w:bottom="1440" w:gutter="0" w:footer="0" w:header="0"/>
          <w:type w:val="continuous"/>
        </w:sectPr>
      </w:pPr>
    </w:p>
    <w:p>
      <w:pPr>
        <w:ind w:left="3740"/>
        <w:spacing w:after="0"/>
        <w:rPr>
          <w:sz w:val="20"/>
          <w:szCs w:val="20"/>
          <w:color w:val="auto"/>
        </w:rPr>
      </w:pP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2013</w:t>
      </w:r>
    </w:p>
    <w:p>
      <w:pPr>
        <w:spacing w:after="0" w:line="200" w:lineRule="exact"/>
        <w:rPr>
          <w:sz w:val="20"/>
          <w:szCs w:val="20"/>
          <w:color w:val="auto"/>
        </w:rPr>
      </w:pPr>
    </w:p>
    <w:p>
      <w:pPr>
        <w:sectPr>
          <w:pgSz w:w="11900" w:h="16838" w:orient="portrait"/>
          <w:cols w:equalWidth="0" w:num="2">
            <w:col w:w="4100" w:space="340"/>
            <w:col w:w="5580"/>
          </w:cols>
          <w:pgMar w:left="980" w:top="1052" w:right="899" w:bottom="1440" w:gutter="0" w:footer="0" w:header="0"/>
          <w:type w:val="continuous"/>
        </w:sectPr>
      </w:pPr>
    </w:p>
    <w:p>
      <w:pPr>
        <w:spacing w:after="0" w:line="183" w:lineRule="exact"/>
        <w:rPr>
          <w:sz w:val="20"/>
          <w:szCs w:val="20"/>
          <w:color w:val="auto"/>
        </w:rPr>
      </w:pPr>
    </w:p>
    <w:p>
      <w:pPr>
        <w:ind w:left="1320"/>
        <w:spacing w:after="0"/>
        <w:rPr>
          <w:sz w:val="20"/>
          <w:szCs w:val="20"/>
          <w:color w:val="auto"/>
        </w:rPr>
      </w:pPr>
      <w:r>
        <w:rPr>
          <w:rFonts w:ascii="Arial" w:cs="Arial" w:eastAsia="Arial" w:hAnsi="Arial"/>
          <w:sz w:val="25"/>
          <w:szCs w:val="25"/>
          <w:color w:val="auto"/>
        </w:rPr>
        <w:t>Total 50% Increase YOY</w:t>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26"/>
          <w:szCs w:val="26"/>
          <w:color w:val="auto"/>
        </w:rPr>
        <w:t>to Drive DXL Awareness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898989"/>
        </w:rPr>
        <w:t>30</w:t>
      </w:r>
    </w:p>
    <w:p>
      <w:pPr>
        <w:sectPr>
          <w:pgSz w:w="11900" w:h="16838" w:orient="portrait"/>
          <w:cols w:equalWidth="0" w:num="2">
            <w:col w:w="9100" w:space="720"/>
            <w:col w:w="200"/>
          </w:cols>
          <w:pgMar w:left="980" w:top="1052" w:right="8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Q4 2012 Preliminary Results</w:t>
      </w:r>
    </w:p>
    <w:p>
      <w:pPr>
        <w:spacing w:after="0" w:line="300" w:lineRule="exact"/>
        <w:rPr>
          <w:sz w:val="20"/>
          <w:szCs w:val="20"/>
          <w:color w:val="auto"/>
        </w:rPr>
      </w:pPr>
    </w:p>
    <w:p>
      <w:pPr>
        <w:ind w:left="420" w:hanging="415"/>
        <w:spacing w:after="0"/>
        <w:tabs>
          <w:tab w:leader="none" w:pos="420" w:val="left"/>
        </w:tabs>
        <w:numPr>
          <w:ilvl w:val="0"/>
          <w:numId w:val="4"/>
        </w:numPr>
        <w:rPr>
          <w:rFonts w:ascii="Arial" w:cs="Arial" w:eastAsia="Arial" w:hAnsi="Arial"/>
          <w:sz w:val="33"/>
          <w:szCs w:val="33"/>
          <w:color w:val="auto"/>
        </w:rPr>
      </w:pPr>
      <w:r>
        <w:rPr>
          <w:rFonts w:ascii="Arial" w:cs="Arial" w:eastAsia="Arial" w:hAnsi="Arial"/>
          <w:sz w:val="33"/>
          <w:szCs w:val="33"/>
          <w:color w:val="auto"/>
        </w:rPr>
        <w:t>Comparable sales increased ~0.5% and total sales were ~$114.9M</w:t>
      </w:r>
    </w:p>
    <w:p>
      <w:pPr>
        <w:spacing w:after="0" w:line="325" w:lineRule="exact"/>
        <w:rPr>
          <w:rFonts w:ascii="Arial" w:cs="Arial" w:eastAsia="Arial" w:hAnsi="Arial"/>
          <w:sz w:val="33"/>
          <w:szCs w:val="33"/>
          <w:color w:val="auto"/>
        </w:rPr>
      </w:pPr>
    </w:p>
    <w:p>
      <w:pPr>
        <w:ind w:left="420" w:right="1120" w:hanging="415"/>
        <w:spacing w:after="0" w:line="268" w:lineRule="auto"/>
        <w:tabs>
          <w:tab w:leader="none" w:pos="420" w:val="left"/>
        </w:tabs>
        <w:numPr>
          <w:ilvl w:val="0"/>
          <w:numId w:val="4"/>
        </w:numPr>
        <w:rPr>
          <w:rFonts w:ascii="Arial" w:cs="Arial" w:eastAsia="Arial" w:hAnsi="Arial"/>
          <w:sz w:val="38"/>
          <w:szCs w:val="38"/>
          <w:color w:val="auto"/>
        </w:rPr>
      </w:pPr>
      <w:r>
        <w:rPr>
          <w:rFonts w:ascii="Arial" w:cs="Arial" w:eastAsia="Arial" w:hAnsi="Arial"/>
          <w:sz w:val="38"/>
          <w:szCs w:val="38"/>
          <w:color w:val="auto"/>
        </w:rPr>
        <w:t>Full year comparable sales increased ~1.5% and total sales were ~$399.6M</w:t>
      </w:r>
    </w:p>
    <w:p>
      <w:pPr>
        <w:spacing w:after="0" w:line="176" w:lineRule="exact"/>
        <w:rPr>
          <w:rFonts w:ascii="Arial" w:cs="Arial" w:eastAsia="Arial" w:hAnsi="Arial"/>
          <w:sz w:val="38"/>
          <w:szCs w:val="38"/>
          <w:color w:val="auto"/>
        </w:rPr>
      </w:pPr>
    </w:p>
    <w:p>
      <w:pPr>
        <w:ind w:left="420" w:right="400" w:hanging="415"/>
        <w:spacing w:after="0" w:line="328" w:lineRule="auto"/>
        <w:tabs>
          <w:tab w:leader="none" w:pos="420" w:val="left"/>
        </w:tabs>
        <w:numPr>
          <w:ilvl w:val="0"/>
          <w:numId w:val="4"/>
        </w:numPr>
        <w:rPr>
          <w:rFonts w:ascii="Arial" w:cs="Arial" w:eastAsia="Arial" w:hAnsi="Arial"/>
          <w:sz w:val="34"/>
          <w:szCs w:val="34"/>
          <w:color w:val="auto"/>
        </w:rPr>
      </w:pPr>
      <w:r>
        <w:rPr>
          <w:rFonts w:ascii="Arial" w:cs="Arial" w:eastAsia="Arial" w:hAnsi="Arial"/>
          <w:sz w:val="34"/>
          <w:szCs w:val="34"/>
          <w:color w:val="auto"/>
        </w:rPr>
        <w:t>Q4 comparable sales for DXLwere up ~15%, while comparable sales for Casual Male XL stores decreased ~2.3%</w:t>
      </w:r>
    </w:p>
    <w:p>
      <w:pPr>
        <w:spacing w:after="0" w:line="83" w:lineRule="exact"/>
        <w:rPr>
          <w:rFonts w:ascii="Arial" w:cs="Arial" w:eastAsia="Arial" w:hAnsi="Arial"/>
          <w:sz w:val="34"/>
          <w:szCs w:val="34"/>
          <w:color w:val="auto"/>
        </w:rPr>
      </w:pPr>
    </w:p>
    <w:p>
      <w:pPr>
        <w:ind w:left="420" w:hanging="415"/>
        <w:spacing w:after="0"/>
        <w:tabs>
          <w:tab w:leader="none" w:pos="420" w:val="left"/>
        </w:tabs>
        <w:numPr>
          <w:ilvl w:val="0"/>
          <w:numId w:val="4"/>
        </w:numPr>
        <w:rPr>
          <w:rFonts w:ascii="Arial" w:cs="Arial" w:eastAsia="Arial" w:hAnsi="Arial"/>
          <w:sz w:val="38"/>
          <w:szCs w:val="38"/>
          <w:color w:val="auto"/>
        </w:rPr>
      </w:pPr>
      <w:r>
        <w:rPr>
          <w:rFonts w:ascii="Arial" w:cs="Arial" w:eastAsia="Arial" w:hAnsi="Arial"/>
          <w:sz w:val="38"/>
          <w:szCs w:val="38"/>
          <w:color w:val="auto"/>
        </w:rPr>
        <w:t>DXL stores represented ~18% of retail sales</w:t>
      </w:r>
    </w:p>
    <w:p>
      <w:pPr>
        <w:spacing w:after="0" w:line="268" w:lineRule="exact"/>
        <w:rPr>
          <w:rFonts w:ascii="Arial" w:cs="Arial" w:eastAsia="Arial" w:hAnsi="Arial"/>
          <w:sz w:val="38"/>
          <w:szCs w:val="38"/>
          <w:color w:val="auto"/>
        </w:rPr>
      </w:pPr>
    </w:p>
    <w:p>
      <w:pPr>
        <w:ind w:left="420" w:hanging="415"/>
        <w:spacing w:after="0"/>
        <w:tabs>
          <w:tab w:leader="none" w:pos="420" w:val="left"/>
        </w:tabs>
        <w:numPr>
          <w:ilvl w:val="0"/>
          <w:numId w:val="4"/>
        </w:numPr>
        <w:rPr>
          <w:rFonts w:ascii="Arial" w:cs="Arial" w:eastAsia="Arial" w:hAnsi="Arial"/>
          <w:sz w:val="38"/>
          <w:szCs w:val="38"/>
          <w:color w:val="auto"/>
        </w:rPr>
      </w:pPr>
      <w:r>
        <w:rPr>
          <w:rFonts w:ascii="Arial" w:cs="Arial" w:eastAsia="Arial" w:hAnsi="Arial"/>
          <w:sz w:val="38"/>
          <w:szCs w:val="38"/>
          <w:color w:val="auto"/>
        </w:rPr>
        <w:t>Direct e-commerce sales increased ~13.0%</w:t>
      </w:r>
    </w:p>
    <w:p>
      <w:pPr>
        <w:spacing w:after="0" w:line="256" w:lineRule="exact"/>
        <w:rPr>
          <w:rFonts w:ascii="Arial" w:cs="Arial" w:eastAsia="Arial" w:hAnsi="Arial"/>
          <w:sz w:val="38"/>
          <w:szCs w:val="38"/>
          <w:color w:val="auto"/>
        </w:rPr>
      </w:pPr>
    </w:p>
    <w:p>
      <w:pPr>
        <w:ind w:left="420" w:right="2380" w:hanging="415"/>
        <w:spacing w:after="0" w:line="275" w:lineRule="auto"/>
        <w:tabs>
          <w:tab w:leader="none" w:pos="420" w:val="left"/>
        </w:tabs>
        <w:numPr>
          <w:ilvl w:val="0"/>
          <w:numId w:val="4"/>
        </w:numPr>
        <w:rPr>
          <w:rFonts w:ascii="Arial" w:cs="Arial" w:eastAsia="Arial" w:hAnsi="Arial"/>
          <w:sz w:val="38"/>
          <w:szCs w:val="38"/>
          <w:color w:val="auto"/>
        </w:rPr>
      </w:pPr>
      <w:r>
        <w:rPr>
          <w:rFonts w:ascii="Arial" w:cs="Arial" w:eastAsia="Arial" w:hAnsi="Arial"/>
          <w:sz w:val="38"/>
          <w:szCs w:val="38"/>
          <w:color w:val="auto"/>
        </w:rPr>
        <w:t>Income from continuing operations expected to be ~$0.08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760"/>
        <w:spacing w:after="0"/>
        <w:rPr>
          <w:sz w:val="20"/>
          <w:szCs w:val="20"/>
          <w:color w:val="auto"/>
        </w:rPr>
      </w:pPr>
      <w:r>
        <w:rPr>
          <w:rFonts w:ascii="Arial" w:cs="Arial" w:eastAsia="Arial" w:hAnsi="Arial"/>
          <w:sz w:val="19"/>
          <w:szCs w:val="19"/>
          <w:color w:val="898989"/>
        </w:rPr>
        <w:t>31</w:t>
      </w:r>
    </w:p>
    <w:p>
      <w:pPr>
        <w:sectPr>
          <w:pgSz w:w="11900" w:h="16838" w:orient="portrait"/>
          <w:cols w:equalWidth="0" w:num="1">
            <w:col w:w="10400"/>
          </w:cols>
          <w:pgMar w:left="1040" w:top="1052" w:right="459" w:bottom="1440" w:gutter="0" w:footer="0" w:header="0"/>
        </w:sectPr>
      </w:pPr>
    </w:p>
    <w:bookmarkStart w:id="34" w:name="page35"/>
    <w:bookmarkEnd w:id="34"/>
    <w:p>
      <w:pPr>
        <w:ind w:left="60"/>
        <w:spacing w:after="0"/>
        <w:rPr>
          <w:sz w:val="20"/>
          <w:szCs w:val="20"/>
          <w:color w:val="auto"/>
        </w:rPr>
      </w:pPr>
      <w:r>
        <w:rPr>
          <w:rFonts w:ascii="Arial" w:cs="Arial" w:eastAsia="Arial" w:hAnsi="Arial"/>
          <w:sz w:val="57"/>
          <w:szCs w:val="57"/>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Why Invest in DXLG?</w:t>
      </w:r>
    </w:p>
    <w:p>
      <w:pPr>
        <w:sectPr>
          <w:pgSz w:w="11900" w:h="16838" w:orient="portrait"/>
          <w:cols w:equalWidth="0" w:num="1">
            <w:col w:w="10020"/>
          </w:cols>
          <w:pgMar w:left="980" w:top="105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00"/>
        <w:spacing w:after="0" w:line="278" w:lineRule="auto"/>
        <w:rPr>
          <w:sz w:val="20"/>
          <w:szCs w:val="20"/>
          <w:color w:val="auto"/>
        </w:rPr>
      </w:pPr>
      <w:r>
        <w:rPr>
          <w:rFonts w:ascii="Arial" w:cs="Arial" w:eastAsia="Arial" w:hAnsi="Arial"/>
          <w:sz w:val="27"/>
          <w:szCs w:val="27"/>
          <w:b w:val="1"/>
          <w:bCs w:val="1"/>
          <w:color w:val="auto"/>
        </w:rPr>
        <w:t>Accelerated conversion to DXL concept creates compelling investment opportunity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0"/>
        <w:spacing w:after="0" w:line="271" w:lineRule="auto"/>
        <w:rPr>
          <w:sz w:val="20"/>
          <w:szCs w:val="20"/>
          <w:color w:val="auto"/>
        </w:rPr>
      </w:pPr>
      <w:r>
        <w:rPr>
          <w:rFonts w:ascii="Arial" w:cs="Arial" w:eastAsia="Arial" w:hAnsi="Arial"/>
          <w:sz w:val="28"/>
          <w:szCs w:val="28"/>
          <w:b w:val="1"/>
          <w:bCs w:val="1"/>
          <w:color w:val="auto"/>
        </w:rPr>
        <w:t>Strong gross margins; Ability to greatly improve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340" w:hanging="657"/>
        <w:spacing w:after="0" w:line="351" w:lineRule="auto"/>
        <w:rPr>
          <w:sz w:val="20"/>
          <w:szCs w:val="20"/>
          <w:color w:val="auto"/>
        </w:rPr>
      </w:pPr>
      <w:r>
        <w:rPr>
          <w:rFonts w:ascii="Arial" w:cs="Arial" w:eastAsia="Arial" w:hAnsi="Arial"/>
          <w:sz w:val="25"/>
          <w:szCs w:val="25"/>
          <w:b w:val="1"/>
          <w:bCs w:val="1"/>
          <w:color w:val="auto"/>
        </w:rPr>
        <w:t>Significant market share/sales growth opportunity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660"/>
        <w:spacing w:after="0"/>
        <w:rPr>
          <w:sz w:val="20"/>
          <w:szCs w:val="20"/>
          <w:color w:val="auto"/>
        </w:rPr>
      </w:pPr>
      <w:r>
        <w:rPr>
          <w:rFonts w:ascii="Arial" w:cs="Arial" w:eastAsia="Arial" w:hAnsi="Arial"/>
          <w:sz w:val="27"/>
          <w:szCs w:val="27"/>
          <w:b w:val="1"/>
          <w:bCs w:val="1"/>
          <w:color w:val="auto"/>
        </w:rPr>
        <w:t>Leader in large and growing</w:t>
      </w:r>
    </w:p>
    <w:p>
      <w:pPr>
        <w:spacing w:after="0" w:line="57" w:lineRule="exact"/>
        <w:rPr>
          <w:sz w:val="20"/>
          <w:szCs w:val="20"/>
          <w:color w:val="auto"/>
        </w:rPr>
      </w:pPr>
    </w:p>
    <w:p>
      <w:pPr>
        <w:jc w:val="center"/>
        <w:ind w:right="1700"/>
        <w:spacing w:after="0"/>
        <w:rPr>
          <w:sz w:val="20"/>
          <w:szCs w:val="20"/>
          <w:color w:val="auto"/>
        </w:rPr>
      </w:pPr>
      <w:r>
        <w:rPr>
          <w:rFonts w:ascii="Arial" w:cs="Arial" w:eastAsia="Arial" w:hAnsi="Arial"/>
          <w:sz w:val="28"/>
          <w:szCs w:val="28"/>
          <w:b w:val="1"/>
          <w:bCs w:val="1"/>
          <w:color w:val="auto"/>
        </w:rPr>
        <w:t>B&amp;T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40"/>
        <w:spacing w:after="0"/>
        <w:rPr>
          <w:sz w:val="20"/>
          <w:szCs w:val="20"/>
          <w:color w:val="auto"/>
        </w:rPr>
      </w:pPr>
      <w:r>
        <w:rPr>
          <w:rFonts w:ascii="Arial" w:cs="Arial" w:eastAsia="Arial" w:hAnsi="Arial"/>
          <w:sz w:val="25"/>
          <w:szCs w:val="25"/>
          <w:b w:val="1"/>
          <w:bCs w:val="1"/>
          <w:color w:val="auto"/>
        </w:rPr>
        <w:t>Three-year $150M investment</w:t>
      </w:r>
    </w:p>
    <w:p>
      <w:pPr>
        <w:spacing w:after="0" w:line="74" w:lineRule="exact"/>
        <w:rPr>
          <w:sz w:val="20"/>
          <w:szCs w:val="20"/>
          <w:color w:val="auto"/>
        </w:rPr>
      </w:pPr>
    </w:p>
    <w:p>
      <w:pPr>
        <w:jc w:val="center"/>
        <w:ind w:right="1540"/>
        <w:spacing w:after="0"/>
        <w:rPr>
          <w:sz w:val="20"/>
          <w:szCs w:val="20"/>
          <w:color w:val="auto"/>
        </w:rPr>
      </w:pPr>
      <w:r>
        <w:rPr>
          <w:rFonts w:ascii="Arial" w:cs="Arial" w:eastAsia="Arial" w:hAnsi="Arial"/>
          <w:sz w:val="28"/>
          <w:szCs w:val="28"/>
          <w:b w:val="1"/>
          <w:bCs w:val="1"/>
          <w:color w:val="auto"/>
        </w:rPr>
        <w:t>in DXL rollout to be</w:t>
      </w:r>
    </w:p>
    <w:p>
      <w:pPr>
        <w:spacing w:after="0" w:line="13" w:lineRule="exact"/>
        <w:rPr>
          <w:sz w:val="20"/>
          <w:szCs w:val="20"/>
          <w:color w:val="auto"/>
        </w:rPr>
      </w:pPr>
    </w:p>
    <w:p>
      <w:pPr>
        <w:jc w:val="center"/>
        <w:ind w:left="-99" w:right="20"/>
        <w:spacing w:after="0" w:line="261" w:lineRule="auto"/>
        <w:rPr>
          <w:sz w:val="20"/>
          <w:szCs w:val="20"/>
          <w:color w:val="auto"/>
        </w:rPr>
      </w:pPr>
      <w:r>
        <w:rPr>
          <w:rFonts w:ascii="Arial" w:cs="Arial" w:eastAsia="Arial" w:hAnsi="Arial"/>
          <w:sz w:val="28"/>
          <w:szCs w:val="28"/>
          <w:b w:val="1"/>
          <w:bCs w:val="1"/>
          <w:color w:val="auto"/>
        </w:rPr>
        <w:t>funded primarily by free cash flow, including use of $47 million in tax benefits</w:t>
      </w: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auto"/>
        </w:rPr>
        <w:t>Strong balance sheet</w:t>
      </w:r>
    </w:p>
    <w:p>
      <w:pPr>
        <w:spacing w:after="0" w:line="4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with borrowing capacity</w:t>
      </w:r>
    </w:p>
    <w:p>
      <w:pPr>
        <w:spacing w:after="0" w:line="245" w:lineRule="exact"/>
        <w:rPr>
          <w:sz w:val="20"/>
          <w:szCs w:val="20"/>
          <w:color w:val="auto"/>
        </w:rPr>
      </w:pPr>
    </w:p>
    <w:p>
      <w:pPr>
        <w:sectPr>
          <w:pgSz w:w="11900" w:h="16838" w:orient="portrait"/>
          <w:cols w:equalWidth="0" w:num="2">
            <w:col w:w="3960" w:space="720"/>
            <w:col w:w="5340"/>
          </w:cols>
          <w:pgMar w:left="980" w:top="1052"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20"/>
        <w:spacing w:after="0"/>
        <w:rPr>
          <w:sz w:val="20"/>
          <w:szCs w:val="20"/>
          <w:color w:val="auto"/>
        </w:rPr>
      </w:pPr>
      <w:r>
        <w:rPr>
          <w:rFonts w:ascii="Arial" w:cs="Arial" w:eastAsia="Arial" w:hAnsi="Arial"/>
          <w:sz w:val="17"/>
          <w:szCs w:val="17"/>
          <w:color w:val="898989"/>
        </w:rPr>
        <w:t>32</w:t>
      </w:r>
    </w:p>
    <w:p>
      <w:pPr>
        <w:sectPr>
          <w:pgSz w:w="11900" w:h="16838" w:orient="portrait"/>
          <w:cols w:equalWidth="0" w:num="1">
            <w:col w:w="10020"/>
          </w:cols>
          <w:pgMar w:left="980" w:top="1052" w:right="89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38"/>
          <w:szCs w:val="38"/>
          <w:color w:val="5F5F5F"/>
        </w:rPr>
        <w:t>For additional information:</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Jeffrey Unger</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Destination XL Group, Inc.</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V. P. Investor Relations</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561-482-9715 Office</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561-543-9806 Cell</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jeffunger@usa.net</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www.destinationxl.com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33</w:t>
      </w:r>
    </w:p>
    <w:sectPr>
      <w:pgSz w:w="11900" w:h="16838" w:orient="portrait"/>
      <w:cols w:equalWidth="0" w:num="1">
        <w:col w:w="9560"/>
      </w:cols>
      <w:pgMar w:left="1440" w:top="144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2019-12-06T00:19:53Z</dcterms:created>
  <dcterms:modified xsi:type="dcterms:W3CDTF">2019-12-06T00:19:53Z</dcterms:modified>
</cp:coreProperties>
</file>