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and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Casual Male Retail Group,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148711104</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Chilton Investment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1266 East Main Street, 7th Floor</w:t>
      </w:r>
    </w:p>
    <w:p>
      <w:pPr>
        <w:jc w:val="center"/>
        <w:ind w:right="1779"/>
        <w:spacing w:after="0"/>
        <w:rPr>
          <w:sz w:val="20"/>
          <w:szCs w:val="20"/>
          <w:color w:val="auto"/>
        </w:rPr>
      </w:pPr>
      <w:r>
        <w:rPr>
          <w:rFonts w:ascii="Courier New" w:cs="Courier New" w:eastAsia="Courier New" w:hAnsi="Courier New"/>
          <w:sz w:val="18"/>
          <w:szCs w:val="18"/>
          <w:color w:val="auto"/>
        </w:rPr>
        <w:t>Stamford, CT 06902</w:t>
      </w:r>
    </w:p>
    <w:p>
      <w:pPr>
        <w:ind w:left="4120" w:hanging="636"/>
        <w:spacing w:after="0" w:line="237" w:lineRule="auto"/>
        <w:tabs>
          <w:tab w:leader="none" w:pos="4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352-4000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ind w:left="3480"/>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6, 2006</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160" w:space="540"/>
            <w:col w:w="1380" w:space="720"/>
            <w:col w:w="44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Chilton Investment Company, LLC</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(a)[ ] (b) [X]</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AF, OO</w:t>
      </w:r>
    </w:p>
    <w:p>
      <w:pPr>
        <w:spacing w:after="0" w:line="4"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5CHECK IF DISCLOSURE OF LEGAL PROCEEDINGS IS REQUIRED PURSUANT TO ITEMS 2(d) or 2(e)</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7,596,763</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16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316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6"/>
              </w:rPr>
              <w:t>----------------------------------------------------------------</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84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7,596,763</w:t>
            </w:r>
          </w:p>
        </w:tc>
      </w:tr>
    </w:tbl>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2320" w:hanging="627"/>
        <w:spacing w:after="0"/>
        <w:tabs>
          <w:tab w:leader="none" w:pos="23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7,596,763</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IF THE AGGREGATE AMOUNT IN ROW (11) EXCLUDES CERTAIN SHARES [ ]</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21.1%</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Schedule 13D (the "Statement") initially filed on May 9, 2006 relating to the common stock, par value $0.01 per share (the "Common Stock") of Casual Male Retail Group, Inc., a Delaware corporation (the "Issuer") is hereby amended by this Amendment No. 1 to the Schedule 13D to report a change in beneficial ownership. The Schedule 13D is amended as follows:</w:t>
      </w:r>
    </w:p>
    <w:p>
      <w:pPr>
        <w:spacing w:after="0" w:line="203" w:lineRule="exact"/>
        <w:rPr>
          <w:sz w:val="20"/>
          <w:szCs w:val="20"/>
          <w:color w:val="auto"/>
        </w:rPr>
      </w:pP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5(a) is hereby supplemented by the addition of the following:</w:t>
      </w:r>
    </w:p>
    <w:p>
      <w:pPr>
        <w:spacing w:after="0" w:line="207" w:lineRule="exact"/>
        <w:rPr>
          <w:sz w:val="20"/>
          <w:szCs w:val="20"/>
          <w:color w:val="auto"/>
        </w:rPr>
      </w:pPr>
    </w:p>
    <w:p>
      <w:pPr>
        <w:ind w:right="1779" w:firstLine="8"/>
        <w:spacing w:after="0" w:line="237"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the Reporting Person is deemed to be the beneficial owner (through its control of the Client Accounts) of 7,596,763 (including 690,092 shares that can be acquired by the Client Accounts pursuant to immediately convertible 5% convertible senior subordinated noted due 2024) representing 21.1% of the Issuer's Common Stock. The foregoing calculations are based on 35,325,156 shares of Common Stock issued and outstanding as of May 25, 2006 according to publicly available filings of the Issuer together with 690,092 shares that can be acquired by the Client Accounts pursuant to immediately convertible 5% convertible senior subordinated notes due 2024 for a total of 36,015,248.</w:t>
      </w:r>
    </w:p>
    <w:p>
      <w:pPr>
        <w:spacing w:after="0" w:line="20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Item 5(c) is hereby supplemented by the addition of the following:</w:t>
      </w:r>
    </w:p>
    <w:p>
      <w:pPr>
        <w:spacing w:after="0" w:line="207" w:lineRule="exact"/>
        <w:rPr>
          <w:sz w:val="20"/>
          <w:szCs w:val="20"/>
          <w:color w:val="auto"/>
        </w:rPr>
      </w:pPr>
    </w:p>
    <w:p>
      <w:pPr>
        <w:ind w:right="1779" w:firstLine="1272"/>
        <w:spacing w:after="0" w:line="290"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and the price per share of all transactions effected by the Reporting Person since its last filing are as follows:</w:t>
      </w:r>
    </w:p>
    <w:p>
      <w:pPr>
        <w:spacing w:after="0" w:line="170" w:lineRule="exact"/>
        <w:rPr>
          <w:sz w:val="20"/>
          <w:szCs w:val="20"/>
          <w:color w:val="auto"/>
        </w:rPr>
      </w:pPr>
    </w:p>
    <w:p>
      <w:pPr>
        <w:ind w:left="1280" w:right="251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5, 2006, 100,000 shares of Common Stock were purchased through Jeffries &amp; Co. at a price per share of $10.2744.</w:t>
      </w:r>
    </w:p>
    <w:p>
      <w:pPr>
        <w:ind w:left="1280" w:right="251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5, 2006, 158,799 shares of Common Stock were purchased through Banc of America at $10.4232</w:t>
      </w:r>
    </w:p>
    <w:p>
      <w:pPr>
        <w:spacing w:after="0" w:line="5" w:lineRule="exact"/>
        <w:rPr>
          <w:rFonts w:ascii="Courier New" w:cs="Courier New" w:eastAsia="Courier New" w:hAnsi="Courier New"/>
          <w:sz w:val="18"/>
          <w:szCs w:val="18"/>
          <w:color w:val="auto"/>
        </w:rPr>
      </w:pPr>
    </w:p>
    <w:p>
      <w:pPr>
        <w:ind w:left="1280" w:right="17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5, 2006, 41,201 shares of Common Stock were purchased through B-Trade at a price per share of $10.4218.</w:t>
      </w:r>
    </w:p>
    <w:p>
      <w:pPr>
        <w:spacing w:after="0" w:line="5" w:lineRule="exact"/>
        <w:rPr>
          <w:rFonts w:ascii="Courier New" w:cs="Courier New" w:eastAsia="Courier New" w:hAnsi="Courier New"/>
          <w:sz w:val="18"/>
          <w:szCs w:val="18"/>
          <w:color w:val="auto"/>
        </w:rPr>
      </w:pPr>
    </w:p>
    <w:p>
      <w:pPr>
        <w:ind w:left="1280" w:right="177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19, 2006, 7,717 shares of Common Stock were purchased through Credit Suisse First Boston ALGO at a price per share of $10.2210.</w:t>
      </w:r>
    </w:p>
    <w:p>
      <w:pPr>
        <w:ind w:left="1280" w:right="1779" w:hanging="640"/>
        <w:spacing w:after="0" w:line="235" w:lineRule="auto"/>
        <w:tabs>
          <w:tab w:leader="none" w:pos="12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19, 2006, 38,000 share of Common Stock were purchased through Liquinet at a price per share of $10.2550.</w:t>
      </w:r>
    </w:p>
    <w:p>
      <w:pPr>
        <w:spacing w:after="0" w:line="5" w:lineRule="exact"/>
        <w:rPr>
          <w:rFonts w:ascii="Courier New" w:cs="Courier New" w:eastAsia="Courier New" w:hAnsi="Courier New"/>
          <w:sz w:val="18"/>
          <w:szCs w:val="18"/>
          <w:color w:val="auto"/>
        </w:rPr>
      </w:pPr>
    </w:p>
    <w:p>
      <w:pPr>
        <w:ind w:left="1280" w:right="241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23, 2006, 200,000 shares of Common Stock were purchased through Jones Associates at a price per share of $10.2000.</w:t>
      </w:r>
    </w:p>
    <w:p>
      <w:pPr>
        <w:ind w:left="1280" w:right="251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23, 2006, 54,112 shares of Common Stock were purchased through Banc of America at a price per share of $10.2211</w:t>
      </w:r>
    </w:p>
    <w:p>
      <w:pPr>
        <w:ind w:left="1280" w:right="2199" w:hanging="640"/>
        <w:spacing w:after="0" w:line="268"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24, 2006, 8,394 shares of Common Stock were sold through Credit Suisse First Boston ALGO at a price per share of $10.1983</w:t>
      </w:r>
    </w:p>
    <w:p>
      <w:pPr>
        <w:jc w:val="both"/>
        <w:ind w:left="1280" w:right="2199" w:hanging="640"/>
        <w:spacing w:after="0" w:line="290" w:lineRule="auto"/>
        <w:tabs>
          <w:tab w:leader="none" w:pos="128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May 31, 2006, 23,583 shares of Common Stock were sold through Credit Suisse First Boston ALGO at a price per share of $9.6080.</w:t>
      </w:r>
    </w:p>
    <w:p>
      <w:pPr>
        <w:sectPr>
          <w:pgSz w:w="11900" w:h="16838" w:orient="portrait"/>
          <w:cols w:equalWidth="0" w:num="1">
            <w:col w:w="10219"/>
          </w:cols>
          <w:pgMar w:left="240" w:top="723"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148711104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540"/>
            <w:col w:w="1380" w:space="720"/>
            <w:col w:w="4419"/>
          </w:cols>
          <w:pgMar w:left="240" w:top="723" w:right="1440" w:bottom="1440" w:gutter="0" w:footer="0" w:header="0"/>
        </w:sectPr>
      </w:pPr>
    </w:p>
    <w:p>
      <w:pPr>
        <w:spacing w:after="0" w:line="24" w:lineRule="exact"/>
        <w:rPr>
          <w:sz w:val="20"/>
          <w:szCs w:val="20"/>
          <w:color w:val="auto"/>
        </w:rPr>
      </w:pPr>
    </w:p>
    <w:p>
      <w:pPr>
        <w:ind w:left="1280" w:right="251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31, 2006, 25,000 shares of Common Stock were purchased through Jeffries at a price per share of $9.7900.</w:t>
      </w:r>
    </w:p>
    <w:p>
      <w:pPr>
        <w:spacing w:after="0" w:line="5" w:lineRule="exact"/>
        <w:rPr>
          <w:rFonts w:ascii="Courier New" w:cs="Courier New" w:eastAsia="Courier New" w:hAnsi="Courier New"/>
          <w:sz w:val="18"/>
          <w:szCs w:val="18"/>
          <w:color w:val="auto"/>
        </w:rPr>
      </w:pPr>
    </w:p>
    <w:p>
      <w:pPr>
        <w:ind w:left="1280" w:right="251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6, 2006, 68,630 shares of Common Stock were purchased through Prudential Bache at a price per share of $9.8543</w:t>
      </w:r>
    </w:p>
    <w:p>
      <w:pPr>
        <w:ind w:left="1280" w:right="177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6, 2006, 1,700 shares of Common Stock were purchased through ITG Channel at a price per share of $9.6435.</w:t>
      </w:r>
    </w:p>
    <w:p>
      <w:pPr>
        <w:spacing w:after="0" w:line="5"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6, 2006, 4,400 shares of Common Stock were purchase through B-Trade at a price per share of $9.7411</w:t>
      </w:r>
    </w:p>
    <w:p>
      <w:pPr>
        <w:spacing w:after="0" w:line="5" w:lineRule="exact"/>
        <w:rPr>
          <w:rFonts w:ascii="Courier New" w:cs="Courier New" w:eastAsia="Courier New" w:hAnsi="Courier New"/>
          <w:sz w:val="18"/>
          <w:szCs w:val="18"/>
          <w:color w:val="auto"/>
        </w:rPr>
      </w:pPr>
    </w:p>
    <w:p>
      <w:pPr>
        <w:ind w:left="1280" w:right="2519" w:hanging="640"/>
        <w:spacing w:after="0" w:line="268"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6, 2006, 24,970 shares of Common Stock were purchased through Cantor Fitzgerald price per share of $9.8308</w:t>
      </w:r>
    </w:p>
    <w:p>
      <w:pPr>
        <w:ind w:left="1280" w:right="2319" w:hanging="640"/>
        <w:spacing w:after="0" w:line="235"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7, 2006, 6,249 shares of Common Stock were sold through Merrill Lynch at a price per share of $10.2276</w:t>
      </w:r>
    </w:p>
    <w:p>
      <w:pPr>
        <w:spacing w:after="0" w:line="5" w:lineRule="exact"/>
        <w:rPr>
          <w:rFonts w:ascii="Courier New" w:cs="Courier New" w:eastAsia="Courier New" w:hAnsi="Courier New"/>
          <w:sz w:val="18"/>
          <w:szCs w:val="18"/>
          <w:color w:val="auto"/>
        </w:rPr>
      </w:pPr>
    </w:p>
    <w:p>
      <w:pPr>
        <w:ind w:left="1280" w:right="2519" w:hanging="640"/>
        <w:spacing w:after="0" w:line="290" w:lineRule="auto"/>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June 7, 2006, 69,436 shares of Common Stock were purchased through Prudential Bache at a price per share of $10.2722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9, 2006</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Chilton Investment Company, LLC</w:t>
      </w:r>
    </w:p>
    <w:p>
      <w:pPr>
        <w:spacing w:after="0" w:line="200" w:lineRule="exact"/>
        <w:rPr>
          <w:sz w:val="20"/>
          <w:szCs w:val="20"/>
          <w:color w:val="auto"/>
        </w:rPr>
      </w:pPr>
    </w:p>
    <w:p>
      <w:pPr>
        <w:spacing w:after="0" w:line="204" w:lineRule="exact"/>
        <w:rPr>
          <w:sz w:val="20"/>
          <w:szCs w:val="20"/>
          <w:color w:val="auto"/>
        </w:rPr>
      </w:pP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Steinthal</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James Steinthal</w:t>
      </w:r>
    </w:p>
    <w:p>
      <w:pPr>
        <w:ind w:left="4440"/>
        <w:spacing w:after="0" w:line="238" w:lineRule="auto"/>
        <w:rPr>
          <w:sz w:val="20"/>
          <w:szCs w:val="20"/>
          <w:color w:val="auto"/>
        </w:rPr>
      </w:pPr>
      <w:r>
        <w:rPr>
          <w:rFonts w:ascii="Courier New" w:cs="Courier New" w:eastAsia="Courier New" w:hAnsi="Courier New"/>
          <w:sz w:val="18"/>
          <w:szCs w:val="18"/>
          <w:color w:val="auto"/>
        </w:rPr>
        <w:t>Managing Director</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lvl w:ilvl="1">
      <w:lvlJc w:val="left"/>
      <w:lvlText w:val="(%2)"/>
      <w:numFmt w:val="decimal"/>
      <w:start w:val="203"/>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0"/>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2"/>
    </w:lvl>
  </w:abstractNum>
  <w:abstractNum w:abstractNumId="14">
    <w:nsid w:val="41A7C4C9"/>
    <w:multiLevelType w:val="hybridMultilevel"/>
    <w:lvl w:ilvl="0">
      <w:lvlJc w:val="left"/>
      <w:lvlText w:val="o"/>
      <w:numFmt w:val="bullet"/>
      <w:start w:val="1"/>
    </w:lvl>
  </w:abstractNum>
  <w:abstractNum w:abstractNumId="15">
    <w:nsid w:val="6B68079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2019-12-20T00:48:50Z</dcterms:created>
  <dcterms:modified xsi:type="dcterms:W3CDTF">2019-12-20T00:48:50Z</dcterms:modified>
</cp:coreProperties>
</file>