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28,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April 28, 2012 was 48,470,838.</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April 28, 2012</w:t>
            </w: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4"/>
              </w:rPr>
              <w:t>January 28,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4"/>
              </w:rPr>
              <w:t>(unaudited)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5,914</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3,123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112,152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136,981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133,407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322"/>
        </w:trPr>
        <w:tc>
          <w:tcPr>
            <w:tcW w:w="906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42,837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240,193</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gain on sale-leaseback</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27,619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59,038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54,906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18,684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82,967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79,363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Preferred stock, $0.01 par value, 1,000,000 shares authorized, none issued or outstanding at April 28, 2012 and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January 28, 2012</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$0.01 par value, 100,000,000 shares authorized, 59,348,277 and 59,358,653 issued at April 28, 2012 and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28, 2012, respectively</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293,808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(43,679)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Treasury stock at cost, 10,877,439 shares at April 28, 2012 and January 28, 2012</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(87,977)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240,193</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4"/>
                <w:szCs w:val="14"/>
                <w:color w:val="auto"/>
                <w:w w:val="94"/>
              </w:rPr>
              <w:t>For the 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40" w:type="dxa"/>
            <w:vAlign w:val="bottom"/>
            <w:gridSpan w:val="3"/>
          </w:tcPr>
          <w:p>
            <w:pPr>
              <w:spacing w:after="0" w:line="159" w:lineRule="exact"/>
              <w:rPr>
                <w:sz w:val="20"/>
                <w:szCs w:val="20"/>
                <w:color w:val="auto"/>
              </w:rPr>
            </w:pPr>
            <w:r>
              <w:rPr>
                <w:rFonts w:ascii="Arial" w:cs="Arial" w:eastAsia="Arial" w:hAnsi="Arial"/>
                <w:sz w:val="14"/>
                <w:szCs w:val="14"/>
                <w:color w:val="auto"/>
              </w:rPr>
              <w:t>April 28, 2012</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April 30,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95,798</w:t>
            </w:r>
          </w:p>
        </w:tc>
        <w:tc>
          <w:tcPr>
            <w:tcW w:w="0" w:type="dxa"/>
            <w:vAlign w:val="bottom"/>
          </w:tcPr>
          <w:p>
            <w:pPr>
              <w:spacing w:after="0"/>
              <w:rPr>
                <w:sz w:val="1"/>
                <w:szCs w:val="1"/>
                <w:color w:val="auto"/>
              </w:rPr>
            </w:pPr>
          </w:p>
        </w:tc>
      </w:tr>
      <w:tr>
        <w:trPr>
          <w:trHeight w:val="323"/>
        </w:trPr>
        <w:tc>
          <w:tcPr>
            <w:tcW w:w="6560" w:type="dxa"/>
            <w:vAlign w:val="bottom"/>
            <w:gridSpan w:val="2"/>
          </w:tcPr>
          <w:p>
            <w:pPr>
              <w:spacing w:after="0"/>
              <w:rPr>
                <w:sz w:val="20"/>
                <w:szCs w:val="20"/>
                <w:color w:val="auto"/>
              </w:rPr>
            </w:pPr>
            <w:r>
              <w:rPr>
                <w:rFonts w:ascii="Arial" w:cs="Arial" w:eastAsia="Arial" w:hAnsi="Arial"/>
                <w:sz w:val="18"/>
                <w:szCs w:val="18"/>
                <w:color w:val="auto"/>
              </w:rPr>
              <w:t>Cost of goods sold, including occupancy</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50,176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50,832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5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44,966</w:t>
            </w:r>
          </w:p>
        </w:tc>
        <w:tc>
          <w:tcPr>
            <w:tcW w:w="0" w:type="dxa"/>
            <w:vAlign w:val="bottom"/>
          </w:tcPr>
          <w:p>
            <w:pPr>
              <w:spacing w:after="0"/>
              <w:rPr>
                <w:sz w:val="1"/>
                <w:szCs w:val="1"/>
                <w:color w:val="auto"/>
              </w:rPr>
            </w:pPr>
          </w:p>
        </w:tc>
      </w:tr>
      <w:tr>
        <w:trPr>
          <w:trHeight w:val="322"/>
        </w:trPr>
        <w:tc>
          <w:tcPr>
            <w:tcW w:w="65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41,764</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5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3,973</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29"/>
        </w:trPr>
        <w:tc>
          <w:tcPr>
            <w:tcW w:w="6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5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2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2,269</w:t>
            </w:r>
          </w:p>
        </w:tc>
        <w:tc>
          <w:tcPr>
            <w:tcW w:w="6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 and diluted</w:t>
            </w:r>
          </w:p>
        </w:tc>
        <w:tc>
          <w:tcPr>
            <w:tcW w:w="27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323"/>
        </w:trPr>
        <w:tc>
          <w:tcPr>
            <w:tcW w:w="656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 diluted</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48,176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48,030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4"/>
          </w:tcPr>
          <w:p>
            <w:pPr>
              <w:ind w:left="360"/>
              <w:spacing w:after="0"/>
              <w:rPr>
                <w:sz w:val="20"/>
                <w:szCs w:val="20"/>
                <w:color w:val="auto"/>
              </w:rPr>
            </w:pPr>
            <w:r>
              <w:rPr>
                <w:rFonts w:ascii="Arial" w:cs="Arial" w:eastAsia="Arial" w:hAnsi="Arial"/>
                <w:sz w:val="14"/>
                <w:szCs w:val="14"/>
                <w:color w:val="auto"/>
                <w:w w:val="93"/>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1200" w:type="dxa"/>
            <w:vAlign w:val="bottom"/>
            <w:gridSpan w:val="3"/>
          </w:tcPr>
          <w:p>
            <w:pPr>
              <w:spacing w:after="0" w:line="159" w:lineRule="exact"/>
              <w:rPr>
                <w:sz w:val="20"/>
                <w:szCs w:val="20"/>
                <w:color w:val="auto"/>
              </w:rPr>
            </w:pPr>
            <w:r>
              <w:rPr>
                <w:rFonts w:ascii="Arial" w:cs="Arial" w:eastAsia="Arial" w:hAnsi="Arial"/>
                <w:sz w:val="14"/>
                <w:szCs w:val="14"/>
                <w:color w:val="auto"/>
              </w:rPr>
              <w:t>April 28, 2012</w:t>
            </w:r>
          </w:p>
        </w:tc>
        <w:tc>
          <w:tcPr>
            <w:tcW w:w="320" w:type="dxa"/>
            <w:vAlign w:val="bottom"/>
          </w:tcPr>
          <w:p>
            <w:pPr>
              <w:spacing w:after="0"/>
              <w:rPr>
                <w:sz w:val="13"/>
                <w:szCs w:val="13"/>
                <w:color w:val="auto"/>
              </w:rPr>
            </w:pPr>
          </w:p>
        </w:tc>
        <w:tc>
          <w:tcPr>
            <w:tcW w:w="90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9"/>
              </w:rPr>
              <w:t>April 30,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9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comprehensive income (loss), before taxes: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Amortization of unrecognized loss associated with pension plan, before taxes</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taxes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2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2,466</w:t>
            </w:r>
          </w:p>
        </w:tc>
        <w:tc>
          <w:tcPr>
            <w:tcW w:w="4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April 28, 2012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7"/>
              </w:rPr>
              <w:t>Additional</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80" w:type="dxa"/>
            <w:vAlign w:val="bottom"/>
            <w:gridSpan w:val="5"/>
          </w:tcPr>
          <w:p>
            <w:pPr>
              <w:jc w:val="right"/>
              <w:ind w:right="500"/>
              <w:spacing w:after="0" w:line="149" w:lineRule="exact"/>
              <w:rPr>
                <w:sz w:val="20"/>
                <w:szCs w:val="20"/>
                <w:color w:val="auto"/>
              </w:rPr>
            </w:pPr>
            <w:r>
              <w:rPr>
                <w:rFonts w:ascii="Arial" w:cs="Arial" w:eastAsia="Arial" w:hAnsi="Arial"/>
                <w:sz w:val="14"/>
                <w:szCs w:val="14"/>
                <w:color w:val="auto"/>
              </w:rPr>
              <w:t>Common Stock</w:t>
            </w:r>
          </w:p>
        </w:tc>
        <w:tc>
          <w:tcPr>
            <w:tcW w:w="680" w:type="dxa"/>
            <w:vAlign w:val="bottom"/>
          </w:tcPr>
          <w:p>
            <w:pPr>
              <w:jc w:val="right"/>
              <w:ind w:right="80"/>
              <w:spacing w:after="0" w:line="149" w:lineRule="exact"/>
              <w:rPr>
                <w:sz w:val="20"/>
                <w:szCs w:val="20"/>
                <w:color w:val="auto"/>
              </w:rPr>
            </w:pPr>
            <w:r>
              <w:rPr>
                <w:rFonts w:ascii="Arial" w:cs="Arial" w:eastAsia="Arial" w:hAnsi="Arial"/>
                <w:sz w:val="14"/>
                <w:szCs w:val="14"/>
                <w:color w:val="auto"/>
              </w:rPr>
              <w:t>Paid-in</w:t>
            </w:r>
          </w:p>
        </w:tc>
        <w:tc>
          <w:tcPr>
            <w:tcW w:w="260" w:type="dxa"/>
            <w:vAlign w:val="bottom"/>
          </w:tcPr>
          <w:p>
            <w:pPr>
              <w:spacing w:after="0"/>
              <w:rPr>
                <w:sz w:val="12"/>
                <w:szCs w:val="12"/>
                <w:color w:val="auto"/>
              </w:rPr>
            </w:pPr>
          </w:p>
        </w:tc>
        <w:tc>
          <w:tcPr>
            <w:tcW w:w="1800" w:type="dxa"/>
            <w:vAlign w:val="bottom"/>
            <w:gridSpan w:val="4"/>
          </w:tcPr>
          <w:p>
            <w:pPr>
              <w:jc w:val="right"/>
              <w:ind w:right="620"/>
              <w:spacing w:after="0" w:line="149" w:lineRule="exact"/>
              <w:rPr>
                <w:sz w:val="20"/>
                <w:szCs w:val="20"/>
                <w:color w:val="auto"/>
              </w:rPr>
            </w:pPr>
            <w:r>
              <w:rPr>
                <w:rFonts w:ascii="Arial" w:cs="Arial" w:eastAsia="Arial" w:hAnsi="Arial"/>
                <w:sz w:val="14"/>
                <w:szCs w:val="14"/>
                <w:color w:val="auto"/>
              </w:rPr>
              <w:t>Treasury Stock</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5"/>
              </w:rPr>
              <w:t>Comprehensive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4"/>
              </w:rPr>
              <w:t>Shares</w:t>
            </w:r>
          </w:p>
        </w:tc>
        <w:tc>
          <w:tcPr>
            <w:tcW w:w="780" w:type="dxa"/>
            <w:vAlign w:val="bottom"/>
            <w:gridSpan w:val="3"/>
          </w:tcPr>
          <w:p>
            <w:pPr>
              <w:spacing w:after="0" w:line="159" w:lineRule="exact"/>
              <w:rPr>
                <w:sz w:val="20"/>
                <w:szCs w:val="20"/>
                <w:color w:val="auto"/>
              </w:rPr>
            </w:pPr>
            <w:r>
              <w:rPr>
                <w:rFonts w:ascii="Arial" w:cs="Arial" w:eastAsia="Arial" w:hAnsi="Arial"/>
                <w:sz w:val="14"/>
                <w:szCs w:val="14"/>
                <w:color w:val="auto"/>
              </w:rPr>
              <w:t>Amounts</w:t>
            </w:r>
          </w:p>
        </w:tc>
        <w:tc>
          <w:tcPr>
            <w:tcW w:w="680" w:type="dxa"/>
            <w:vAlign w:val="bottom"/>
          </w:tcPr>
          <w:p>
            <w:pPr>
              <w:jc w:val="right"/>
              <w:ind w:right="80"/>
              <w:spacing w:after="0" w:line="15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3"/>
                <w:szCs w:val="13"/>
                <w:color w:val="auto"/>
              </w:rPr>
            </w:pP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Shares</w:t>
            </w: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7"/>
              </w:rPr>
              <w:t>Amounts</w:t>
            </w:r>
          </w:p>
        </w:tc>
        <w:tc>
          <w:tcPr>
            <w:tcW w:w="120" w:type="dxa"/>
            <w:vAlign w:val="bottom"/>
          </w:tcPr>
          <w:p>
            <w:pPr>
              <w:spacing w:after="0"/>
              <w:rPr>
                <w:sz w:val="13"/>
                <w:szCs w:val="13"/>
                <w:color w:val="auto"/>
              </w:rPr>
            </w:pPr>
          </w:p>
        </w:tc>
        <w:tc>
          <w:tcPr>
            <w:tcW w:w="8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Deficit</w:t>
            </w:r>
          </w:p>
        </w:tc>
        <w:tc>
          <w:tcPr>
            <w:tcW w:w="1020" w:type="dxa"/>
            <w:vAlign w:val="bottom"/>
            <w:gridSpan w:val="3"/>
          </w:tcPr>
          <w:p>
            <w:pPr>
              <w:jc w:val="center"/>
              <w:ind w:right="180"/>
              <w:spacing w:after="0" w:line="159" w:lineRule="exact"/>
              <w:rPr>
                <w:sz w:val="20"/>
                <w:szCs w:val="20"/>
                <w:color w:val="auto"/>
              </w:rPr>
            </w:pPr>
            <w:r>
              <w:rPr>
                <w:rFonts w:ascii="Arial" w:cs="Arial" w:eastAsia="Arial" w:hAnsi="Arial"/>
                <w:sz w:val="14"/>
                <w:szCs w:val="14"/>
                <w:color w:val="auto"/>
                <w:w w:val="90"/>
              </w:rPr>
              <w:t>Income (Loss)</w:t>
            </w:r>
          </w:p>
        </w:tc>
        <w:tc>
          <w:tcPr>
            <w:tcW w:w="10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28, 2012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59,359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293,405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(10,877)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(87,977)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(45,948)</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154,358</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200" w:type="dxa"/>
            <w:vAlign w:val="bottom"/>
            <w:gridSpan w:val="2"/>
          </w:tcPr>
          <w:p>
            <w:pPr>
              <w:spacing w:after="0"/>
              <w:rPr>
                <w:sz w:val="20"/>
                <w:szCs w:val="20"/>
                <w:color w:val="auto"/>
              </w:rPr>
            </w:pPr>
            <w:r>
              <w:rPr>
                <w:rFonts w:ascii="Arial" w:cs="Arial" w:eastAsia="Arial" w:hAnsi="Arial"/>
                <w:sz w:val="18"/>
                <w:szCs w:val="18"/>
                <w:color w:val="auto"/>
              </w:rPr>
              <w:t>Issuance of restricted stock, net of cancellations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compensation expense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3"/>
              </w:rPr>
              <w:t>Amortization of unrecognized loss associated with</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pension plan, net of taxes of $62</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net of taxes $41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28, 2012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59,348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293,808</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(10,877)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(87,977)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(43,679)</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ind w:left="400"/>
              <w:spacing w:after="0"/>
              <w:rPr>
                <w:sz w:val="20"/>
                <w:szCs w:val="20"/>
                <w:color w:val="auto"/>
              </w:rPr>
            </w:pPr>
            <w:r>
              <w:rPr>
                <w:rFonts w:ascii="Arial" w:cs="Arial" w:eastAsia="Arial" w:hAnsi="Arial"/>
                <w:sz w:val="14"/>
                <w:szCs w:val="14"/>
                <w:color w:val="auto"/>
                <w:w w:val="90"/>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15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April 28, 2012</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April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2,269</w:t>
            </w:r>
          </w:p>
        </w:tc>
        <w:tc>
          <w:tcPr>
            <w:tcW w:w="7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3,694</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gain from sale-leaseback</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Deferred income taxes, net of valuation allowance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1,588</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 expense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Issuance of common stock to Board of Directors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(7,985)</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(1,002)</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2,962</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7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(5,571)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Proceeds from sales of business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(5,500)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329"/>
        </w:trPr>
        <w:tc>
          <w:tcPr>
            <w:tcW w:w="89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19"/>
                <w:szCs w:val="19"/>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(4,439)</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the period</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End of the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5,914</w:t>
            </w:r>
          </w:p>
        </w:tc>
        <w:tc>
          <w:tcPr>
            <w:tcW w:w="7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2012 included in the Company’s Annual Report on Form 10-K, which was filed with the Securities and Exchange Commission on March 16, 2012.</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2012 is a 53-week period ending on February 2, 2013.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2011 was a 52-week period ending on January 28,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Through the end of fiscal 2011, the Company managed its business using three operating segments – B&amp;T Factory Direct™, Casual Male XL® and Rochester Clothing. However, with the continued expansion of the DestinationXL® (“DXL®”) store format and the merger of all of the Company’s websites into one consolidated site, www.destinationxl.com, which carries merchandise from all three of these business formats, the businesses are now managed using retail and direct, as opposed to the previous store formats.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Effective the first quarter of fiscal 2012, 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 ShoesXL® and the Company’s International Web Stores, which are immaterial.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Intangibles</w:t>
      </w:r>
    </w:p>
    <w:p>
      <w:pPr>
        <w:spacing w:after="0" w:line="90"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At April 28, 2012, the “Casual Male” trademark has a carrying value of $5.6 million and is considered a definite-lived asset. The Company is amortizing the remaining carrying value of $5.6 million, on an accelerated basis consistent with projected cash flows, over its estimated remaining useful life of seven years.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three months of fiscal 2012, no event or circumstance occurred which would cause a reduction in the fair value of the Company’s reporting units, requiring interim testing of the Company’s “Rochester” trademark.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9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ectPr>
          <w:pgSz w:w="11900" w:h="16838" w:orient="portrait"/>
          <w:cols w:equalWidth="0" w:num="1">
            <w:col w:w="11420"/>
          </w:cols>
          <w:pgMar w:left="240" w:top="274" w:right="239" w:bottom="1440" w:gutter="0" w:footer="0" w:header="0"/>
        </w:sectPr>
      </w:pPr>
    </w:p>
    <w:bookmarkStart w:id="7" w:name="page8"/>
    <w:bookmarkEnd w:id="7"/>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and enhances disclosures about fair value measurements.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 the first three months of fiscal 2012 and fiscal 2011, the Company recognized total stock-based compensation expense of $0.4 million and $0.3 million, respectively.</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as of April 28, 2012 is approximately $0.8 million which will be expensed over a weighted average remaining life of 27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 and Restricted Stock</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first quarter of fiscal 2012, the Company granted stock options to purchase 1,286 shares of common stock. There were no grants of restricted stock during the first quarter of fiscal 2012.</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the first quarter of fiscal 2011, the Company granted 544,661 shares of restricted stock of which 538,661 shares were granted to members of management as a result of the Company achieving certain performance targets pursuant to its Long-Term Incentive Plan (“LTIP”) for fiscal 2010. In addition, the Company granted stock options to purchase 76,000 shares of common stock, of which 72,576 stock options were granted as part of the LTIP for fiscal 2010.</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restricted share of common stock was assigned a fair value equal to the closing price of the Company’s common stock on the date of grant. The fair value of each option granted is estimated on the date of grant using the Black-Scholes option-pricing model. The weighted-average grant date fair-value of stock options granted during the first quarter of fiscal 2012 was $1.17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quarter of fiscal 2012 and fiscal 2011:</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880" w:type="dxa"/>
            <w:vAlign w:val="bottom"/>
            <w:gridSpan w:val="3"/>
          </w:tcPr>
          <w:p>
            <w:pPr>
              <w:jc w:val="right"/>
              <w:ind w:right="820"/>
              <w:spacing w:after="0"/>
              <w:rPr>
                <w:sz w:val="20"/>
                <w:szCs w:val="20"/>
                <w:color w:val="auto"/>
              </w:rPr>
            </w:pPr>
            <w:r>
              <w:rPr>
                <w:rFonts w:ascii="Arial" w:cs="Arial" w:eastAsia="Arial" w:hAnsi="Arial"/>
                <w:sz w:val="14"/>
                <w:szCs w:val="14"/>
                <w:color w:val="auto"/>
              </w:rPr>
              <w:t>April 28, 2012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April 30, 2011</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80" w:type="dxa"/>
            <w:vAlign w:val="bottom"/>
            <w:gridSpan w:val="3"/>
          </w:tcPr>
          <w:p>
            <w:pPr>
              <w:jc w:val="right"/>
              <w:ind w:right="660"/>
              <w:spacing w:after="0"/>
              <w:rPr>
                <w:sz w:val="20"/>
                <w:szCs w:val="20"/>
                <w:color w:val="auto"/>
              </w:rPr>
            </w:pPr>
            <w:r>
              <w:rPr>
                <w:rFonts w:ascii="Arial" w:cs="Arial" w:eastAsia="Arial" w:hAnsi="Arial"/>
                <w:sz w:val="18"/>
                <w:szCs w:val="18"/>
                <w:color w:val="auto"/>
              </w:rPr>
              <w:t>0.31%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0.60-1.89%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3.0 yrs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2.5-4.5 yrs</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Dividend rate</w:t>
            </w:r>
          </w:p>
        </w:tc>
        <w:tc>
          <w:tcPr>
            <w:tcW w:w="2280" w:type="dxa"/>
            <w:vAlign w:val="bottom"/>
          </w:tcPr>
          <w:p>
            <w:pPr>
              <w:spacing w:after="0"/>
              <w:rPr>
                <w:sz w:val="19"/>
                <w:szCs w:val="19"/>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exercised during the first quarter of fiscal 2012.</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Recently Issued Accounting Pronouncements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220)–Presentation of Comprehensive Income</w:t>
      </w:r>
      <w:r>
        <w:rPr>
          <w:rFonts w:ascii="Arial" w:cs="Arial" w:eastAsia="Arial" w:hAnsi="Arial"/>
          <w:sz w:val="16"/>
          <w:szCs w:val="16"/>
          <w:color w:val="auto"/>
        </w:rPr>
        <w:t>, to make the presentation of items within other comprehensive income (“OCI”) more prominent. In December 2011, the FASB issued ASU 2011-12, “</w:t>
      </w:r>
      <w:r>
        <w:rPr>
          <w:rFonts w:ascii="Arial" w:cs="Arial" w:eastAsia="Arial" w:hAnsi="Arial"/>
          <w:sz w:val="16"/>
          <w:szCs w:val="16"/>
          <w:i w:val="1"/>
          <w:iCs w:val="1"/>
          <w:color w:val="auto"/>
        </w:rPr>
        <w:t>Deferral of the Effective Date for</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Presentation of Reclassifications of Items Out of Accumulated Other Comprehensive Income in Accounting Standards Update No. 2011-05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standard requires companies to present items of net income, items of OCI and total comprehensive income in one continuous statement or two separate consecutive statements, and companies are no longer allowed to present items of OCI in the statement of stockholders’ equity. This new update is effective for interim and annual periods beginning after December 15, 2011. The Company adopted this new standard in the first quarter of fiscal 2012 by including a separate Consolidated Statement of Comprehensive Income. There was no other impact on the Company’s financial statements.</w:t>
      </w:r>
    </w:p>
    <w:p>
      <w:pPr>
        <w:spacing w:after="0" w:line="23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letters of credit and a sublimit of up to $15 million for Swingline Loans. The maturity date of the Credit Facility is November 10, 2014.</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 The Company is also subject to an unused line fee. At April 28, 2012, the Company’s prime-based interest rate was 4.25%.</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April 28, 2012, the Company had no borrowings outstanding under the Credit Facility. Outstanding standby letters of credit were $2.3 million and documentary letters of credit were $1.5 million. Unused excess availability at April 28, 2012 was $71.2 million. Average borrowings outstanding under this facility during the first quarter of fiscal 2012 were less than $150,000, resulting in an average unused excess availability of approximately $69.1 million. The Company’s ability to borrow under the Credit Facility is determined using an availability formula based on eligible assets, with increased advance rates based on seasonality.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April 28, 2012 approximated the carrying value.</w:t>
      </w:r>
    </w:p>
    <w:p>
      <w:pPr>
        <w:spacing w:after="0" w:line="287" w:lineRule="exact"/>
        <w:rPr>
          <w:sz w:val="20"/>
          <w:szCs w:val="20"/>
          <w:color w:val="auto"/>
        </w:rPr>
      </w:pPr>
    </w:p>
    <w:p>
      <w:pPr>
        <w:ind w:right="1006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gridSpan w:val="4"/>
          </w:tcPr>
          <w:p>
            <w:pPr>
              <w:ind w:left="40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59"/>
        </w:trPr>
        <w:tc>
          <w:tcPr>
            <w:tcW w:w="53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April 28, 2012</w:t>
            </w:r>
          </w:p>
        </w:tc>
        <w:tc>
          <w:tcPr>
            <w:tcW w:w="1620" w:type="dxa"/>
            <w:vAlign w:val="bottom"/>
            <w:gridSpan w:val="3"/>
          </w:tcPr>
          <w:p>
            <w:pPr>
              <w:ind w:left="720"/>
              <w:spacing w:after="0" w:line="159" w:lineRule="exact"/>
              <w:rPr>
                <w:sz w:val="20"/>
                <w:szCs w:val="20"/>
                <w:color w:val="auto"/>
              </w:rPr>
            </w:pPr>
            <w:r>
              <w:rPr>
                <w:rFonts w:ascii="Arial" w:cs="Arial" w:eastAsia="Arial" w:hAnsi="Arial"/>
                <w:sz w:val="14"/>
                <w:szCs w:val="14"/>
                <w:color w:val="auto"/>
              </w:rPr>
              <w:t>April 30, 2011</w:t>
            </w: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w:t>
            </w: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47,664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 -Stock options and restricted stock</w:t>
            </w:r>
          </w:p>
        </w:tc>
        <w:tc>
          <w:tcPr>
            <w:tcW w:w="9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7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48,176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280" w:right="259" w:bottom="1440" w:gutter="0" w:footer="0" w:header="0"/>
        </w:sectPr>
      </w:pPr>
    </w:p>
    <w:bookmarkStart w:id="9" w:name="page10"/>
    <w:bookmarkEnd w:id="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20" w:type="dxa"/>
            <w:vAlign w:val="bottom"/>
            <w:gridSpan w:val="4"/>
          </w:tcPr>
          <w:p>
            <w:pPr>
              <w:ind w:left="52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59"/>
        </w:trPr>
        <w:tc>
          <w:tcPr>
            <w:tcW w:w="4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620" w:type="dxa"/>
            <w:vAlign w:val="bottom"/>
          </w:tcPr>
          <w:p>
            <w:pPr>
              <w:spacing w:after="0"/>
              <w:rPr>
                <w:sz w:val="13"/>
                <w:szCs w:val="13"/>
                <w:color w:val="auto"/>
              </w:rPr>
            </w:pPr>
          </w:p>
        </w:tc>
        <w:tc>
          <w:tcPr>
            <w:tcW w:w="10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April 28, 2012</w:t>
            </w:r>
          </w:p>
        </w:tc>
        <w:tc>
          <w:tcPr>
            <w:tcW w:w="440" w:type="dxa"/>
            <w:vAlign w:val="bottom"/>
          </w:tcPr>
          <w:p>
            <w:pPr>
              <w:spacing w:after="0"/>
              <w:rPr>
                <w:sz w:val="13"/>
                <w:szCs w:val="13"/>
                <w:color w:val="auto"/>
              </w:rPr>
            </w:pPr>
          </w:p>
        </w:tc>
        <w:tc>
          <w:tcPr>
            <w:tcW w:w="11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April 30, 2011</w:t>
            </w: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4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$3.76 - $10.26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$4.54 - $10.26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above options, which were outstanding at April 28, 2012, expire from May 1, 2012 to October 31, 2021. Options to purchase 1,074,677 shares of the Company’s common stock, with exercise prices ranging from $3.15 to $4.77 per share, will expire, if not exercised, in fiscal 2012.</w:t>
      </w:r>
    </w:p>
    <w:p>
      <w:pPr>
        <w:spacing w:after="0" w:line="20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 April 28, 2012, the Company had total deferred tax assets of approximately $51.8 million, with a corresponding valuation allowance of $3.0 million. The deferred tax assets include approximately $22.7 million of net operating loss carryforwards and approximately $8.0 million of deferred gain on sale-leaseback and, to a lesser extent, other book/tax timing differences. As of April 28, 2012, the Company had gross net operating loss carryforwards of $62.5 million for federal income tax purposes and $33.3 million for state income tax purposes that are available to offset future taxable income through fiscal year 2031. Included in the net operating loss carryforwards for both federal and state income tax is approximately $10.8 million relating to stock compensation deductions, the tax benefit from which, if realized, will be credited to additional paid-in capital.</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first quarter of fiscal 2011, the Company’s effective tax rate was reduced from the statutory rate due to the utilization of the Company’s fully reserved net operating loss carryforwards. Then in the fourth quarter of fiscal 2011, the Company determined that it was more likely than not that it would be able to realize the benefits of substantially all of its deferred tax assets in the United States. Accordingly, in the fourth quarter of fiscal 2011, the Company recognized an income tax benefit of $47.8 million related to the reversal of substantially of the deferred tax valuation allowance. As a result of the valuation allowance being reversed, the Company has returned to a normal tax provision. For the first quarter of fiscal 2012, the Company’s effective tax rate was 40.4% compared to 10.1% for the first quarter of fiscal 2011.</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At April 28, 2012, the Company had no material unrecognized tax benefits.</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ectPr>
          <w:pgSz w:w="11900" w:h="16838" w:orient="portrait"/>
          <w:cols w:equalWidth="0" w:num="1">
            <w:col w:w="11400"/>
          </w:cols>
          <w:pgMar w:left="240" w:top="280" w:right="259" w:bottom="1440" w:gutter="0" w:footer="0" w:header="0"/>
        </w:sectPr>
      </w:pPr>
    </w:p>
    <w:bookmarkStart w:id="10" w:name="page11"/>
    <w:bookmarkEnd w:id="10"/>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policy is to recognize accrued interest and penalties related to unrecognized tax benefits in its income tax provision. The Company has not accrued or paid interest or penalties which were material to its results of operations for the first quarter of fiscal 2012.</w:t>
      </w:r>
    </w:p>
    <w:p>
      <w:pPr>
        <w:spacing w:after="0" w:line="24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Closure of European Web Stores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As the Company previously disclosed in its Annual Report on Form 10-K for the fiscal year January 28, 2012, the Company has decided to discontinue 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European Direct business. Subsequent to the end of the first quarter of fiscal 2012, the Company provided formal termination notice to its vendor, who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web store design, order processing, fulfillment and customer call center services for the Company’s European web stores. The Company’s European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have been unprofitable since inception, with net losses of $2.1 million, $2.0 million, and $1.5 million on net sales of $1.8 million, $1.6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 million in the years ended January 28, 2012, January 29, 2011 and January 30, 2010, respectively. The European web stores’ operating loss of $0.2 million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for the first quarter of fiscal 2012. Once the European web stores cease to be used, the operating results will be reclassified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fiscal year ended January 28, 2012, filed with the Securities and Exchange Commission on March 16, 2012,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Casual Male Retail Group, Inc. together with our subsidiaries is the largest specialty retailer of big &amp; tall men’s apparel with retail operations in the United States and London, England and direct businesses throughout the United States, Canada and Europe. We operate under the trade names of Casual Male XL®, Casual Male XL Outlets, DestinationXL®, Rochester Clothing, B&amp;T Factory Direct™, ShoesXL® and LivingXL®. At April 28, 2012, we operated 350 Casual Male XL retail stores, 60 Casual Male XL outlet stores, 22 DestinationXL (“DXL®”) stores and 13 Rochester Clothing stores. Our direct business includes several catalogs and e-commerce sites which support our brands and product extensions.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context indicates otherwise, all references to “we,” “our,” “ours,” “us” and “the Company” refer to Casual Male Retail Group, Inc. and our consolidated subsidiaries. We refer to our fiscal years which end on February 2, 2013 and January 28, 2012 as “fiscal 2012” and “fiscal 2011,” respectively. Fiscal 2012 is a 53-week period and Fiscal 2011 was a 52-week period,</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Our DestinationXL stores are considered relocations and comparable to all the closed stores in each respective market area.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Through the end of fiscal 2011, we managed our business using three operating segments – B&amp;T Factory Direct, Casual Male XL and Rochester Clothing. However, with the continued expansion of the DXL store format and our new website, www.destinationxl.com, which we launched in fiscal 2011 and which has merchandise from all three of these business formats, the business is managed using retail and direct, as opposed to the previous store formats.</w:t>
      </w:r>
    </w:p>
    <w:p>
      <w:pPr>
        <w:sectPr>
          <w:pgSz w:w="11900" w:h="16838" w:orient="portrait"/>
          <w:cols w:equalWidth="0" w:num="1">
            <w:col w:w="11400"/>
          </w:cols>
          <w:pgMar w:left="240" w:top="274" w:right="259" w:bottom="1440" w:gutter="0" w:footer="0" w:header="0"/>
        </w:sectPr>
      </w:pPr>
    </w:p>
    <w:bookmarkStart w:id="12" w:name="page13"/>
    <w:bookmarkEnd w:id="1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the first quarter of fiscal 2012, 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first quarter of fiscal 2012, we were within our expectations with net income of $2.3 million, or $0.05 per diluted share, compared to net income of $4.2 million, or $0.09 per diluted in the first quarter of fiscal 2011. Due to the reversal of our tax valuation allowance in the fourth quarter of fiscal 2011, we have returned to a normal tax rate of approximately 40.4% for the first quarter of fiscal 2012 as compared to only 10.1% for the first quarter of fiscal 2011. Assuming a normal tax rate for the first quarter of fiscal 2011, adjusted earning per dilutive share would have been $0.06 per dilutive share. See “Presentation of Non-GAAP Measures” below for a reconciliation of this non-GAAP measure.</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Sales for the first quarter of fiscal 2012 were flat when compared to the first quarter of fiscal 2011. Comparable sales for the first quarter of fiscal 2012 increased 2.0% over the prior year. Sales growth in the first quarter was slowed by the introduction of our new format catalog which performed poorly and is being redesigned for a re-launch in the fall. Our gross margin improved 80 basis points for the first quarter of fiscal 2012 as compared to the prior year’s first quarter. Operating income, for the first quarter of fiscal 2012, decreased $0.8 million to $4.0 million as compared to $4.8 million for the first quarter of fiscal 2011 primarily due to an increase in amortization of $0.5 million as a result of our “Casual Male” trademark becoming a definite-lived asset.</w:t>
      </w:r>
    </w:p>
    <w:p>
      <w:pPr>
        <w:spacing w:after="0" w:line="1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From a liquidity perspective, at April 28, 2012, we have $5.9 million in cash and cash equivalents, no outstanding debt and total availability under our credit facility of $71.2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DestinationXL</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During the first quarter of fiscal 2012, we have opened six DXL® stores, for a total of 22 DXL stores. Twenty of these stores are considered “comparable stores” and had a combined comparable sales increase of 16.3% for the first quarter of fiscal 2012 when compared to the first quarter of the prior year. For some of these stores that have not reached their one year anniversary, sales are compared to the respective predecessor sales in each market.</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fiscal 2012, we are planning to open a total of 35 DXL stores resulting in approximately 51 DXL stores operating at the end of the year, with at least one store located in most major metropolitan cities across the United States. In that the DXL format offers our customer a far superior shopping experience compared to our existing Casual Male stores, we expect to continue to open 35-40 DXL stores across the country for the next several years, and we expect to have over 200 DXL store locations open by the end of fiscal 2017. By the end of fiscal 2012, the DXL business is expected to be generating approximately 35% of total sales, and 50% by the end of fiscal 2013, on an annualized basis.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third quarter of fiscal 2011, we launched our DestinationXL website. Similar to our DXL stores, we see significant opportunities in the growth of our direct business by combining all of our existing e-commerce sites into one enhanced website, with state-of-the-art features and best practices. We recognize the importance of “name recognition” in growing an effective DXL business, both in retail stores and direct. One of our key objectives for fiscal 2012 is to increase traffic in both stores and direct. We expect to accomplish this objective by creating more awareness of the DXL brand through the development of effective outreach programs and targeted marketing initiatives using local media as well as digital marketing. In the first quarter of fiscal 2012, we retained a professional advertising agency to develop a DestinationXL brand strategy and a campaign for a more effective and comprehensive approach to expanding our market share.</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2012 Outlook</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fiscal 2012, we expect sales in the range of $416.5 to $423.9 million, which is based on a comparable sales increase of 4.7% to 6.6%. This sales increase is driven by the expansion of our DXL stores and by continued growth in our direct businesses.</w:t>
      </w:r>
    </w:p>
    <w:p>
      <w:pPr>
        <w:spacing w:after="0" w:line="13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expect to improve our gross margin rate by 60 to 100 basis points from fiscal 2011. This increase is based on merchandise margins improving by approximately 50 to 110 basis points with a ±10 basis point change in occupancy costs. Selling, general and administrative (“SG&amp;A”) costs are planned to increase by approximately $6.0 to $7.4 million, primarily due to the 53rd week in fiscal 2012. On a comparable 52-week period, SG&amp;A costs are expected to increase $3.5 to $5.0 million due to additional store payroll and advertising costs associated with our planned DXL store openings and expected bonus accruals. As a percentage of sales, SG&amp;A expenses are expected to decrease by 30 to 70 basis points.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While operating income is expected to increase by approximately 20 to 110 basis points over fiscal 2011, our earnings for fiscal 2012 are expected to be between $0.22 -$0.27 per diluted share, primarily due to our return to a normal tax position. As mentioned above, for the past two fiscal years, our deferred tax assets have been fully reserved, which has resulted in a minimal tax provision of approximately 10%. In the fourth quarter of fiscal 2011, we reversed substantially all of our tax valuation allowance. As a result, we have returned to a normal tax provision for fiscal 2012.</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fiscal 2011, our earnings were $0.89 per diluted share. However, on a non-GAAP basis, before our trademark impairment, valuation allowance and an adjustment for a normal tax rate of approximately 40.0%, adjusted earnings per diluted share were $0.19 per diluted share for fiscal 2011, compared to our forecasted earnings of $0.22-$0.27 per diluted share for fiscal 2012. See “Presentation of Non-GAAP Measures” for a reconciliation of this non-GAAP measure.</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a liquidity perspective, we expect cash flow from operating activities of $45.0 million, resulting in free cash flow (as defined below under “Presentation of Non-GAAP Measures”) of approximately $10.0 million. We expect our cash balances to increase to approximately $20.0 million by the end of fiscal 2012. Our capital expenditures for fiscal 2012 are expected to be approximately $35.0 million. These expenditures will be spent primarily on our planned opening of 35 DXL stores. As we open new DXL stores, we will be closing existing stores in each respective market area. For fiscal 2012, we currently expect to close 70 existing stores.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presentation of non-GAAP “Adjusted Net Income” and “Adjusted Earnings Per Diluted Share” are not measures determined by generally accepted accounting principles (“GAAP”) and should not be considered superior to or as a substitute for net income or earnings per diluted share in accordance with GAAP. We believe that these non-GAAP measures are useful as additional means for investors to evaluate our operating results, when reviewed in conjunction with our GAAP financial statements. We believe the inclusion of these non-GAAP measures enhances an investor’s understanding of the comparability between different periods in different years. The following table reconciles net income and earning per diluted share, on a GAAP basis, for the first quarter of fiscal 2011 to adjusted net income and adjusted earnings per diluted share, on a non-GAAP basis: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560"/>
              <w:spacing w:after="0"/>
              <w:rPr>
                <w:sz w:val="20"/>
                <w:szCs w:val="20"/>
                <w:color w:val="auto"/>
              </w:rPr>
            </w:pPr>
            <w:r>
              <w:rPr>
                <w:rFonts w:ascii="Arial" w:cs="Arial" w:eastAsia="Arial" w:hAnsi="Arial"/>
                <w:sz w:val="14"/>
                <w:szCs w:val="14"/>
                <w:color w:val="auto"/>
                <w:w w:val="97"/>
              </w:rPr>
              <w:t>For the three months ended</w:t>
            </w:r>
          </w:p>
        </w:tc>
        <w:tc>
          <w:tcPr>
            <w:tcW w:w="0" w:type="dxa"/>
            <w:vAlign w:val="bottom"/>
          </w:tcPr>
          <w:p>
            <w:pPr>
              <w:spacing w:after="0"/>
              <w:rPr>
                <w:sz w:val="1"/>
                <w:szCs w:val="1"/>
                <w:color w:val="auto"/>
              </w:rPr>
            </w:pPr>
          </w:p>
        </w:tc>
      </w:tr>
      <w:tr>
        <w:trPr>
          <w:trHeight w:val="159"/>
        </w:trPr>
        <w:tc>
          <w:tcPr>
            <w:tcW w:w="5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200" w:type="dxa"/>
            <w:vAlign w:val="bottom"/>
            <w:gridSpan w:val="3"/>
          </w:tcPr>
          <w:p>
            <w:pPr>
              <w:ind w:left="400"/>
              <w:spacing w:after="0" w:line="159" w:lineRule="exact"/>
              <w:rPr>
                <w:sz w:val="20"/>
                <w:szCs w:val="20"/>
                <w:color w:val="auto"/>
              </w:rPr>
            </w:pPr>
            <w:r>
              <w:rPr>
                <w:rFonts w:ascii="Arial" w:cs="Arial" w:eastAsia="Arial" w:hAnsi="Arial"/>
                <w:sz w:val="14"/>
                <w:szCs w:val="14"/>
                <w:color w:val="auto"/>
                <w:w w:val="90"/>
              </w:rPr>
              <w:t>April 28, 2012</w:t>
            </w:r>
          </w:p>
        </w:tc>
        <w:tc>
          <w:tcPr>
            <w:tcW w:w="1660" w:type="dxa"/>
            <w:vAlign w:val="bottom"/>
            <w:gridSpan w:val="4"/>
          </w:tcPr>
          <w:p>
            <w:pPr>
              <w:ind w:left="740"/>
              <w:spacing w:after="0" w:line="159" w:lineRule="exact"/>
              <w:rPr>
                <w:sz w:val="20"/>
                <w:szCs w:val="20"/>
                <w:color w:val="auto"/>
              </w:rPr>
            </w:pPr>
            <w:r>
              <w:rPr>
                <w:rFonts w:ascii="Arial" w:cs="Arial" w:eastAsia="Arial" w:hAnsi="Arial"/>
                <w:sz w:val="14"/>
                <w:szCs w:val="14"/>
                <w:color w:val="auto"/>
              </w:rPr>
              <w:t>April 30, 2011</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 GAAP</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Add back: actual income tax provision recorded at 10.1% tax rate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Deduct: estimated income tax provision, assuming an effective tax rate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of 40.4% instead of actual 10.1% tax rate</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Adjusted Net income, (non-GAAP for fiscal 2011)</w:t>
            </w: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2"/>
            <w:vMerge w:val="continue"/>
          </w:tcPr>
          <w:p>
            <w:pPr>
              <w:spacing w:after="0"/>
              <w:rPr>
                <w:sz w:val="19"/>
                <w:szCs w:val="19"/>
                <w:color w:val="auto"/>
              </w:rPr>
            </w:pP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2,269</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outstanding-dilutive basis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820" w:type="dxa"/>
            <w:vAlign w:val="bottom"/>
            <w:gridSpan w:val="2"/>
          </w:tcPr>
          <w:p>
            <w:pPr>
              <w:spacing w:after="0"/>
              <w:rPr>
                <w:sz w:val="20"/>
                <w:szCs w:val="20"/>
                <w:color w:val="auto"/>
              </w:rPr>
            </w:pPr>
            <w:r>
              <w:rPr>
                <w:rFonts w:ascii="Arial" w:cs="Arial" w:eastAsia="Arial" w:hAnsi="Arial"/>
                <w:sz w:val="18"/>
                <w:szCs w:val="18"/>
                <w:color w:val="auto"/>
              </w:rPr>
              <w:t>Earnings per diluted share, GAAP</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diluted share, (non-GAAP for fiscal 2011)</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right"/>
              <w:ind w:right="32"/>
              <w:spacing w:after="0"/>
              <w:rPr>
                <w:sz w:val="20"/>
                <w:szCs w:val="20"/>
                <w:color w:val="auto"/>
              </w:rPr>
            </w:pPr>
            <w:r>
              <w:rPr>
                <w:rFonts w:ascii="Arial" w:cs="Arial" w:eastAsia="Arial" w:hAnsi="Arial"/>
                <w:sz w:val="14"/>
                <w:szCs w:val="14"/>
                <w:color w:val="auto"/>
                <w:w w:val="95"/>
              </w:rPr>
              <w:t>For the three months ended: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4"/>
              </w:rPr>
              <w:t>Projected Cash Flow</w:t>
            </w:r>
          </w:p>
        </w:tc>
      </w:tr>
      <w:tr>
        <w:trPr>
          <w:trHeight w:val="159"/>
        </w:trPr>
        <w:tc>
          <w:tcPr>
            <w:tcW w:w="5040" w:type="dxa"/>
            <w:vAlign w:val="bottom"/>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1260" w:type="dxa"/>
            <w:vAlign w:val="bottom"/>
            <w:gridSpan w:val="3"/>
          </w:tcPr>
          <w:p>
            <w:pPr>
              <w:spacing w:after="0" w:line="159" w:lineRule="exact"/>
              <w:rPr>
                <w:sz w:val="20"/>
                <w:szCs w:val="20"/>
                <w:color w:val="auto"/>
              </w:rPr>
            </w:pPr>
            <w:r>
              <w:rPr>
                <w:rFonts w:ascii="Arial" w:cs="Arial" w:eastAsia="Arial" w:hAnsi="Arial"/>
                <w:sz w:val="14"/>
                <w:szCs w:val="14"/>
                <w:color w:val="auto"/>
              </w:rPr>
              <w:t>April 28, 2012</w:t>
            </w:r>
          </w:p>
        </w:tc>
        <w:tc>
          <w:tcPr>
            <w:tcW w:w="400" w:type="dxa"/>
            <w:vAlign w:val="bottom"/>
          </w:tcPr>
          <w:p>
            <w:pPr>
              <w:spacing w:after="0"/>
              <w:rPr>
                <w:sz w:val="13"/>
                <w:szCs w:val="13"/>
                <w:color w:val="auto"/>
              </w:rPr>
            </w:pPr>
          </w:p>
        </w:tc>
        <w:tc>
          <w:tcPr>
            <w:tcW w:w="1640" w:type="dxa"/>
            <w:vAlign w:val="bottom"/>
            <w:gridSpan w:val="3"/>
          </w:tcPr>
          <w:p>
            <w:pPr>
              <w:jc w:val="right"/>
              <w:ind w:right="860"/>
              <w:spacing w:after="0" w:line="159" w:lineRule="exact"/>
              <w:rPr>
                <w:sz w:val="20"/>
                <w:szCs w:val="20"/>
                <w:color w:val="auto"/>
              </w:rPr>
            </w:pPr>
            <w:r>
              <w:rPr>
                <w:rFonts w:ascii="Arial" w:cs="Arial" w:eastAsia="Arial" w:hAnsi="Arial"/>
                <w:sz w:val="14"/>
                <w:szCs w:val="14"/>
                <w:color w:val="auto"/>
                <w:w w:val="87"/>
              </w:rPr>
              <w:t>April 30, 2011</w:t>
            </w:r>
          </w:p>
        </w:tc>
        <w:tc>
          <w:tcPr>
            <w:tcW w:w="180" w:type="dxa"/>
            <w:vAlign w:val="bottom"/>
          </w:tcPr>
          <w:p>
            <w:pPr>
              <w:spacing w:after="0"/>
              <w:rPr>
                <w:sz w:val="13"/>
                <w:szCs w:val="13"/>
                <w:color w:val="auto"/>
              </w:rPr>
            </w:pP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4"/>
              </w:rPr>
              <w:t>Fiscal 2012</w:t>
            </w:r>
          </w:p>
        </w:tc>
      </w:tr>
      <w:tr>
        <w:trPr>
          <w:trHeight w:val="88"/>
        </w:trPr>
        <w:tc>
          <w:tcPr>
            <w:tcW w:w="50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Discretionary store asset Acquisitions, if applicable</w:t>
            </w: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5040" w:type="dxa"/>
            <w:vAlign w:val="bottom"/>
          </w:tcPr>
          <w:p>
            <w:pPr>
              <w:spacing w:after="0"/>
              <w:rPr>
                <w:sz w:val="20"/>
                <w:szCs w:val="20"/>
                <w:color w:val="auto"/>
              </w:rPr>
            </w:pPr>
            <w:r>
              <w:rPr>
                <w:rFonts w:ascii="Arial" w:cs="Arial" w:eastAsia="Arial" w:hAnsi="Arial"/>
                <w:sz w:val="18"/>
                <w:szCs w:val="18"/>
                <w:color w:val="auto"/>
              </w:rPr>
              <w:t>Free Cash Flow</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5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above discussion under “Fiscal 2012 Outlook”, we present “Adjusted Earnings Per Diluted Share” for fiscal 2011 of $0.19 per diluted share. This is not a measure determined by generally accepted accounting principles (“GAAP”) and should not be considered superior to or as a substitute for net income or earnings per diluted share in accordance with GAAP. We believe that this non-GAAP measure is useful as an additional means for investors to evaluate our operating results, when reviewed in conjunction with our GAAP financial statements. We believe that the inclusion of this non-GAAP measure enhances an investor’s understanding of the comparability between different periods in different years. The following table is a reconciliation of earnings per diluted share on a GAAP-basis to adjusted earnings per diluted share on a non-GAAP basis for fiscal 2011:</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920" w:type="dxa"/>
            <w:vAlign w:val="bottom"/>
            <w:gridSpan w:val="4"/>
          </w:tcPr>
          <w:p>
            <w:pPr>
              <w:jc w:val="center"/>
              <w:ind w:left="556"/>
              <w:spacing w:after="0"/>
              <w:rPr>
                <w:sz w:val="20"/>
                <w:szCs w:val="20"/>
                <w:color w:val="auto"/>
              </w:rPr>
            </w:pPr>
            <w:r>
              <w:rPr>
                <w:rFonts w:ascii="Arial" w:cs="Arial" w:eastAsia="Arial" w:hAnsi="Arial"/>
                <w:sz w:val="14"/>
                <w:szCs w:val="14"/>
                <w:color w:val="auto"/>
                <w:w w:val="85"/>
              </w:rPr>
              <w:t>Earnings 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on a diluted basis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8"/>
              </w:rPr>
              <w:t>(Fiscal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share, GAAP basis for fiscal 2011</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Add: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trademark impairment</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i w:val="1"/>
                <w:iCs w:val="1"/>
                <w:color w:val="auto"/>
              </w:rPr>
              <w:t>($23.1 million less $9.1 million deferred tax benefit)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Deduct: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Non-recurring reversal of valuation allowance</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w w:val="87"/>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w w:val="97"/>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($42.5 million)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Incremental Income tax provision, assuming effective tax rate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620"/>
              <w:spacing w:after="0"/>
              <w:rPr>
                <w:sz w:val="20"/>
                <w:szCs w:val="20"/>
                <w:color w:val="auto"/>
              </w:rPr>
            </w:pPr>
            <w:r>
              <w:rPr>
                <w:rFonts w:ascii="Arial" w:cs="Arial" w:eastAsia="Arial" w:hAnsi="Arial"/>
                <w:sz w:val="18"/>
                <w:szCs w:val="18"/>
                <w:color w:val="auto"/>
              </w:rPr>
              <w:t>approximately 40.0% instead of actual 10.0% effective tax rate</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w w:val="87"/>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w w:val="97"/>
              </w:rPr>
              <w:t>0.11)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diluted share, non-GAAP</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first quarter of fiscal 2012, total sales of $95.9 million increased $0.1 million from $95.8 million for the first quarter of fiscal 2011. Comparable sales for the first quarter increased 2.0% when compared to the same period of the prior year. On a comparable basis, sales from our retail business increased 3.8% while our U.S. direct business decreased 3.9%.</w:t>
      </w:r>
    </w:p>
    <w:p>
      <w:pPr>
        <w:spacing w:after="0" w:line="14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The increase in the retail business of 3.8% was the result of positive sales among all store formats, specifically our DXL stores and Casual Male XL retail stores. While store traffic for the first quarter of fiscal 2012 was down approximately 1.6% as compared to the first quarter of fiscal 2011, it was an improvement over the fourth quarter of fiscal 2011 which was down 3.7% compared to the prior year fourth quarter. Increases in “dollars per customers” and “average unit retail”</w:t>
      </w:r>
    </w:p>
    <w:p>
      <w:pPr>
        <w:sectPr>
          <w:pgSz w:w="11900" w:h="16838" w:orient="portrait"/>
          <w:cols w:equalWidth="0" w:num="1">
            <w:col w:w="11380"/>
          </w:cols>
          <w:pgMar w:left="240" w:top="280" w:right="279" w:bottom="1440" w:gutter="0" w:footer="0" w:header="0"/>
        </w:sectPr>
      </w:pPr>
    </w:p>
    <w:bookmarkStart w:id="15" w:name="page16"/>
    <w:bookmarkEnd w:id="15"/>
    <w:p>
      <w:pPr>
        <w:jc w:val="both"/>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contributed to the increase in comparable sales for the quarter. Sales from our direct business were negatively impacted during the first quarter of fiscal 2012 by the poor performance of our new format catalog in March 2012 contributing to an approximate $1.5 million loss of sales, or approximately 9% in direct sales for the first quarter of fiscal 2012. The catalog was the first of its kind and was intended to replace our legacy catalogs. We plan to re-launch a redesigned catalog in early fall. Over the long term, we expect to gradually eliminate our legacy brand catalogs, and move much of our direct channel marketing efforts to digital and use our DXL catalog only for our most ardent direct channel shoppers.</w:t>
      </w:r>
    </w:p>
    <w:p>
      <w:pPr>
        <w:spacing w:after="0" w:line="1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April 2012, we returned to our traditional catalog format of Casual Male XL, B&amp;T Factory Direct, and Rochester Big &amp; Tall, as well as increased our digital marketing efforts and intensified e-mail campaigning, and performance of our direct channel increased 4.6% for April 2012 as compared to April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For the first quarter of fiscal 2012, our gross margin rate, inclusive of occupancy costs, was 47.7% as compared to a gross margin rate of 46.9% for the first quarter of fiscal 2011. The increase of 80 basis points was the result of increased merchandise margins for the first quarter of fiscal 2012 of 90 basis points offset by an increase of 10 basis points in occupancy costs. Our merchandise margin continues to benefit from our improved inventory management and managed markdowns. On a dollar basis, occupancy costs for the first quarter of fiscal 2012 increased less than 1% when compared to the first quarter of fiscal 2011.</w:t>
      </w:r>
    </w:p>
    <w:p>
      <w:pPr>
        <w:spacing w:after="0" w:line="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fiscal 2012, we are planning on continued improvement of 50 to 110 basis points in merchandise margins and that occupancy costs will change by ±10 basis points, resulting in gross margin rate improvement for fiscal 2012 of 60 to 100 basis points.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SG&amp;A expenses for the first quarter of fiscal 2012 were 39.7% of sales as compared to 38.7% of sales for the first quarter of fiscal 2011. On a dollar basis, SG&amp;A expenses increased $1.0 million, or 2.6%, for the first quarter of fiscal 2012 as compared to the first quarter of fiscal 2011. This increase is primarily due to an increase in payroll expenses of $0.8 million associated with new store openings including pre-opening payroll costs, as well as increased staffing in our global sourcing and store development areas.</w:t>
      </w:r>
    </w:p>
    <w:p>
      <w:pPr>
        <w:spacing w:after="0" w:line="143"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While we are expecting our SG&amp;A expenses to increase by $6.0 to $7.4 million for fiscal 2012, SG&amp;A expenses as a percentage of sales is expected to decrease by 30 to 70 basis points. The increase in dollars is primarily related to the 53rd week in fiscal 2012. On a comparable 52-week period, SG&amp;A expenses are expected to increase $3.5 million to $5.0 million due to increased store payroll to support our planned opening of 35 new DXL stores, incremental marketing costs associated with targeting those new stores as well as an accrual for bonuses, which were not achieved in fiscal 2011. Overall, we expect to limit our SG&amp;A growth rates, except where necessary to support our growth activities or where there are unanticipated costs that are necessary to support our overall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Depreciation and Amortization for the first quarter of fiscal 2012 was $3.7 million as compared to $3.1 million for the first quarter of fiscal 2011. The primary reason for the increase of $0.6 million was due to the amortization of approximately $0.5 million associated with our “Casual Male” trademark. In the fourth quarter of fiscal 2011, our “Casual Male” trademark, with a carrying value of $6.1 million, was changed to a definite-lived asset which is being amortized on an accelerated basis over its estimated remaining useful life of seven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interest expense was $0.2 million and $0.1 million for the first quarter of fiscal 2012 and fiscal 2011, respectively. The interest expense for both quarters primarily relates to the unused line fee on our credit facility as a result of having minimal borrowings during each quarter.</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Taxes</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At April 28, 2012, our total deferred tax assets were approximately $51.8 million, with a corresponding valuation allowance of $3.0 million. The deferred tax assets include approximately $22.7 million of net operating loss carryforwards and approximately $8.0 million of deferred gain on our sale-leaseback and, to a lesser extent, other book/tax timing differences.</w:t>
      </w:r>
    </w:p>
    <w:p>
      <w:pPr>
        <w:spacing w:after="0" w:line="14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For the first quarter of fiscal 2011, our effective tax rate was reduced from the statutory rate due to the utilization of our fully reserved net operating loss carryforwards. Then in the fourth quarter of fiscal 2011, we determined that it was more likely than not that we would be able to realize the benefits of substantially all of our deferred tax assets. Accordingly, in the fourth quarter of fiscal 2011, we recognized an income tax benefit of $47.8 million related to the reversal of substantially of the deferred tax valuation allowance. As a result of the valuation allowance being reversed, we have returned to a normal tax provision. For the first quarter of fiscal 2012, our effective tax rate was 40.4% compared to 10.1% for the first quarter of fiscal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first quarter of fiscal 2012, net income was $2.3 million, or $0.05 per diluted share, compared to net income of $4.2 million, or $0.09 per diluted share, for the first quarter of fiscal 2011. The decrease in earnings of $0.04 per diluted share is partially due to the increase in income tax provision of approximately $0.03 per diluted shares as a result of returning to a normal tax rate in fiscal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April 28, 2012, total inventory was $112.2 million compared to $104.2 million at January 28, 2012 and $97.6 million at April 30, 2011.</w:t>
      </w:r>
    </w:p>
    <w:p>
      <w:pPr>
        <w:spacing w:after="0" w:line="171"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While inventory dollars increased 15.0% from April 30, 2011 as a result of cost increases and shifting product mix, units increased by less than 1%. Unit inventories in branded product have increased by 35% over the prior year to support the DXL store product assortments.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as amended, with Bank of America, N.A (“Credit Facility”). Our current cash needs are primarily for working capital (essentially inventory requirements), capital expenditures and growth initiatives. As discussed below, our capital expenditures for fiscal 2012 are expected to be $35.0 million, primarily related to the planned opening of 35 new DestinationXL stores and information technology projects.</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currently believe that our existing cash generated by operations together with our availability under our credit facility will be sufficient within current forecasts for us to meet our foreseeable liquidity requirements. For the first quarter of fiscal 2012, free cash flow, which we define as cash flow from operating activities, less capital expenditures and discretionary store asset acquisitions, if any, decreased by $5.7 million to $(4.5) million from $1.2 million for the first quarter of fiscal 2011. This decrease in free cash flow was primarily due to the increase in capital expenditures of $3.7 million related to the new store openings. See “Presentation of Non-GAAP Measure” above regarding non-GAAP free cash flow.</w:t>
      </w:r>
    </w:p>
    <w:p>
      <w:pPr>
        <w:spacing w:after="0" w:line="11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November 10, 2014. Our Credit Facility is described in more detail in Note 2 to the Notes to the Consolidated Financial Statements.</w:t>
      </w:r>
    </w:p>
    <w:p>
      <w:pPr>
        <w:sectPr>
          <w:pgSz w:w="11900" w:h="16838" w:orient="portrait"/>
          <w:cols w:equalWidth="0" w:num="1">
            <w:col w:w="11400"/>
          </w:cols>
          <w:pgMar w:left="240" w:top="280" w:right="259" w:bottom="1440" w:gutter="0" w:footer="0" w:header="0"/>
        </w:sectPr>
      </w:pPr>
    </w:p>
    <w:bookmarkStart w:id="17" w:name="page18"/>
    <w:bookmarkEnd w:id="1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had no borrowings outstanding under the Credit Facility at April 28, 2012. Outstanding standby letters of credit were $2.3 million and outstanding documentary letters of credit were $1.5 million. The average monthly borrowing outstanding under this facility during the first quarter of fiscal 2012 was less than $150,000, resulting in an average unused excess availability of approximately $69.1 million. Unused excess availability at April 28, 2012 was $71.2 million. Our obligations under the Credit Facility are secured by a lien on all of our assets. The facility contains no 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April 28, 2012 and April 30, 2011, respectively:</w:t>
      </w:r>
    </w:p>
    <w:p>
      <w:pPr>
        <w:spacing w:after="0" w:line="304"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500" w:type="dxa"/>
            <w:vAlign w:val="bottom"/>
            <w:gridSpan w:val="3"/>
            <w:vMerge w:val="restart"/>
          </w:tcPr>
          <w:p>
            <w:pPr>
              <w:spacing w:after="0"/>
              <w:rPr>
                <w:sz w:val="20"/>
                <w:szCs w:val="20"/>
                <w:color w:val="auto"/>
              </w:rPr>
            </w:pPr>
            <w:r>
              <w:rPr>
                <w:rFonts w:ascii="Arial" w:cs="Arial" w:eastAsia="Arial" w:hAnsi="Arial"/>
                <w:sz w:val="14"/>
                <w:szCs w:val="14"/>
                <w:color w:val="auto"/>
              </w:rPr>
              <w:t>Store Concept</w:t>
            </w:r>
          </w:p>
        </w:tc>
        <w:tc>
          <w:tcPr>
            <w:tcW w:w="2580" w:type="dxa"/>
            <w:vAlign w:val="bottom"/>
            <w:gridSpan w:val="3"/>
          </w:tcPr>
          <w:p>
            <w:pPr>
              <w:jc w:val="right"/>
              <w:ind w:right="736"/>
              <w:spacing w:after="0"/>
              <w:rPr>
                <w:sz w:val="20"/>
                <w:szCs w:val="20"/>
                <w:color w:val="auto"/>
              </w:rPr>
            </w:pPr>
            <w:r>
              <w:rPr>
                <w:rFonts w:ascii="Arial" w:cs="Arial" w:eastAsia="Arial" w:hAnsi="Arial"/>
                <w:sz w:val="14"/>
                <w:szCs w:val="14"/>
                <w:color w:val="auto"/>
              </w:rPr>
              <w:t>At April 28, 2012</w:t>
            </w:r>
          </w:p>
        </w:tc>
        <w:tc>
          <w:tcPr>
            <w:tcW w:w="740" w:type="dxa"/>
            <w:vAlign w:val="bottom"/>
          </w:tcPr>
          <w:p>
            <w:pPr>
              <w:spacing w:after="0"/>
              <w:rPr>
                <w:sz w:val="14"/>
                <w:szCs w:val="14"/>
                <w:color w:val="auto"/>
              </w:rPr>
            </w:pPr>
          </w:p>
        </w:tc>
        <w:tc>
          <w:tcPr>
            <w:tcW w:w="2680" w:type="dxa"/>
            <w:vAlign w:val="bottom"/>
            <w:gridSpan w:val="4"/>
          </w:tcPr>
          <w:p>
            <w:pPr>
              <w:ind w:left="820"/>
              <w:spacing w:after="0"/>
              <w:rPr>
                <w:sz w:val="20"/>
                <w:szCs w:val="20"/>
                <w:color w:val="auto"/>
              </w:rPr>
            </w:pPr>
            <w:r>
              <w:rPr>
                <w:rFonts w:ascii="Arial" w:cs="Arial" w:eastAsia="Arial" w:hAnsi="Arial"/>
                <w:sz w:val="14"/>
                <w:szCs w:val="14"/>
                <w:color w:val="auto"/>
              </w:rPr>
              <w:t>At April 30, 2011</w:t>
            </w:r>
          </w:p>
        </w:tc>
        <w:tc>
          <w:tcPr>
            <w:tcW w:w="0" w:type="dxa"/>
            <w:vAlign w:val="bottom"/>
          </w:tcPr>
          <w:p>
            <w:pPr>
              <w:spacing w:after="0"/>
              <w:rPr>
                <w:sz w:val="1"/>
                <w:szCs w:val="1"/>
                <w:color w:val="auto"/>
              </w:rPr>
            </w:pPr>
          </w:p>
        </w:tc>
      </w:tr>
      <w:tr>
        <w:trPr>
          <w:trHeight w:val="146"/>
        </w:trPr>
        <w:tc>
          <w:tcPr>
            <w:tcW w:w="4500" w:type="dxa"/>
            <w:vAlign w:val="bottom"/>
            <w:gridSpan w:val="3"/>
            <w:vMerge w:val="continue"/>
          </w:tcPr>
          <w:p>
            <w:pPr>
              <w:spacing w:after="0"/>
              <w:rPr>
                <w:sz w:val="12"/>
                <w:szCs w:val="12"/>
                <w:color w:val="auto"/>
              </w:rPr>
            </w:pPr>
          </w:p>
        </w:tc>
        <w:tc>
          <w:tcPr>
            <w:tcW w:w="1720" w:type="dxa"/>
            <w:vAlign w:val="bottom"/>
            <w:gridSpan w:val="2"/>
          </w:tcPr>
          <w:p>
            <w:pPr>
              <w:jc w:val="right"/>
              <w:ind w:right="760"/>
              <w:spacing w:after="0" w:line="146" w:lineRule="exact"/>
              <w:rPr>
                <w:sz w:val="20"/>
                <w:szCs w:val="20"/>
                <w:color w:val="auto"/>
              </w:rPr>
            </w:pPr>
            <w:r>
              <w:rPr>
                <w:rFonts w:ascii="Arial" w:cs="Arial" w:eastAsia="Arial" w:hAnsi="Arial"/>
                <w:sz w:val="14"/>
                <w:szCs w:val="14"/>
                <w:color w:val="auto"/>
                <w:w w:val="85"/>
              </w:rPr>
              <w:t>Number of Stores</w:t>
            </w:r>
          </w:p>
        </w:tc>
        <w:tc>
          <w:tcPr>
            <w:tcW w:w="860" w:type="dxa"/>
            <w:vAlign w:val="bottom"/>
          </w:tcPr>
          <w:p>
            <w:pPr>
              <w:jc w:val="right"/>
              <w:spacing w:after="0" w:line="146" w:lineRule="exact"/>
              <w:rPr>
                <w:sz w:val="20"/>
                <w:szCs w:val="20"/>
                <w:color w:val="auto"/>
              </w:rPr>
            </w:pPr>
            <w:r>
              <w:rPr>
                <w:rFonts w:ascii="Arial" w:cs="Arial" w:eastAsia="Arial" w:hAnsi="Arial"/>
                <w:sz w:val="14"/>
                <w:szCs w:val="14"/>
                <w:color w:val="auto"/>
                <w:w w:val="81"/>
              </w:rPr>
              <w:t>Square Footage</w:t>
            </w:r>
          </w:p>
        </w:tc>
        <w:tc>
          <w:tcPr>
            <w:tcW w:w="740" w:type="dxa"/>
            <w:vAlign w:val="bottom"/>
          </w:tcPr>
          <w:p>
            <w:pPr>
              <w:spacing w:after="0"/>
              <w:rPr>
                <w:sz w:val="12"/>
                <w:szCs w:val="12"/>
                <w:color w:val="auto"/>
              </w:rPr>
            </w:pPr>
          </w:p>
        </w:tc>
        <w:tc>
          <w:tcPr>
            <w:tcW w:w="174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Number of Stores</w:t>
            </w:r>
          </w:p>
        </w:tc>
        <w:tc>
          <w:tcPr>
            <w:tcW w:w="940" w:type="dxa"/>
            <w:vAlign w:val="bottom"/>
            <w:gridSpan w:val="2"/>
          </w:tcPr>
          <w:p>
            <w:pPr>
              <w:spacing w:after="0" w:line="146" w:lineRule="exact"/>
              <w:rPr>
                <w:sz w:val="20"/>
                <w:szCs w:val="20"/>
                <w:color w:val="auto"/>
              </w:rPr>
            </w:pPr>
            <w:r>
              <w:rPr>
                <w:rFonts w:ascii="Arial" w:cs="Arial" w:eastAsia="Arial" w:hAnsi="Arial"/>
                <w:sz w:val="14"/>
                <w:szCs w:val="14"/>
                <w:color w:val="auto"/>
                <w:w w:val="91"/>
              </w:rPr>
              <w:t>Square 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(square footage in thousands)</w:t>
            </w:r>
          </w:p>
        </w:tc>
        <w:tc>
          <w:tcPr>
            <w:tcW w:w="9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Casual Male XL</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410</w:t>
            </w:r>
          </w:p>
        </w:tc>
        <w:tc>
          <w:tcPr>
            <w:tcW w:w="860" w:type="dxa"/>
            <w:vAlign w:val="bottom"/>
          </w:tcPr>
          <w:p>
            <w:pPr>
              <w:jc w:val="right"/>
              <w:spacing w:after="0"/>
              <w:rPr>
                <w:sz w:val="20"/>
                <w:szCs w:val="20"/>
                <w:color w:val="auto"/>
              </w:rPr>
            </w:pPr>
            <w:r>
              <w:rPr>
                <w:rFonts w:ascii="Arial" w:cs="Arial" w:eastAsia="Arial" w:hAnsi="Arial"/>
                <w:sz w:val="18"/>
                <w:szCs w:val="18"/>
                <w:color w:val="auto"/>
              </w:rPr>
              <w:t>1,443</w:t>
            </w:r>
          </w:p>
        </w:tc>
        <w:tc>
          <w:tcPr>
            <w:tcW w:w="2480" w:type="dxa"/>
            <w:vAlign w:val="bottom"/>
            <w:gridSpan w:val="3"/>
          </w:tcPr>
          <w:p>
            <w:pPr>
              <w:jc w:val="right"/>
              <w:ind w:right="760"/>
              <w:spacing w:after="0"/>
              <w:rPr>
                <w:sz w:val="20"/>
                <w:szCs w:val="20"/>
                <w:color w:val="auto"/>
              </w:rPr>
            </w:pPr>
            <w:r>
              <w:rPr>
                <w:rFonts w:ascii="Arial" w:cs="Arial" w:eastAsia="Arial" w:hAnsi="Arial"/>
                <w:sz w:val="18"/>
                <w:szCs w:val="18"/>
                <w:color w:val="auto"/>
              </w:rPr>
              <w:t>439</w:t>
            </w:r>
          </w:p>
        </w:tc>
        <w:tc>
          <w:tcPr>
            <w:tcW w:w="840" w:type="dxa"/>
            <w:vAlign w:val="bottom"/>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DXL</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13</w:t>
            </w: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2480" w:type="dxa"/>
            <w:vAlign w:val="bottom"/>
            <w:gridSpan w:val="3"/>
          </w:tcPr>
          <w:p>
            <w:pPr>
              <w:jc w:val="right"/>
              <w:ind w:right="760"/>
              <w:spacing w:after="0"/>
              <w:rPr>
                <w:sz w:val="20"/>
                <w:szCs w:val="20"/>
                <w:color w:val="auto"/>
              </w:rPr>
            </w:pPr>
            <w:r>
              <w:rPr>
                <w:rFonts w:ascii="Arial" w:cs="Arial" w:eastAsia="Arial" w:hAnsi="Arial"/>
                <w:sz w:val="18"/>
                <w:szCs w:val="18"/>
                <w:color w:val="auto"/>
              </w:rPr>
              <w:t>16</w:t>
            </w: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Total cash outlays for capital expenditures for the first quarter of fiscal 2012 and fiscal 2011 were $5.6 million and $1.9 million, respectively. The capital expenditures incurred in the first quarter of fiscal 2012 were primarily related to the 6 new DXL stores that opened during the first quarter.</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fiscal 2012, our capital expenditures are expected to be approximately $35.0 million. The budget includes approximately $26.8 million related to the opening of 35 new DestinationXL stores and approximately $4.6 million for continued information technology projects, including further web-related enhancements and upgraded planning and allocation software, with the remainder for general overhead projects. In addition, we expect to close approximately 70 existing stores, most of which are in connection with the opening of our new DXL stores.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28, 2012:</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w w:val="81"/>
              </w:rPr>
              <w:t>Rochester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6360" w:type="dxa"/>
            <w:vAlign w:val="bottom"/>
          </w:tcPr>
          <w:p>
            <w:pPr>
              <w:spacing w:after="0"/>
              <w:rPr>
                <w:sz w:val="13"/>
                <w:szCs w:val="13"/>
                <w:color w:val="auto"/>
              </w:rPr>
            </w:pPr>
          </w:p>
        </w:tc>
        <w:tc>
          <w:tcPr>
            <w:tcW w:w="13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w w:val="84"/>
              </w:rPr>
              <w:t>Casual Male</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DXL</w:t>
            </w:r>
          </w:p>
        </w:tc>
        <w:tc>
          <w:tcPr>
            <w:tcW w:w="620" w:type="dxa"/>
            <w:vAlign w:val="bottom"/>
          </w:tcPr>
          <w:p>
            <w:pPr>
              <w:spacing w:after="0"/>
              <w:rPr>
                <w:sz w:val="13"/>
                <w:szCs w:val="13"/>
                <w:color w:val="auto"/>
              </w:rPr>
            </w:pPr>
          </w:p>
        </w:tc>
        <w:tc>
          <w:tcPr>
            <w:tcW w:w="11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93"/>
              </w:rPr>
              <w:t>Clothing</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1"/>
              </w:rPr>
              <w:t>Total stores</w:t>
            </w:r>
          </w:p>
        </w:tc>
      </w:tr>
      <w:tr>
        <w:trPr>
          <w:trHeight w:val="210"/>
        </w:trPr>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At January 28, 2012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New stores</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Closed stores</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21"/>
        </w:trPr>
        <w:tc>
          <w:tcPr>
            <w:tcW w:w="6360" w:type="dxa"/>
            <w:vAlign w:val="bottom"/>
          </w:tcPr>
          <w:p>
            <w:pPr>
              <w:spacing w:after="0"/>
              <w:rPr>
                <w:sz w:val="20"/>
                <w:szCs w:val="20"/>
                <w:color w:val="auto"/>
              </w:rPr>
            </w:pPr>
            <w:r>
              <w:rPr>
                <w:rFonts w:ascii="Arial" w:cs="Arial" w:eastAsia="Arial" w:hAnsi="Arial"/>
                <w:sz w:val="18"/>
                <w:szCs w:val="18"/>
                <w:color w:val="auto"/>
              </w:rPr>
              <w:t>At April 28, 2012</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28, 2012 filed with the SEC on March 16,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ectPr>
          <w:pgSz w:w="11900" w:h="16838" w:orient="portrait"/>
          <w:cols w:equalWidth="0" w:num="1">
            <w:col w:w="11360"/>
          </w:cols>
          <w:pgMar w:left="240" w:top="28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Rates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April 28, 2012, we had no outstanding borrowings. Because our average outstanding borrowings during the first quarter of fiscal 2012 were less than $150,000, any increase in interest rates would have been immaterial to the financial results for the first quarter of fiscal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April 28, 2012,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April 28, 2012.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April 28, 2012,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April 28, 2012 that has materially affected, or is reasonably likely to materially affect, our internal control over financial reporting.</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We are subject to various legal proceedings and claims that arise in the ordinary course of business. We recently settled three outstanding California wage and hour class action suits. While all three cases have received preliminary approval from the respective trial court, the settlements are still subject to receiving final approvals by those courts. Management believes that it has sufficiently accrued for such matters and that the resolution of those matters will not have a material adverse impact on our future results of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28, 2012 filed with the SEC on March 16,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760" w:right="80" w:hanging="752"/>
        <w:spacing w:after="0" w:line="25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April 28, 2012,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89" w:lineRule="exact"/>
        <w:rPr>
          <w:sz w:val="20"/>
          <w:szCs w:val="20"/>
          <w:color w:val="auto"/>
        </w:rPr>
      </w:pPr>
    </w:p>
    <w:p>
      <w:pPr>
        <w:ind w:left="760" w:right="280" w:hanging="752"/>
        <w:spacing w:after="0" w:line="306"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ectPr>
          <w:pgSz w:w="11900" w:h="16838" w:orient="portrait"/>
          <w:cols w:equalWidth="0" w:num="1">
            <w:col w:w="11400"/>
          </w:cols>
          <w:pgMar w:left="240" w:top="274" w:right="259" w:bottom="1440" w:gutter="0" w:footer="0" w:header="0"/>
        </w:sectPr>
      </w:pPr>
    </w:p>
    <w:bookmarkStart w:id="20" w:name="page21"/>
    <w:bookmarkEnd w:id="20"/>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18, 2012</w:t>
      </w:r>
      <w:r>
        <w:rPr>
          <w:sz w:val="20"/>
          <w:szCs w:val="20"/>
          <w:color w:val="auto"/>
        </w:rPr>
        <w:tab/>
      </w:r>
      <w:r>
        <w:rPr>
          <w:rFonts w:ascii="Arial" w:cs="Arial" w:eastAsia="Arial" w:hAnsi="Arial"/>
          <w:sz w:val="16"/>
          <w:szCs w:val="16"/>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H. Stratton, Jr.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of Finance, Corporate Controller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0540"/>
          </w:cols>
          <w:pgMar w:left="240" w:top="280" w:right="11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18, 2012</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18, 2012</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April 28, 2012,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May 18,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6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April 28, 2012,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May 18,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6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0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2019-12-09T10:08:09Z</dcterms:created>
  <dcterms:modified xsi:type="dcterms:W3CDTF">2019-12-09T10:08:09Z</dcterms:modified>
</cp:coreProperties>
</file>