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0" w:lineRule="exact"/>
        <w:rPr>
          <w:sz w:val="24"/>
          <w:szCs w:val="24"/>
          <w:color w:val="auto"/>
        </w:rPr>
      </w:pPr>
    </w:p>
    <w:p>
      <w:pPr>
        <w:spacing w:after="0" w:line="202" w:lineRule="exact"/>
        <w:rPr>
          <w:sz w:val="24"/>
          <w:szCs w:val="24"/>
          <w:color w:val="auto"/>
        </w:rPr>
      </w:pPr>
    </w:p>
    <w:tbl>
      <w:tblPr>
        <w:tblLayout w:type="fixed"/>
        <w:tblInd w:w="2220" w:type="dxa"/>
        <w:tblCellMar>
          <w:top w:w="0" w:type="dxa"/>
          <w:left w:w="0" w:type="dxa"/>
          <w:bottom w:w="0" w:type="dxa"/>
          <w:right w:w="0" w:type="dxa"/>
        </w:tblCellMar>
      </w:tblPr>
      <w:tr>
        <w:trPr>
          <w:trHeight w:val="204"/>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Washington,</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D.C. 20549</w:t>
            </w:r>
          </w:p>
        </w:tc>
      </w:tr>
      <w:tr>
        <w:trPr>
          <w:trHeight w:val="296"/>
        </w:trPr>
        <w:tc>
          <w:tcPr>
            <w:tcW w:w="4100" w:type="dxa"/>
            <w:vAlign w:val="bottom"/>
            <w:gridSpan w:val="2"/>
          </w:tcPr>
          <w:p>
            <w:pPr>
              <w:jc w:val="right"/>
              <w:ind w:right="632"/>
              <w:spacing w:after="0"/>
              <w:rPr>
                <w:sz w:val="20"/>
                <w:szCs w:val="20"/>
                <w:color w:val="auto"/>
              </w:rPr>
            </w:pPr>
            <w:r>
              <w:rPr>
                <w:rFonts w:ascii="Courier New" w:cs="Courier New" w:eastAsia="Courier New" w:hAnsi="Courier New"/>
                <w:sz w:val="18"/>
                <w:szCs w:val="18"/>
                <w:color w:val="auto"/>
              </w:rPr>
              <w:t>--------------------------</w:t>
            </w:r>
          </w:p>
        </w:tc>
      </w:tr>
      <w:tr>
        <w:trPr>
          <w:trHeight w:val="810"/>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8-K</w:t>
            </w:r>
          </w:p>
        </w:tc>
      </w:tr>
      <w:tr>
        <w:trPr>
          <w:trHeight w:val="514"/>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Pursuant to Section</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13 or 15 (d) of the</w:t>
            </w:r>
          </w:p>
        </w:tc>
      </w:tr>
      <w:tr>
        <w:trPr>
          <w:trHeight w:val="296"/>
        </w:trPr>
        <w:tc>
          <w:tcPr>
            <w:tcW w:w="41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Securities Exchange Act of 1934</w:t>
            </w:r>
          </w:p>
        </w:tc>
      </w:tr>
      <w:tr>
        <w:trPr>
          <w:trHeight w:val="717"/>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Date of</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r>
      <w:tr>
        <w:trPr>
          <w:trHeight w:val="296"/>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October</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3, 2000</w:t>
            </w:r>
          </w:p>
        </w:tc>
      </w:tr>
    </w:tbl>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4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0-15898</w:t>
            </w:r>
          </w:p>
        </w:tc>
        <w:tc>
          <w:tcPr>
            <w:tcW w:w="25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04-2623104</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w:t>
            </w:r>
          </w:p>
        </w:tc>
        <w:tc>
          <w:tcPr>
            <w:tcW w:w="2480" w:type="dxa"/>
            <w:vAlign w:val="bottom"/>
            <w:vMerge w:val="restart"/>
          </w:tcPr>
          <w:p>
            <w:pPr>
              <w:ind w:left="700"/>
              <w:spacing w:after="0"/>
              <w:rPr>
                <w:sz w:val="20"/>
                <w:szCs w:val="20"/>
                <w:color w:val="auto"/>
              </w:rPr>
            </w:pPr>
            <w:r>
              <w:rPr>
                <w:rFonts w:ascii="Courier New" w:cs="Courier New" w:eastAsia="Courier New" w:hAnsi="Courier New"/>
                <w:sz w:val="18"/>
                <w:szCs w:val="18"/>
                <w:color w:val="auto"/>
              </w:rPr>
              <w:t>(Commission</w:t>
            </w:r>
          </w:p>
        </w:tc>
        <w:tc>
          <w:tcPr>
            <w:tcW w:w="2540" w:type="dxa"/>
            <w:vAlign w:val="bottom"/>
            <w:vMerge w:val="restart"/>
          </w:tcPr>
          <w:p>
            <w:pPr>
              <w:ind w:left="740"/>
              <w:spacing w:after="0"/>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jurisdiction</w:t>
            </w:r>
          </w:p>
        </w:tc>
        <w:tc>
          <w:tcPr>
            <w:tcW w:w="2480" w:type="dxa"/>
            <w:vAlign w:val="bottom"/>
            <w:vMerge w:val="continue"/>
          </w:tcPr>
          <w:p>
            <w:pPr>
              <w:spacing w:after="0"/>
              <w:rPr>
                <w:sz w:val="17"/>
                <w:szCs w:val="17"/>
                <w:color w:val="auto"/>
              </w:rPr>
            </w:pP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ind w:left="120"/>
              <w:spacing w:after="0"/>
              <w:rPr>
                <w:sz w:val="20"/>
                <w:szCs w:val="20"/>
                <w:color w:val="auto"/>
              </w:rPr>
            </w:pPr>
            <w:r>
              <w:rPr>
                <w:rFonts w:ascii="Courier New" w:cs="Courier New" w:eastAsia="Courier New" w:hAnsi="Courier New"/>
                <w:sz w:val="18"/>
                <w:szCs w:val="18"/>
                <w:color w:val="auto"/>
              </w:rPr>
              <w:t>of incorporation)</w:t>
            </w:r>
          </w:p>
        </w:tc>
        <w:tc>
          <w:tcPr>
            <w:tcW w:w="2480" w:type="dxa"/>
            <w:vAlign w:val="bottom"/>
          </w:tcPr>
          <w:p>
            <w:pPr>
              <w:ind w:left="700"/>
              <w:spacing w:after="0"/>
              <w:rPr>
                <w:sz w:val="20"/>
                <w:szCs w:val="20"/>
                <w:color w:val="auto"/>
              </w:rPr>
            </w:pPr>
            <w:r>
              <w:rPr>
                <w:rFonts w:ascii="Courier New" w:cs="Courier New" w:eastAsia="Courier New" w:hAnsi="Courier New"/>
                <w:sz w:val="18"/>
                <w:szCs w:val="18"/>
                <w:color w:val="auto"/>
              </w:rPr>
              <w:t>File Number)</w:t>
            </w:r>
          </w:p>
        </w:tc>
        <w:tc>
          <w:tcPr>
            <w:tcW w:w="2540" w:type="dxa"/>
            <w:vAlign w:val="bottom"/>
          </w:tcPr>
          <w:p>
            <w:pPr>
              <w:ind w:left="420"/>
              <w:spacing w:after="0"/>
              <w:rPr>
                <w:sz w:val="20"/>
                <w:szCs w:val="20"/>
                <w:color w:val="auto"/>
              </w:rPr>
            </w:pPr>
            <w:r>
              <w:rPr>
                <w:rFonts w:ascii="Courier New" w:cs="Courier New" w:eastAsia="Courier New" w:hAnsi="Courier New"/>
                <w:sz w:val="18"/>
                <w:szCs w:val="18"/>
                <w:color w:val="auto"/>
              </w:rPr>
              <w:t>Identification No.)</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90" w:orient="portrait"/>
          <w:cols w:equalWidth="0" w:num="1">
            <w:col w:w="10219"/>
          </w:cols>
          <w:pgMar w:left="240" w:top="623" w:right="1440" w:bottom="0" w:gutter="0" w:footer="0" w:header="0"/>
        </w:sectPr>
      </w:pPr>
    </w:p>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66 B Street, Needham, MA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02494</w:t>
      </w:r>
    </w:p>
    <w:p>
      <w:pPr>
        <w:spacing w:after="0" w:line="31"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Zip Code )</w:t>
      </w:r>
    </w:p>
    <w:p>
      <w:pPr>
        <w:spacing w:after="0" w:line="200" w:lineRule="exact"/>
        <w:rPr>
          <w:sz w:val="24"/>
          <w:szCs w:val="24"/>
          <w:color w:val="auto"/>
        </w:rPr>
      </w:pPr>
    </w:p>
    <w:p>
      <w:pPr>
        <w:sectPr>
          <w:pgSz w:w="11900" w:h="16890" w:orient="portrait"/>
          <w:cols w:equalWidth="0" w:num="2">
            <w:col w:w="5300" w:space="720"/>
            <w:col w:w="4199"/>
          </w:cols>
          <w:pgMar w:left="240" w:top="623" w:right="1440" w:bottom="0" w:gutter="0" w:footer="0" w:header="0"/>
          <w:type w:val="continuous"/>
        </w:sectPr>
      </w:pPr>
    </w:p>
    <w:p>
      <w:pPr>
        <w:spacing w:after="0" w:line="200" w:lineRule="exact"/>
        <w:rPr>
          <w:sz w:val="24"/>
          <w:szCs w:val="24"/>
          <w:color w:val="auto"/>
        </w:rPr>
      </w:pPr>
    </w:p>
    <w:p>
      <w:pPr>
        <w:spacing w:after="0" w:line="377"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781-444-7222</w:t>
      </w:r>
    </w:p>
    <w:p>
      <w:pPr>
        <w:spacing w:after="0" w:line="2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Registrant's telephone number,</w:t>
      </w:r>
    </w:p>
    <w:p>
      <w:pPr>
        <w:ind w:left="3160"/>
        <w:spacing w:after="0"/>
        <w:rPr>
          <w:sz w:val="20"/>
          <w:szCs w:val="20"/>
          <w:color w:val="auto"/>
        </w:rPr>
      </w:pPr>
      <w:r>
        <w:rPr>
          <w:rFonts w:ascii="Courier New" w:cs="Courier New" w:eastAsia="Courier New" w:hAnsi="Courier New"/>
          <w:sz w:val="18"/>
          <w:szCs w:val="18"/>
          <w:color w:val="auto"/>
        </w:rPr>
        <w:t>(including area code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Changes in Registrant's Certifying Accountant</w:t>
      </w:r>
    </w:p>
    <w:p>
      <w:pPr>
        <w:spacing w:after="0" w:line="201"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On October 11, 2000, Designs, Inc. (the "Company") engaged Ernst &amp; Young LLP as its new principal independent accountants. On October 3, 2000, Deloitte &amp; Touche LLP ("Deloitte &amp; Touche") resigned as the Company's independent accountants. The Audit Committee of the Company's Board of Directors unanimously approved the appointment of Ernst &amp; Young LLP.</w:t>
      </w:r>
    </w:p>
    <w:p>
      <w:pPr>
        <w:spacing w:after="0" w:line="90" w:lineRule="exact"/>
        <w:rPr>
          <w:sz w:val="24"/>
          <w:szCs w:val="24"/>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Since Deloitte &amp; Touche was engaged as the Company's independent accountants on December 21, 1999 and thereafter through October 3, 2000 there were no disagreements between the Company and Deloitte &amp; Touche on matters of accounting principles or practices, financial statement disclosure, or auditing scope or procedure, which, if not resolved to the satisfaction of Deloitte &amp; Touche, would have caused Deloitte &amp; Touche to make reference to the subject matter thereof in its reports. Since Deloitte &amp; Touche was engaged as the Company's independent accountants on December 21, 1999 and thereafter through October 3, 2000 there was no occurrence of a "Reportable Event" as described in Item 304(a)(1)(v) of Regulation S-K promulgated by the Commission. In addition, the report of Deloitte &amp; Touche on the Company's financial statements for the year ended January 29, 2000 did not contain any adverse opinion or disclaimer of opinion, and was not qualified or modified as to uncertainty, audit scope, or accounting principles.</w:t>
      </w:r>
    </w:p>
    <w:p>
      <w:pPr>
        <w:sectPr>
          <w:pgSz w:w="11900" w:h="16890" w:orient="portrait"/>
          <w:cols w:equalWidth="0" w:num="1">
            <w:col w:w="10219"/>
          </w:cols>
          <w:pgMar w:left="240" w:top="623" w:right="1440" w:bottom="0" w:gutter="0" w:footer="0" w:header="0"/>
          <w:type w:val="continuous"/>
        </w:sectPr>
      </w:pPr>
    </w:p>
    <w:bookmarkStart w:id="1" w:name="page2"/>
    <w:bookmarkEnd w:id="1"/>
    <w:p>
      <w:pPr>
        <w:ind w:right="1879"/>
        <w:spacing w:after="0" w:line="347" w:lineRule="auto"/>
        <w:rPr>
          <w:sz w:val="20"/>
          <w:szCs w:val="20"/>
          <w:color w:val="auto"/>
        </w:rPr>
      </w:pPr>
      <w:r>
        <w:rPr>
          <w:rFonts w:ascii="Courier New" w:cs="Courier New" w:eastAsia="Courier New" w:hAnsi="Courier New"/>
          <w:sz w:val="18"/>
          <w:szCs w:val="18"/>
          <w:color w:val="auto"/>
        </w:rPr>
        <w:t>The Company has requested that Deloitte &amp; Touche furnish a letter regarding its concurrence with the Company's statements in Item 4 of this Report.</w:t>
      </w:r>
    </w:p>
    <w:p>
      <w:pPr>
        <w:sectPr>
          <w:pgSz w:w="11900" w:h="16838" w:orient="portrait"/>
          <w:cols w:equalWidth="0" w:num="1">
            <w:col w:w="10219"/>
          </w:cols>
          <w:pgMar w:left="240" w:top="312"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199"/>
        <w:spacing w:after="0" w:line="292"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893"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October 11, 2000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BY:/s/David A. Levin</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6"/>
          <w:szCs w:val="16"/>
          <w:color w:val="auto"/>
        </w:rPr>
        <w:t>David A.Levin, President,</w:t>
      </w:r>
    </w:p>
    <w:p>
      <w:pPr>
        <w:spacing w:after="0" w:line="2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Chief Executive Officer</w:t>
      </w:r>
    </w:p>
    <w:p>
      <w:pPr>
        <w:ind w:left="320"/>
        <w:spacing w:after="0"/>
        <w:rPr>
          <w:sz w:val="20"/>
          <w:szCs w:val="20"/>
          <w:color w:val="auto"/>
        </w:rPr>
      </w:pPr>
      <w:r>
        <w:rPr>
          <w:rFonts w:ascii="Courier New" w:cs="Courier New" w:eastAsia="Courier New" w:hAnsi="Courier New"/>
          <w:sz w:val="18"/>
          <w:szCs w:val="18"/>
          <w:color w:val="auto"/>
        </w:rPr>
        <w:t>and Director</w:t>
      </w:r>
    </w:p>
    <w:sectPr>
      <w:pgSz w:w="11900" w:h="16838" w:orient="portrait"/>
      <w:cols w:equalWidth="0" w:num="2">
        <w:col w:w="4020" w:space="720"/>
        <w:col w:w="5479"/>
      </w:cols>
      <w:pgMar w:left="240" w:top="89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2019-12-19T22:00:23Z</dcterms:created>
  <dcterms:modified xsi:type="dcterms:W3CDTF">2019-12-19T22:00:23Z</dcterms:modified>
</cp:coreProperties>
</file>